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2180" w:hanging="166"/>
        <w:spacing w:after="0"/>
        <w:tabs>
          <w:tab w:leader="none" w:pos="2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68" w:lineRule="exact"/>
        <w:rPr>
          <w:sz w:val="24"/>
          <w:szCs w:val="24"/>
          <w:color w:val="auto"/>
        </w:rPr>
      </w:pPr>
    </w:p>
    <w:p>
      <w:pPr>
        <w:ind w:left="3380" w:right="1860" w:hanging="1510"/>
        <w:spacing w:after="0" w:line="265" w:lineRule="auto"/>
        <w:tabs>
          <w:tab w:leader="none" w:pos="2045"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001-31303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ectPr>
          <w:pgSz w:w="11900" w:h="16838" w:orient="portrait"/>
          <w:cols w:equalWidth="0" w:num="1">
            <w:col w:w="11240"/>
          </w:cols>
          <w:pgMar w:left="320" w:top="233" w:right="339" w:bottom="1440" w:gutter="0" w:footer="0" w:header="0"/>
        </w:sectPr>
      </w:pPr>
    </w:p>
    <w:p>
      <w:pPr>
        <w:spacing w:after="0" w:line="9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Incorporated in South Dakota</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IRS Identification Number 46-0458824</w:t>
      </w:r>
    </w:p>
    <w:p>
      <w:pPr>
        <w:spacing w:after="0" w:line="82" w:lineRule="exact"/>
        <w:rPr>
          <w:sz w:val="24"/>
          <w:szCs w:val="24"/>
          <w:color w:val="auto"/>
        </w:rPr>
      </w:pPr>
    </w:p>
    <w:p>
      <w:pPr>
        <w:sectPr>
          <w:pgSz w:w="11900" w:h="16838" w:orient="portrait"/>
          <w:cols w:equalWidth="0" w:num="2">
            <w:col w:w="5240" w:space="220"/>
            <w:col w:w="5780"/>
          </w:cols>
          <w:pgMar w:left="320" w:top="233"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7001 Mount Rushmore Road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233"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60" w:space="720"/>
            <w:col w:w="1540" w:space="720"/>
            <w:col w:w="3700"/>
          </w:cols>
          <w:pgMar w:left="320" w:top="233" w:right="3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3"/>
          <w:szCs w:val="13"/>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2" w:lineRule="exact"/>
        <w:rPr>
          <w:sz w:val="24"/>
          <w:szCs w:val="24"/>
          <w:color w:val="auto"/>
        </w:rPr>
      </w:pPr>
    </w:p>
    <w:p>
      <w:pPr>
        <w:sectPr>
          <w:pgSz w:w="11900" w:h="16838" w:orient="portrait"/>
          <w:cols w:equalWidth="0" w:num="3">
            <w:col w:w="4920" w:space="720"/>
            <w:col w:w="1760" w:space="720"/>
            <w:col w:w="3120"/>
          </w:cols>
          <w:pgMar w:left="320" w:top="233" w:right="339" w:bottom="1440" w:gutter="0" w:footer="0" w:header="0"/>
          <w:type w:val="continuous"/>
        </w:sectPr>
      </w:pPr>
    </w:p>
    <w:p>
      <w:pPr>
        <w:ind w:right="2840"/>
        <w:spacing w:after="0" w:line="22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4"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52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240"/>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60" w:type="dxa"/>
        <w:tblCellMar>
          <w:top w:w="0" w:type="dxa"/>
          <w:left w:w="0" w:type="dxa"/>
          <w:bottom w:w="0" w:type="dxa"/>
          <w:right w:w="0" w:type="dxa"/>
        </w:tblCellMar>
      </w:tblPr>
      <w:tr>
        <w:trPr>
          <w:trHeight w:val="227"/>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446"/>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445"/>
        </w:trPr>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66" w:lineRule="exact"/>
        <w:rPr>
          <w:sz w:val="24"/>
          <w:szCs w:val="24"/>
          <w:color w:val="auto"/>
        </w:rPr>
      </w:pPr>
    </w:p>
    <w:p>
      <w:pPr>
        <w:ind w:right="24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42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620"/>
        <w:spacing w:after="0" w:line="182"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460"/>
        <w:spacing w:after="0" w:line="182"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cers during the relevant recovery period pursuant to §240.10D-1(b)</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30, 2022, was $4,702,221,557</w:t>
      </w:r>
    </w:p>
    <w:p>
      <w:pPr>
        <w:spacing w:after="0" w:line="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46"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40" w:type="dxa"/>
            <w:vAlign w:val="bottom"/>
            <w:gridSpan w:val="2"/>
          </w:tcPr>
          <w:p>
            <w:pPr>
              <w:jc w:val="center"/>
              <w:ind w:right="3280"/>
              <w:spacing w:after="0"/>
              <w:rPr>
                <w:sz w:val="20"/>
                <w:szCs w:val="20"/>
                <w:color w:val="auto"/>
              </w:rPr>
            </w:pPr>
            <w:r>
              <w:rPr>
                <w:rFonts w:ascii="Arial" w:cs="Arial" w:eastAsia="Arial" w:hAnsi="Arial"/>
                <w:sz w:val="14"/>
                <w:szCs w:val="14"/>
                <w:color w:val="auto"/>
              </w:rPr>
              <w:t>Class</w:t>
            </w:r>
          </w:p>
        </w:tc>
        <w:tc>
          <w:tcPr>
            <w:tcW w:w="2080" w:type="dxa"/>
            <w:vAlign w:val="bottom"/>
          </w:tcPr>
          <w:p>
            <w:pPr>
              <w:jc w:val="center"/>
              <w:spacing w:after="0"/>
              <w:rPr>
                <w:sz w:val="20"/>
                <w:szCs w:val="20"/>
                <w:color w:val="auto"/>
              </w:rPr>
            </w:pPr>
            <w:r>
              <w:rPr>
                <w:rFonts w:ascii="Arial" w:cs="Arial" w:eastAsia="Arial" w:hAnsi="Arial"/>
                <w:sz w:val="14"/>
                <w:szCs w:val="14"/>
                <w:color w:val="auto"/>
              </w:rPr>
              <w:t>Outstanding at January 31, 2023</w:t>
            </w:r>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283"/>
        </w:trPr>
        <w:tc>
          <w:tcPr>
            <w:tcW w:w="4460" w:type="dxa"/>
            <w:vAlign w:val="bottom"/>
            <w:gridSpan w:val="3"/>
          </w:tcPr>
          <w:p>
            <w:pPr>
              <w:jc w:val="center"/>
              <w:ind w:right="2440"/>
              <w:spacing w:after="0"/>
              <w:rPr>
                <w:sz w:val="20"/>
                <w:szCs w:val="20"/>
                <w:color w:val="auto"/>
              </w:rPr>
            </w:pPr>
            <w:r>
              <w:rPr>
                <w:rFonts w:ascii="Arial" w:cs="Arial" w:eastAsia="Arial" w:hAnsi="Arial"/>
                <w:sz w:val="14"/>
                <w:szCs w:val="14"/>
                <w:color w:val="auto"/>
              </w:rPr>
              <w:t>Common stock, $1.00 par value</w:t>
            </w:r>
          </w:p>
        </w:tc>
        <w:tc>
          <w:tcPr>
            <w:tcW w:w="2080" w:type="dxa"/>
            <w:vAlign w:val="bottom"/>
          </w:tcPr>
          <w:p>
            <w:pPr>
              <w:jc w:val="center"/>
              <w:spacing w:after="0"/>
              <w:rPr>
                <w:sz w:val="20"/>
                <w:szCs w:val="20"/>
                <w:color w:val="auto"/>
              </w:rPr>
            </w:pPr>
            <w:r>
              <w:rPr>
                <w:rFonts w:ascii="Arial" w:cs="Arial" w:eastAsia="Arial" w:hAnsi="Arial"/>
                <w:sz w:val="14"/>
                <w:szCs w:val="14"/>
                <w:color w:val="auto"/>
              </w:rPr>
              <w:t>66,103,478 shares</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280"/>
        <w:spacing w:after="0" w:line="264"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2023 Annual Meeting of Stockholders to be held on April 26, 2023,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gridSpan w:val="7"/>
          </w:tcPr>
          <w:p>
            <w:pPr>
              <w:ind w:left="120"/>
              <w:spacing w:after="0"/>
              <w:rPr>
                <w:sz w:val="20"/>
                <w:szCs w:val="20"/>
                <w:color w:val="auto"/>
              </w:rPr>
            </w:pPr>
            <w:r>
              <w:rPr>
                <w:rFonts w:ascii="Arial" w:cs="Arial" w:eastAsia="Arial" w:hAnsi="Arial"/>
                <w:sz w:val="16"/>
                <w:szCs w:val="16"/>
                <w:b w:val="1"/>
                <w:bCs w:val="1"/>
                <w:color w:val="auto"/>
              </w:rPr>
              <w:t>TABLE OF CONTENTS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5"/>
          </w:tcPr>
          <w:p>
            <w:pPr>
              <w:ind w:left="360"/>
              <w:spacing w:after="0"/>
              <w:rPr>
                <w:sz w:val="20"/>
                <w:szCs w:val="20"/>
                <w:color w:val="auto"/>
              </w:rPr>
            </w:pPr>
            <w:r>
              <w:rPr>
                <w:rFonts w:ascii="Arial" w:cs="Arial" w:eastAsia="Arial" w:hAnsi="Arial"/>
                <w:sz w:val="16"/>
                <w:szCs w:val="16"/>
                <w:color w:val="auto"/>
              </w:rPr>
              <w:t>Page</w:t>
            </w:r>
          </w:p>
        </w:tc>
      </w:tr>
      <w:tr>
        <w:trPr>
          <w:trHeight w:val="29"/>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120" w:type="dxa"/>
            <w:vAlign w:val="bottom"/>
            <w:shd w:val="clear" w:color="auto" w:fill="CFF0FC"/>
          </w:tcPr>
          <w:p>
            <w:pPr>
              <w:spacing w:after="0"/>
              <w:rPr>
                <w:sz w:val="17"/>
                <w:szCs w:val="17"/>
                <w:color w:val="auto"/>
              </w:rPr>
            </w:pPr>
          </w:p>
        </w:tc>
        <w:tc>
          <w:tcPr>
            <w:tcW w:w="1002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GLOSSARY OF TERMS AND ABBREVIATIONS</w:t>
            </w:r>
          </w:p>
        </w:tc>
        <w:tc>
          <w:tcPr>
            <w:tcW w:w="640" w:type="dxa"/>
            <w:vAlign w:val="bottom"/>
            <w:gridSpan w:val="4"/>
            <w:shd w:val="clear" w:color="auto" w:fill="CFF0FC"/>
          </w:tcPr>
          <w:p>
            <w:pPr>
              <w:jc w:val="center"/>
              <w:ind w:left="379"/>
              <w:spacing w:after="0"/>
              <w:rPr>
                <w:sz w:val="20"/>
                <w:szCs w:val="20"/>
                <w:color w:val="auto"/>
              </w:rPr>
            </w:pPr>
            <w:r>
              <w:rPr>
                <w:rFonts w:ascii="Arial" w:cs="Arial" w:eastAsia="Arial" w:hAnsi="Arial"/>
                <w:sz w:val="16"/>
                <w:szCs w:val="16"/>
                <w:color w:val="0000FF"/>
              </w:rPr>
              <w:t>4</w:t>
            </w:r>
          </w:p>
        </w:tc>
        <w:tc>
          <w:tcPr>
            <w:tcW w:w="460" w:type="dxa"/>
            <w:vAlign w:val="bottom"/>
            <w:shd w:val="clear" w:color="auto" w:fill="CFF0FC"/>
          </w:tcPr>
          <w:p>
            <w:pPr>
              <w:spacing w:after="0"/>
              <w:rPr>
                <w:sz w:val="17"/>
                <w:szCs w:val="17"/>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06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3480" w:type="dxa"/>
            <w:vAlign w:val="bottom"/>
            <w:gridSpan w:val="19"/>
          </w:tcPr>
          <w:p>
            <w:pPr>
              <w:spacing w:after="0"/>
              <w:rPr>
                <w:sz w:val="20"/>
                <w:szCs w:val="20"/>
                <w:color w:val="auto"/>
              </w:rPr>
            </w:pPr>
            <w:r>
              <w:rPr>
                <w:rFonts w:ascii="Arial" w:cs="Arial" w:eastAsia="Arial" w:hAnsi="Arial"/>
                <w:sz w:val="16"/>
                <w:szCs w:val="16"/>
                <w:color w:val="0000FF"/>
              </w:rPr>
              <w:t>WEBSITE ACCESS TO REPORTS</w:t>
            </w:r>
          </w:p>
        </w:tc>
        <w:tc>
          <w:tcPr>
            <w:tcW w:w="6540" w:type="dxa"/>
            <w:vAlign w:val="bottom"/>
            <w:gridSpan w:val="18"/>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10</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77"/>
        </w:trPr>
        <w:tc>
          <w:tcPr>
            <w:tcW w:w="120" w:type="dxa"/>
            <w:vAlign w:val="bottom"/>
            <w:shd w:val="clear" w:color="auto" w:fill="CFF0FC"/>
          </w:tcPr>
          <w:p>
            <w:pPr>
              <w:spacing w:after="0"/>
              <w:rPr>
                <w:sz w:val="24"/>
                <w:szCs w:val="24"/>
                <w:color w:val="auto"/>
              </w:rPr>
            </w:pPr>
          </w:p>
        </w:tc>
        <w:tc>
          <w:tcPr>
            <w:tcW w:w="1002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FORWARD-LOOKING INFORMATION</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10</w:t>
            </w:r>
          </w:p>
        </w:tc>
      </w:tr>
      <w:tr>
        <w:trPr>
          <w:trHeight w:val="229"/>
        </w:trPr>
        <w:tc>
          <w:tcPr>
            <w:tcW w:w="120" w:type="dxa"/>
            <w:vAlign w:val="bottom"/>
            <w:tcBorders>
              <w:top w:val="single" w:sz="8" w:color="CFF0FC"/>
            </w:tcBorders>
          </w:tcPr>
          <w:p>
            <w:pPr>
              <w:spacing w:after="0"/>
              <w:rPr>
                <w:sz w:val="19"/>
                <w:szCs w:val="19"/>
                <w:color w:val="auto"/>
              </w:rPr>
            </w:pPr>
          </w:p>
        </w:tc>
        <w:tc>
          <w:tcPr>
            <w:tcW w:w="1720" w:type="dxa"/>
            <w:vAlign w:val="bottom"/>
            <w:tcBorders>
              <w:top w:val="single" w:sz="8" w:color="0000FF"/>
            </w:tcBorders>
            <w:gridSpan w:val="5"/>
          </w:tcPr>
          <w:p>
            <w:pPr>
              <w:spacing w:after="0"/>
              <w:rPr>
                <w:sz w:val="20"/>
                <w:szCs w:val="20"/>
                <w:color w:val="auto"/>
              </w:rPr>
            </w:pPr>
            <w:r>
              <w:rPr>
                <w:rFonts w:ascii="Arial" w:cs="Arial" w:eastAsia="Arial" w:hAnsi="Arial"/>
                <w:sz w:val="16"/>
                <w:szCs w:val="16"/>
                <w:b w:val="1"/>
                <w:bCs w:val="1"/>
                <w:color w:val="0000FF"/>
              </w:rPr>
              <w:t>Part I</w:t>
            </w: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8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77"/>
        </w:trPr>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0000FF"/>
            </w:tcBorders>
            <w:gridSpan w:val="3"/>
            <w:shd w:val="clear" w:color="auto" w:fill="CFF0FC"/>
          </w:tcPr>
          <w:p>
            <w:pPr>
              <w:spacing w:after="0"/>
              <w:rPr>
                <w:sz w:val="20"/>
                <w:szCs w:val="20"/>
                <w:color w:val="auto"/>
              </w:rPr>
            </w:pPr>
            <w:r>
              <w:rPr>
                <w:rFonts w:ascii="Arial" w:cs="Arial" w:eastAsia="Arial" w:hAnsi="Arial"/>
                <w:sz w:val="16"/>
                <w:szCs w:val="16"/>
                <w:color w:val="0000FF"/>
                <w:w w:val="96"/>
              </w:rPr>
              <w:t>ITEM 1.</w:t>
            </w:r>
          </w:p>
        </w:tc>
        <w:tc>
          <w:tcPr>
            <w:tcW w:w="1160" w:type="dxa"/>
            <w:vAlign w:val="bottom"/>
            <w:tcBorders>
              <w:bottom w:val="single" w:sz="8" w:color="CFF0FC"/>
            </w:tcBorders>
            <w:gridSpan w:val="2"/>
            <w:shd w:val="clear" w:color="auto" w:fill="CFF0FC"/>
          </w:tcPr>
          <w:p>
            <w:pPr>
              <w:spacing w:after="0"/>
              <w:rPr>
                <w:sz w:val="24"/>
                <w:szCs w:val="24"/>
                <w:color w:val="auto"/>
              </w:rPr>
            </w:pPr>
          </w:p>
        </w:tc>
        <w:tc>
          <w:tcPr>
            <w:tcW w:w="820" w:type="dxa"/>
            <w:vAlign w:val="bottom"/>
            <w:tcBorders>
              <w:bottom w:val="single" w:sz="8" w:color="0000FF"/>
            </w:tcBorders>
            <w:gridSpan w:val="4"/>
            <w:shd w:val="clear" w:color="auto" w:fill="CFF0FC"/>
          </w:tcPr>
          <w:p>
            <w:pPr>
              <w:spacing w:after="0"/>
              <w:rPr>
                <w:sz w:val="20"/>
                <w:szCs w:val="20"/>
                <w:color w:val="auto"/>
              </w:rPr>
            </w:pPr>
            <w:r>
              <w:rPr>
                <w:rFonts w:ascii="Arial" w:cs="Arial" w:eastAsia="Arial" w:hAnsi="Arial"/>
                <w:sz w:val="16"/>
                <w:szCs w:val="16"/>
                <w:color w:val="0000FF"/>
                <w:w w:val="98"/>
              </w:rPr>
              <w:t>BUSINESS</w:t>
            </w:r>
          </w:p>
        </w:tc>
        <w:tc>
          <w:tcPr>
            <w:tcW w:w="7480" w:type="dxa"/>
            <w:vAlign w:val="bottom"/>
            <w:tcBorders>
              <w:bottom w:val="single" w:sz="8" w:color="CFF0FC"/>
            </w:tcBorders>
            <w:gridSpan w:val="28"/>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0000FF"/>
            </w:tcBorders>
            <w:gridSpan w:val="3"/>
            <w:shd w:val="clear" w:color="auto" w:fill="CFF0FC"/>
          </w:tcPr>
          <w:p>
            <w:pPr>
              <w:jc w:val="center"/>
              <w:spacing w:after="0"/>
              <w:rPr>
                <w:sz w:val="20"/>
                <w:szCs w:val="20"/>
                <w:color w:val="auto"/>
              </w:rPr>
            </w:pPr>
            <w:r>
              <w:rPr>
                <w:rFonts w:ascii="Arial" w:cs="Arial" w:eastAsia="Arial" w:hAnsi="Arial"/>
                <w:sz w:val="16"/>
                <w:szCs w:val="16"/>
                <w:color w:val="0000FF"/>
              </w:rPr>
              <w:t>11</w:t>
            </w:r>
          </w:p>
        </w:tc>
        <w:tc>
          <w:tcPr>
            <w:tcW w:w="460" w:type="dxa"/>
            <w:vAlign w:val="bottom"/>
            <w:tcBorders>
              <w:bottom w:val="single" w:sz="8" w:color="CFF0FC"/>
            </w:tcBorders>
            <w:shd w:val="clear" w:color="auto" w:fill="CFF0FC"/>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1"/>
          </w:tcPr>
          <w:p>
            <w:pPr>
              <w:spacing w:after="0"/>
              <w:rPr>
                <w:sz w:val="20"/>
                <w:szCs w:val="20"/>
                <w:color w:val="auto"/>
              </w:rPr>
            </w:pPr>
            <w:r>
              <w:rPr>
                <w:rFonts w:ascii="Arial" w:cs="Arial" w:eastAsia="Arial" w:hAnsi="Arial"/>
                <w:sz w:val="16"/>
                <w:szCs w:val="16"/>
                <w:color w:val="0000FF"/>
              </w:rPr>
              <w:t>History and Organization</w:t>
            </w:r>
          </w:p>
        </w:tc>
        <w:tc>
          <w:tcPr>
            <w:tcW w:w="640" w:type="dxa"/>
            <w:vAlign w:val="bottom"/>
            <w:gridSpan w:val="4"/>
          </w:tcPr>
          <w:p>
            <w:pPr>
              <w:jc w:val="center"/>
              <w:ind w:left="379"/>
              <w:spacing w:after="0"/>
              <w:rPr>
                <w:sz w:val="20"/>
                <w:szCs w:val="20"/>
                <w:color w:val="auto"/>
              </w:rPr>
            </w:pPr>
            <w:r>
              <w:rPr>
                <w:rFonts w:ascii="Arial" w:cs="Arial" w:eastAsia="Arial" w:hAnsi="Arial"/>
                <w:sz w:val="16"/>
                <w:szCs w:val="16"/>
                <w:color w:val="0000FF"/>
              </w:rPr>
              <w:t>11</w:t>
            </w:r>
          </w:p>
        </w:tc>
        <w:tc>
          <w:tcPr>
            <w:tcW w:w="46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1"/>
            <w:shd w:val="clear" w:color="auto" w:fill="CFF0FC"/>
          </w:tcPr>
          <w:p>
            <w:pPr>
              <w:spacing w:after="0"/>
              <w:rPr>
                <w:sz w:val="20"/>
                <w:szCs w:val="20"/>
                <w:color w:val="auto"/>
              </w:rPr>
            </w:pPr>
            <w:r>
              <w:rPr>
                <w:rFonts w:ascii="Arial" w:cs="Arial" w:eastAsia="Arial" w:hAnsi="Arial"/>
                <w:sz w:val="16"/>
                <w:szCs w:val="16"/>
                <w:color w:val="0000FF"/>
              </w:rPr>
              <w:t>Electric Utilities</w:t>
            </w:r>
          </w:p>
        </w:tc>
        <w:tc>
          <w:tcPr>
            <w:tcW w:w="640" w:type="dxa"/>
            <w:vAlign w:val="bottom"/>
            <w:gridSpan w:val="4"/>
            <w:shd w:val="clear" w:color="auto" w:fill="CFF0FC"/>
          </w:tcPr>
          <w:p>
            <w:pPr>
              <w:jc w:val="center"/>
              <w:ind w:left="379"/>
              <w:spacing w:after="0"/>
              <w:rPr>
                <w:sz w:val="20"/>
                <w:szCs w:val="20"/>
                <w:color w:val="auto"/>
              </w:rPr>
            </w:pPr>
            <w:r>
              <w:rPr>
                <w:rFonts w:ascii="Arial" w:cs="Arial" w:eastAsia="Arial" w:hAnsi="Arial"/>
                <w:sz w:val="16"/>
                <w:szCs w:val="16"/>
                <w:color w:val="0000FF"/>
              </w:rPr>
              <w:t>11</w:t>
            </w:r>
          </w:p>
        </w:tc>
        <w:tc>
          <w:tcPr>
            <w:tcW w:w="46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9"/>
          </w:tcPr>
          <w:p>
            <w:pPr>
              <w:spacing w:after="0"/>
              <w:rPr>
                <w:sz w:val="20"/>
                <w:szCs w:val="20"/>
                <w:color w:val="auto"/>
              </w:rPr>
            </w:pPr>
            <w:r>
              <w:rPr>
                <w:rFonts w:ascii="Arial" w:cs="Arial" w:eastAsia="Arial" w:hAnsi="Arial"/>
                <w:sz w:val="16"/>
                <w:szCs w:val="16"/>
                <w:color w:val="0000FF"/>
              </w:rPr>
              <w:t>Gas Utilities</w:t>
            </w:r>
          </w:p>
        </w:tc>
        <w:tc>
          <w:tcPr>
            <w:tcW w:w="6880" w:type="dxa"/>
            <w:vAlign w:val="bottom"/>
            <w:gridSpan w:val="22"/>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14</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40" w:type="dxa"/>
            <w:vAlign w:val="bottom"/>
            <w:gridSpan w:val="23"/>
            <w:shd w:val="clear" w:color="auto" w:fill="CFF0FC"/>
          </w:tcPr>
          <w:p>
            <w:pPr>
              <w:spacing w:after="0"/>
              <w:rPr>
                <w:sz w:val="20"/>
                <w:szCs w:val="20"/>
                <w:color w:val="auto"/>
              </w:rPr>
            </w:pPr>
            <w:r>
              <w:rPr>
                <w:rFonts w:ascii="Arial" w:cs="Arial" w:eastAsia="Arial" w:hAnsi="Arial"/>
                <w:sz w:val="16"/>
                <w:szCs w:val="16"/>
                <w:color w:val="0000FF"/>
              </w:rPr>
              <w:t>Utility Regulation Characteristics</w:t>
            </w:r>
          </w:p>
        </w:tc>
        <w:tc>
          <w:tcPr>
            <w:tcW w:w="5640" w:type="dxa"/>
            <w:vAlign w:val="bottom"/>
            <w:gridSpan w:val="8"/>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16</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23"/>
          </w:tcPr>
          <w:p>
            <w:pPr>
              <w:spacing w:after="0"/>
              <w:rPr>
                <w:sz w:val="20"/>
                <w:szCs w:val="20"/>
                <w:color w:val="auto"/>
              </w:rPr>
            </w:pPr>
            <w:r>
              <w:rPr>
                <w:rFonts w:ascii="Arial" w:cs="Arial" w:eastAsia="Arial" w:hAnsi="Arial"/>
                <w:sz w:val="16"/>
                <w:szCs w:val="16"/>
                <w:color w:val="0000FF"/>
              </w:rPr>
              <w:t>Environmental Matters</w:t>
            </w:r>
          </w:p>
        </w:tc>
        <w:tc>
          <w:tcPr>
            <w:tcW w:w="5640" w:type="dxa"/>
            <w:vAlign w:val="bottom"/>
            <w:gridSpan w:val="8"/>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20</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gridSpan w:val="19"/>
            <w:shd w:val="clear" w:color="auto" w:fill="CFF0FC"/>
          </w:tcPr>
          <w:p>
            <w:pPr>
              <w:spacing w:after="0"/>
              <w:rPr>
                <w:sz w:val="20"/>
                <w:szCs w:val="20"/>
                <w:color w:val="auto"/>
              </w:rPr>
            </w:pPr>
            <w:r>
              <w:rPr>
                <w:rFonts w:ascii="Arial" w:cs="Arial" w:eastAsia="Arial" w:hAnsi="Arial"/>
                <w:sz w:val="16"/>
                <w:szCs w:val="16"/>
                <w:color w:val="0000FF"/>
              </w:rPr>
              <w:t>Human Capital Resources</w:t>
            </w:r>
          </w:p>
        </w:tc>
        <w:tc>
          <w:tcPr>
            <w:tcW w:w="6080" w:type="dxa"/>
            <w:vAlign w:val="bottom"/>
            <w:gridSpan w:val="12"/>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21</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1A.</w:t>
            </w:r>
          </w:p>
        </w:tc>
        <w:tc>
          <w:tcPr>
            <w:tcW w:w="8300" w:type="dxa"/>
            <w:vAlign w:val="bottom"/>
            <w:gridSpan w:val="32"/>
          </w:tcPr>
          <w:p>
            <w:pPr>
              <w:spacing w:after="0"/>
              <w:rPr>
                <w:sz w:val="20"/>
                <w:szCs w:val="20"/>
                <w:color w:val="auto"/>
              </w:rPr>
            </w:pPr>
            <w:r>
              <w:rPr>
                <w:rFonts w:ascii="Arial" w:cs="Arial" w:eastAsia="Arial" w:hAnsi="Arial"/>
                <w:sz w:val="16"/>
                <w:szCs w:val="16"/>
                <w:color w:val="0000FF"/>
              </w:rPr>
              <w:t>RISK FACTORS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23</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1B.</w:t>
            </w: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UNRESOLVED STAFF COMMENTS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6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1060" w:type="dxa"/>
            <w:vAlign w:val="bottom"/>
          </w:tcPr>
          <w:p>
            <w:pPr>
              <w:spacing w:after="0"/>
              <w:rPr>
                <w:sz w:val="19"/>
                <w:szCs w:val="19"/>
                <w:color w:val="auto"/>
              </w:rPr>
            </w:pPr>
          </w:p>
        </w:tc>
        <w:tc>
          <w:tcPr>
            <w:tcW w:w="2640" w:type="dxa"/>
            <w:vAlign w:val="bottom"/>
            <w:gridSpan w:val="23"/>
          </w:tcPr>
          <w:p>
            <w:pPr>
              <w:spacing w:after="0"/>
              <w:rPr>
                <w:sz w:val="20"/>
                <w:szCs w:val="20"/>
                <w:color w:val="auto"/>
              </w:rPr>
            </w:pPr>
            <w:r>
              <w:rPr>
                <w:rFonts w:ascii="Arial" w:cs="Arial" w:eastAsia="Arial" w:hAnsi="Arial"/>
                <w:sz w:val="16"/>
                <w:szCs w:val="16"/>
                <w:color w:val="0000FF"/>
              </w:rPr>
              <w:t>PROPERTIES</w:t>
            </w:r>
          </w:p>
        </w:tc>
        <w:tc>
          <w:tcPr>
            <w:tcW w:w="5660" w:type="dxa"/>
            <w:vAlign w:val="bottom"/>
            <w:gridSpan w:val="9"/>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3.</w:t>
            </w:r>
          </w:p>
        </w:tc>
        <w:tc>
          <w:tcPr>
            <w:tcW w:w="1160" w:type="dxa"/>
            <w:vAlign w:val="bottom"/>
            <w:gridSpan w:val="2"/>
            <w:shd w:val="clear" w:color="auto" w:fill="CFF0FC"/>
          </w:tcPr>
          <w:p>
            <w:pPr>
              <w:spacing w:after="0"/>
              <w:rPr>
                <w:sz w:val="19"/>
                <w:szCs w:val="19"/>
                <w:color w:val="auto"/>
              </w:rPr>
            </w:pP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LEGAL PROCEEDINGS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0000FF"/>
                <w:w w:val="96"/>
              </w:rPr>
              <w:t>ITEM 4.</w:t>
            </w:r>
          </w:p>
        </w:tc>
        <w:tc>
          <w:tcPr>
            <w:tcW w:w="1160" w:type="dxa"/>
            <w:vAlign w:val="bottom"/>
            <w:gridSpan w:val="2"/>
          </w:tcPr>
          <w:p>
            <w:pPr>
              <w:spacing w:after="0"/>
              <w:rPr>
                <w:sz w:val="19"/>
                <w:szCs w:val="19"/>
                <w:color w:val="auto"/>
              </w:rPr>
            </w:pPr>
          </w:p>
        </w:tc>
        <w:tc>
          <w:tcPr>
            <w:tcW w:w="8300" w:type="dxa"/>
            <w:vAlign w:val="bottom"/>
            <w:gridSpan w:val="32"/>
          </w:tcPr>
          <w:p>
            <w:pPr>
              <w:spacing w:after="0"/>
              <w:rPr>
                <w:sz w:val="20"/>
                <w:szCs w:val="20"/>
                <w:color w:val="auto"/>
              </w:rPr>
            </w:pPr>
            <w:r>
              <w:rPr>
                <w:rFonts w:ascii="Arial" w:cs="Arial" w:eastAsia="Arial" w:hAnsi="Arial"/>
                <w:sz w:val="16"/>
                <w:szCs w:val="16"/>
                <w:color w:val="0000FF"/>
              </w:rPr>
              <w:t>MINE SAFETY DISCLOSURES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77"/>
        </w:trPr>
        <w:tc>
          <w:tcPr>
            <w:tcW w:w="120" w:type="dxa"/>
            <w:vAlign w:val="bottom"/>
            <w:shd w:val="clear" w:color="auto" w:fill="CFF0FC"/>
          </w:tcPr>
          <w:p>
            <w:pPr>
              <w:spacing w:after="0"/>
              <w:rPr>
                <w:sz w:val="24"/>
                <w:szCs w:val="24"/>
                <w:color w:val="auto"/>
              </w:rPr>
            </w:pPr>
          </w:p>
        </w:tc>
        <w:tc>
          <w:tcPr>
            <w:tcW w:w="1002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INFORMATION ABOUT OUR EXECUTIVE OFFICERS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31</w:t>
            </w:r>
          </w:p>
        </w:tc>
      </w:tr>
      <w:tr>
        <w:trPr>
          <w:trHeight w:val="229"/>
        </w:trPr>
        <w:tc>
          <w:tcPr>
            <w:tcW w:w="120" w:type="dxa"/>
            <w:vAlign w:val="bottom"/>
            <w:tcBorders>
              <w:top w:val="single" w:sz="8" w:color="CFF0FC"/>
            </w:tcBorders>
          </w:tcPr>
          <w:p>
            <w:pPr>
              <w:spacing w:after="0"/>
              <w:rPr>
                <w:sz w:val="19"/>
                <w:szCs w:val="19"/>
                <w:color w:val="auto"/>
              </w:rPr>
            </w:pPr>
          </w:p>
        </w:tc>
        <w:tc>
          <w:tcPr>
            <w:tcW w:w="1720" w:type="dxa"/>
            <w:vAlign w:val="bottom"/>
            <w:tcBorders>
              <w:top w:val="single" w:sz="8" w:color="0000FF"/>
            </w:tcBorders>
            <w:gridSpan w:val="5"/>
          </w:tcPr>
          <w:p>
            <w:pPr>
              <w:spacing w:after="0"/>
              <w:rPr>
                <w:sz w:val="20"/>
                <w:szCs w:val="20"/>
                <w:color w:val="auto"/>
              </w:rPr>
            </w:pPr>
            <w:r>
              <w:rPr>
                <w:rFonts w:ascii="Arial" w:cs="Arial" w:eastAsia="Arial" w:hAnsi="Arial"/>
                <w:sz w:val="16"/>
                <w:szCs w:val="16"/>
                <w:b w:val="1"/>
                <w:bCs w:val="1"/>
                <w:color w:val="0000FF"/>
              </w:rPr>
              <w:t>Part II</w:t>
            </w: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8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5.</w:t>
            </w: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MARKET FOR REGISTRANT’S COMMON EQUITY, RELATED STOCKHOLDER MATTERS AND ISSUER</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32</w:t>
            </w:r>
          </w:p>
        </w:tc>
      </w:tr>
      <w:tr>
        <w:trPr>
          <w:trHeight w:val="216"/>
        </w:trPr>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0000FF"/>
            </w:tcBorders>
            <w:shd w:val="clear" w:color="auto" w:fill="CFF0FC"/>
          </w:tcPr>
          <w:p>
            <w:pPr>
              <w:spacing w:after="0"/>
              <w:rPr>
                <w:sz w:val="18"/>
                <w:szCs w:val="18"/>
                <w:color w:val="auto"/>
              </w:rPr>
            </w:pPr>
          </w:p>
        </w:tc>
        <w:tc>
          <w:tcPr>
            <w:tcW w:w="40" w:type="dxa"/>
            <w:vAlign w:val="bottom"/>
            <w:tcBorders>
              <w:top w:val="single" w:sz="8" w:color="0000FF"/>
            </w:tcBorders>
            <w:shd w:val="clear" w:color="auto" w:fill="CFF0FC"/>
          </w:tcPr>
          <w:p>
            <w:pPr>
              <w:spacing w:after="0"/>
              <w:rPr>
                <w:sz w:val="18"/>
                <w:szCs w:val="18"/>
                <w:color w:val="auto"/>
              </w:rPr>
            </w:pPr>
          </w:p>
        </w:tc>
        <w:tc>
          <w:tcPr>
            <w:tcW w:w="120" w:type="dxa"/>
            <w:vAlign w:val="bottom"/>
            <w:tcBorders>
              <w:top w:val="single" w:sz="8" w:color="0000FF"/>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7720" w:type="dxa"/>
            <w:vAlign w:val="bottom"/>
            <w:tcBorders>
              <w:top w:val="single" w:sz="8" w:color="0000FF"/>
            </w:tcBorders>
            <w:gridSpan w:val="30"/>
            <w:shd w:val="clear" w:color="auto" w:fill="CFF0FC"/>
          </w:tcPr>
          <w:p>
            <w:pPr>
              <w:spacing w:after="0" w:line="169" w:lineRule="exact"/>
              <w:rPr>
                <w:sz w:val="20"/>
                <w:szCs w:val="20"/>
                <w:color w:val="auto"/>
              </w:rPr>
            </w:pPr>
            <w:r>
              <w:rPr>
                <w:rFonts w:ascii="Arial" w:cs="Arial" w:eastAsia="Arial" w:hAnsi="Arial"/>
                <w:sz w:val="16"/>
                <w:szCs w:val="16"/>
                <w:color w:val="0000FF"/>
              </w:rPr>
              <w:t>PURCHASES OF EQUITY SECURITIES</w:t>
            </w:r>
          </w:p>
        </w:tc>
        <w:tc>
          <w:tcPr>
            <w:tcW w:w="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0000FF"/>
            </w:tcBorders>
            <w:shd w:val="clear" w:color="auto" w:fill="CFF0FC"/>
          </w:tcPr>
          <w:p>
            <w:pPr>
              <w:spacing w:after="0"/>
              <w:rPr>
                <w:sz w:val="18"/>
                <w:szCs w:val="18"/>
                <w:color w:val="auto"/>
              </w:rPr>
            </w:pPr>
          </w:p>
        </w:tc>
        <w:tc>
          <w:tcPr>
            <w:tcW w:w="100" w:type="dxa"/>
            <w:vAlign w:val="bottom"/>
            <w:tcBorders>
              <w:top w:val="single" w:sz="8" w:color="0000FF"/>
            </w:tcBorders>
            <w:shd w:val="clear" w:color="auto" w:fill="CFF0FC"/>
          </w:tcPr>
          <w:p>
            <w:pPr>
              <w:spacing w:after="0"/>
              <w:rPr>
                <w:sz w:val="18"/>
                <w:szCs w:val="18"/>
                <w:color w:val="auto"/>
              </w:rPr>
            </w:pPr>
          </w:p>
        </w:tc>
        <w:tc>
          <w:tcPr>
            <w:tcW w:w="40" w:type="dxa"/>
            <w:vAlign w:val="bottom"/>
            <w:tcBorders>
              <w:top w:val="single" w:sz="8" w:color="0000FF"/>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r>
      <w:tr>
        <w:trPr>
          <w:trHeight w:val="230"/>
        </w:trPr>
        <w:tc>
          <w:tcPr>
            <w:tcW w:w="120" w:type="dxa"/>
            <w:vAlign w:val="bottom"/>
            <w:tcBorders>
              <w:top w:val="single" w:sz="8" w:color="CFF0FC"/>
            </w:tcBorders>
          </w:tcPr>
          <w:p>
            <w:pPr>
              <w:spacing w:after="0"/>
              <w:rPr>
                <w:sz w:val="19"/>
                <w:szCs w:val="19"/>
                <w:color w:val="auto"/>
              </w:rPr>
            </w:pPr>
          </w:p>
        </w:tc>
        <w:tc>
          <w:tcPr>
            <w:tcW w:w="1720" w:type="dxa"/>
            <w:vAlign w:val="bottom"/>
            <w:tcBorders>
              <w:top w:val="single" w:sz="8" w:color="CFF0FC"/>
            </w:tcBorders>
            <w:gridSpan w:val="5"/>
          </w:tcPr>
          <w:p>
            <w:pPr>
              <w:spacing w:after="0"/>
              <w:rPr>
                <w:sz w:val="20"/>
                <w:szCs w:val="20"/>
                <w:color w:val="auto"/>
              </w:rPr>
            </w:pPr>
            <w:r>
              <w:rPr>
                <w:rFonts w:ascii="Arial" w:cs="Arial" w:eastAsia="Arial" w:hAnsi="Arial"/>
                <w:sz w:val="16"/>
                <w:szCs w:val="16"/>
                <w:color w:val="0000FF"/>
              </w:rPr>
              <w:t>ITEM 6.</w:t>
            </w:r>
          </w:p>
        </w:tc>
        <w:tc>
          <w:tcPr>
            <w:tcW w:w="2940" w:type="dxa"/>
            <w:vAlign w:val="bottom"/>
            <w:tcBorders>
              <w:top w:val="single" w:sz="8" w:color="0000FF"/>
            </w:tcBorders>
            <w:gridSpan w:val="26"/>
          </w:tcPr>
          <w:p>
            <w:pPr>
              <w:spacing w:after="0"/>
              <w:rPr>
                <w:sz w:val="20"/>
                <w:szCs w:val="20"/>
                <w:color w:val="auto"/>
              </w:rPr>
            </w:pPr>
            <w:r>
              <w:rPr>
                <w:rFonts w:ascii="Arial" w:cs="Arial" w:eastAsia="Arial" w:hAnsi="Arial"/>
                <w:sz w:val="16"/>
                <w:szCs w:val="16"/>
                <w:color w:val="0000FF"/>
              </w:rPr>
              <w:t>RESERVED</w:t>
            </w:r>
          </w:p>
        </w:tc>
        <w:tc>
          <w:tcPr>
            <w:tcW w:w="5360" w:type="dxa"/>
            <w:vAlign w:val="bottom"/>
            <w:tcBorders>
              <w:top w:val="single" w:sz="8" w:color="CFF0FC"/>
            </w:tcBorders>
            <w:gridSpan w:val="6"/>
          </w:tcPr>
          <w:p>
            <w:pPr>
              <w:spacing w:after="0"/>
              <w:rPr>
                <w:sz w:val="19"/>
                <w:szCs w:val="19"/>
                <w:color w:val="auto"/>
              </w:rPr>
            </w:pPr>
          </w:p>
        </w:tc>
        <w:tc>
          <w:tcPr>
            <w:tcW w:w="1100" w:type="dxa"/>
            <w:vAlign w:val="bottom"/>
            <w:tcBorders>
              <w:top w:val="single" w:sz="8" w:color="CFF0FC"/>
            </w:tcBorders>
            <w:gridSpan w:val="5"/>
          </w:tcPr>
          <w:p>
            <w:pPr>
              <w:jc w:val="center"/>
              <w:spacing w:after="0"/>
              <w:rPr>
                <w:sz w:val="20"/>
                <w:szCs w:val="20"/>
                <w:color w:val="auto"/>
              </w:rPr>
            </w:pPr>
            <w:r>
              <w:rPr>
                <w:rFonts w:ascii="Arial" w:cs="Arial" w:eastAsia="Arial" w:hAnsi="Arial"/>
                <w:sz w:val="16"/>
                <w:szCs w:val="16"/>
                <w:color w:val="0000FF"/>
              </w:rPr>
              <w:t>33</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7.</w:t>
            </w: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MANAGEMENT’S DISCUSSION AND ANALYSIS OF FINANCIAL CONDITION AND RESULTS OF</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33</w:t>
            </w:r>
          </w:p>
        </w:tc>
      </w:tr>
      <w:tr>
        <w:trPr>
          <w:trHeight w:val="169"/>
        </w:trPr>
        <w:tc>
          <w:tcPr>
            <w:tcW w:w="12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CFF0FC"/>
            </w:tcBorders>
            <w:shd w:val="clear" w:color="auto" w:fill="CFF0FC"/>
          </w:tcPr>
          <w:p>
            <w:pPr>
              <w:spacing w:after="0"/>
              <w:rPr>
                <w:sz w:val="14"/>
                <w:szCs w:val="14"/>
                <w:color w:val="auto"/>
              </w:rPr>
            </w:pPr>
          </w:p>
        </w:tc>
        <w:tc>
          <w:tcPr>
            <w:tcW w:w="7160" w:type="dxa"/>
            <w:vAlign w:val="bottom"/>
            <w:tcBorders>
              <w:top w:val="single" w:sz="8" w:color="0000FF"/>
            </w:tcBorders>
            <w:gridSpan w:val="29"/>
            <w:shd w:val="clear" w:color="auto" w:fill="CFF0FC"/>
          </w:tcPr>
          <w:p>
            <w:pPr>
              <w:spacing w:after="0" w:line="169" w:lineRule="exact"/>
              <w:rPr>
                <w:sz w:val="20"/>
                <w:szCs w:val="20"/>
                <w:color w:val="auto"/>
              </w:rPr>
            </w:pPr>
            <w:r>
              <w:rPr>
                <w:rFonts w:ascii="Arial" w:cs="Arial" w:eastAsia="Arial" w:hAnsi="Arial"/>
                <w:sz w:val="16"/>
                <w:szCs w:val="16"/>
                <w:color w:val="0000FF"/>
              </w:rPr>
              <w:t>OPERATIONS</w:t>
            </w:r>
          </w:p>
        </w:tc>
        <w:tc>
          <w:tcPr>
            <w:tcW w:w="920" w:type="dxa"/>
            <w:vAlign w:val="bottom"/>
            <w:tcBorders>
              <w:top w:val="single" w:sz="8" w:color="CFF0FC"/>
            </w:tcBorders>
            <w:gridSpan w:val="2"/>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300" w:type="dxa"/>
            <w:vAlign w:val="bottom"/>
            <w:gridSpan w:val="32"/>
          </w:tcPr>
          <w:p>
            <w:pPr>
              <w:spacing w:after="0"/>
              <w:rPr>
                <w:sz w:val="20"/>
                <w:szCs w:val="20"/>
                <w:color w:val="auto"/>
              </w:rPr>
            </w:pPr>
            <w:r>
              <w:rPr>
                <w:rFonts w:ascii="Arial" w:cs="Arial" w:eastAsia="Arial" w:hAnsi="Arial"/>
                <w:sz w:val="16"/>
                <w:szCs w:val="16"/>
                <w:color w:val="0000FF"/>
              </w:rPr>
              <w:t>Executive Summary</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33</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Key Elements of our Business Strategy</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34</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0" w:type="dxa"/>
            <w:vAlign w:val="bottom"/>
            <w:gridSpan w:val="25"/>
          </w:tcPr>
          <w:p>
            <w:pPr>
              <w:spacing w:after="0"/>
              <w:rPr>
                <w:sz w:val="20"/>
                <w:szCs w:val="20"/>
                <w:color w:val="auto"/>
              </w:rPr>
            </w:pPr>
            <w:r>
              <w:rPr>
                <w:rFonts w:ascii="Arial" w:cs="Arial" w:eastAsia="Arial" w:hAnsi="Arial"/>
                <w:sz w:val="16"/>
                <w:szCs w:val="16"/>
                <w:color w:val="0000FF"/>
              </w:rPr>
              <w:t>Recent Developments</w:t>
            </w:r>
          </w:p>
        </w:tc>
        <w:tc>
          <w:tcPr>
            <w:tcW w:w="5500" w:type="dxa"/>
            <w:vAlign w:val="bottom"/>
            <w:gridSpan w:val="7"/>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38</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20" w:type="dxa"/>
            <w:vAlign w:val="bottom"/>
            <w:gridSpan w:val="27"/>
            <w:shd w:val="clear" w:color="auto" w:fill="CFF0FC"/>
          </w:tcPr>
          <w:p>
            <w:pPr>
              <w:spacing w:after="0"/>
              <w:rPr>
                <w:sz w:val="20"/>
                <w:szCs w:val="20"/>
                <w:color w:val="auto"/>
              </w:rPr>
            </w:pPr>
            <w:r>
              <w:rPr>
                <w:rFonts w:ascii="Arial" w:cs="Arial" w:eastAsia="Arial" w:hAnsi="Arial"/>
                <w:sz w:val="16"/>
                <w:szCs w:val="16"/>
                <w:color w:val="0000FF"/>
              </w:rPr>
              <w:t>Results of Operations - Consolidated Summary and Overview</w:t>
            </w:r>
          </w:p>
        </w:tc>
        <w:tc>
          <w:tcPr>
            <w:tcW w:w="3880" w:type="dxa"/>
            <w:vAlign w:val="bottom"/>
            <w:gridSpan w:val="5"/>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39</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1480" w:type="dxa"/>
            <w:vAlign w:val="bottom"/>
            <w:tcBorders>
              <w:top w:val="single" w:sz="8" w:color="0000FF"/>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00" w:type="dxa"/>
            <w:vAlign w:val="bottom"/>
            <w:gridSpan w:val="26"/>
          </w:tcPr>
          <w:p>
            <w:pPr>
              <w:spacing w:after="0"/>
              <w:rPr>
                <w:sz w:val="20"/>
                <w:szCs w:val="20"/>
                <w:color w:val="auto"/>
              </w:rPr>
            </w:pPr>
            <w:r>
              <w:rPr>
                <w:rFonts w:ascii="Arial" w:cs="Arial" w:eastAsia="Arial" w:hAnsi="Arial"/>
                <w:sz w:val="16"/>
                <w:szCs w:val="16"/>
                <w:color w:val="0000FF"/>
              </w:rPr>
              <w:t>Non-GAAP Financial Measure</w:t>
            </w:r>
          </w:p>
        </w:tc>
        <w:tc>
          <w:tcPr>
            <w:tcW w:w="3880" w:type="dxa"/>
            <w:vAlign w:val="bottom"/>
            <w:gridSpan w:val="5"/>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40</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1"/>
            <w:shd w:val="clear" w:color="auto" w:fill="CFF0FC"/>
          </w:tcPr>
          <w:p>
            <w:pPr>
              <w:spacing w:after="0"/>
              <w:rPr>
                <w:sz w:val="20"/>
                <w:szCs w:val="20"/>
                <w:color w:val="auto"/>
              </w:rPr>
            </w:pPr>
            <w:r>
              <w:rPr>
                <w:rFonts w:ascii="Arial" w:cs="Arial" w:eastAsia="Arial" w:hAnsi="Arial"/>
                <w:sz w:val="16"/>
                <w:szCs w:val="16"/>
                <w:color w:val="0000FF"/>
              </w:rPr>
              <w:t>Electric Utilities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41</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9"/>
          </w:tcPr>
          <w:p>
            <w:pPr>
              <w:spacing w:after="0"/>
              <w:rPr>
                <w:sz w:val="20"/>
                <w:szCs w:val="20"/>
                <w:color w:val="auto"/>
              </w:rPr>
            </w:pPr>
            <w:r>
              <w:rPr>
                <w:rFonts w:ascii="Arial" w:cs="Arial" w:eastAsia="Arial" w:hAnsi="Arial"/>
                <w:sz w:val="16"/>
                <w:szCs w:val="16"/>
                <w:color w:val="0000FF"/>
              </w:rPr>
              <w:t>Gas Utilities</w:t>
            </w:r>
          </w:p>
        </w:tc>
        <w:tc>
          <w:tcPr>
            <w:tcW w:w="6880" w:type="dxa"/>
            <w:vAlign w:val="bottom"/>
            <w:gridSpan w:val="22"/>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44</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1"/>
            <w:shd w:val="clear" w:color="auto" w:fill="CFF0FC"/>
          </w:tcPr>
          <w:p>
            <w:pPr>
              <w:spacing w:after="0"/>
              <w:rPr>
                <w:sz w:val="20"/>
                <w:szCs w:val="20"/>
                <w:color w:val="auto"/>
              </w:rPr>
            </w:pPr>
            <w:r>
              <w:rPr>
                <w:rFonts w:ascii="Arial" w:cs="Arial" w:eastAsia="Arial" w:hAnsi="Arial"/>
                <w:sz w:val="16"/>
                <w:szCs w:val="16"/>
                <w:color w:val="0000FF"/>
              </w:rPr>
              <w:t>Corporate and Other</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46</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1"/>
          </w:tcPr>
          <w:p>
            <w:pPr>
              <w:spacing w:after="0"/>
              <w:rPr>
                <w:sz w:val="20"/>
                <w:szCs w:val="20"/>
                <w:color w:val="auto"/>
              </w:rPr>
            </w:pPr>
            <w:r>
              <w:rPr>
                <w:rFonts w:ascii="Arial" w:cs="Arial" w:eastAsia="Arial" w:hAnsi="Arial"/>
                <w:sz w:val="16"/>
                <w:szCs w:val="16"/>
                <w:color w:val="0000FF"/>
              </w:rPr>
              <w:t>Consolidated Interest Expense, Impairment of Investment, Other Income (Expense) and Income Tax Benefit</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46</w:t>
            </w:r>
          </w:p>
        </w:tc>
      </w:tr>
      <w:tr>
        <w:trPr>
          <w:trHeight w:val="169"/>
        </w:trPr>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Borders>
              <w:top w:val="single" w:sz="8" w:color="0000FF"/>
            </w:tcBorders>
            <w:gridSpan w:val="30"/>
          </w:tcPr>
          <w:p>
            <w:pPr>
              <w:spacing w:after="0" w:line="169" w:lineRule="exact"/>
              <w:rPr>
                <w:sz w:val="20"/>
                <w:szCs w:val="20"/>
                <w:color w:val="auto"/>
              </w:rPr>
            </w:pPr>
            <w:r>
              <w:rPr>
                <w:rFonts w:ascii="Arial" w:cs="Arial" w:eastAsia="Arial" w:hAnsi="Arial"/>
                <w:sz w:val="16"/>
                <w:szCs w:val="16"/>
                <w:color w:val="0000FF"/>
              </w:rPr>
              <w:t>(Expense)</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80" w:type="dxa"/>
            <w:vAlign w:val="bottom"/>
            <w:gridSpan w:val="21"/>
            <w:shd w:val="clear" w:color="auto" w:fill="CFF0FC"/>
          </w:tcPr>
          <w:p>
            <w:pPr>
              <w:spacing w:after="0"/>
              <w:rPr>
                <w:sz w:val="20"/>
                <w:szCs w:val="20"/>
                <w:color w:val="auto"/>
              </w:rPr>
            </w:pPr>
            <w:r>
              <w:rPr>
                <w:rFonts w:ascii="Arial" w:cs="Arial" w:eastAsia="Arial" w:hAnsi="Arial"/>
                <w:sz w:val="16"/>
                <w:szCs w:val="16"/>
                <w:color w:val="0000FF"/>
              </w:rPr>
              <w:t>Liquidity and Capital Resources</w:t>
            </w:r>
          </w:p>
        </w:tc>
        <w:tc>
          <w:tcPr>
            <w:tcW w:w="6020" w:type="dxa"/>
            <w:vAlign w:val="bottom"/>
            <w:gridSpan w:val="11"/>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47</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20"/>
          </w:tcPr>
          <w:p>
            <w:pPr>
              <w:ind w:left="20"/>
              <w:spacing w:after="0"/>
              <w:rPr>
                <w:sz w:val="20"/>
                <w:szCs w:val="20"/>
                <w:color w:val="auto"/>
              </w:rPr>
            </w:pPr>
            <w:r>
              <w:rPr>
                <w:rFonts w:ascii="Arial" w:cs="Arial" w:eastAsia="Arial" w:hAnsi="Arial"/>
                <w:sz w:val="16"/>
                <w:szCs w:val="16"/>
                <w:color w:val="0000FF"/>
              </w:rPr>
              <w:t>Cash Flow Activities</w:t>
            </w:r>
          </w:p>
        </w:tc>
        <w:tc>
          <w:tcPr>
            <w:tcW w:w="6020" w:type="dxa"/>
            <w:vAlign w:val="bottom"/>
            <w:gridSpan w:val="11"/>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47</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1"/>
            <w:shd w:val="clear" w:color="auto" w:fill="CFF0FC"/>
          </w:tcPr>
          <w:p>
            <w:pPr>
              <w:ind w:left="20"/>
              <w:spacing w:after="0"/>
              <w:rPr>
                <w:sz w:val="20"/>
                <w:szCs w:val="20"/>
                <w:color w:val="auto"/>
              </w:rPr>
            </w:pPr>
            <w:r>
              <w:rPr>
                <w:rFonts w:ascii="Arial" w:cs="Arial" w:eastAsia="Arial" w:hAnsi="Arial"/>
                <w:sz w:val="16"/>
                <w:szCs w:val="16"/>
                <w:color w:val="0000FF"/>
              </w:rPr>
              <w:t>Capital Resources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49</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1"/>
          </w:tcPr>
          <w:p>
            <w:pPr>
              <w:ind w:left="20"/>
              <w:spacing w:after="0"/>
              <w:rPr>
                <w:sz w:val="20"/>
                <w:szCs w:val="20"/>
                <w:color w:val="auto"/>
              </w:rPr>
            </w:pPr>
            <w:r>
              <w:rPr>
                <w:rFonts w:ascii="Arial" w:cs="Arial" w:eastAsia="Arial" w:hAnsi="Arial"/>
                <w:sz w:val="16"/>
                <w:szCs w:val="16"/>
                <w:color w:val="0000FF"/>
              </w:rPr>
              <w:t>Credit Ratings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50</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1"/>
            <w:shd w:val="clear" w:color="auto" w:fill="CFF0FC"/>
          </w:tcPr>
          <w:p>
            <w:pPr>
              <w:spacing w:after="0"/>
              <w:rPr>
                <w:sz w:val="20"/>
                <w:szCs w:val="20"/>
                <w:color w:val="auto"/>
              </w:rPr>
            </w:pPr>
            <w:r>
              <w:rPr>
                <w:rFonts w:ascii="Arial" w:cs="Arial" w:eastAsia="Arial" w:hAnsi="Arial"/>
                <w:sz w:val="16"/>
                <w:szCs w:val="16"/>
                <w:color w:val="0000FF"/>
              </w:rPr>
              <w:t>Capital Requirements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50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06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300" w:type="dxa"/>
            <w:vAlign w:val="bottom"/>
            <w:gridSpan w:val="32"/>
          </w:tcPr>
          <w:p>
            <w:pPr>
              <w:spacing w:after="0"/>
              <w:rPr>
                <w:sz w:val="20"/>
                <w:szCs w:val="20"/>
                <w:color w:val="auto"/>
              </w:rPr>
            </w:pPr>
            <w:r>
              <w:rPr>
                <w:rFonts w:ascii="Arial" w:cs="Arial" w:eastAsia="Arial" w:hAnsi="Arial"/>
                <w:sz w:val="16"/>
                <w:szCs w:val="16"/>
                <w:color w:val="0000FF"/>
              </w:rPr>
              <w:t>Critical Accounting Estimates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52</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77"/>
        </w:trPr>
        <w:tc>
          <w:tcPr>
            <w:tcW w:w="120" w:type="dxa"/>
            <w:vAlign w:val="bottom"/>
            <w:shd w:val="clear" w:color="auto" w:fill="CFF0FC"/>
          </w:tcPr>
          <w:p>
            <w:pPr>
              <w:spacing w:after="0"/>
              <w:rPr>
                <w:sz w:val="24"/>
                <w:szCs w:val="24"/>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7A.</w:t>
            </w:r>
          </w:p>
        </w:tc>
        <w:tc>
          <w:tcPr>
            <w:tcW w:w="830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54</w:t>
            </w:r>
          </w:p>
        </w:tc>
      </w:tr>
      <w:tr>
        <w:trPr>
          <w:trHeight w:val="633"/>
        </w:trPr>
        <w:tc>
          <w:tcPr>
            <w:tcW w:w="120" w:type="dxa"/>
            <w:vAlign w:val="bottom"/>
            <w:tcBorders>
              <w:top w:val="single" w:sz="8" w:color="CFF0FC"/>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4420" w:type="dxa"/>
            <w:vAlign w:val="bottom"/>
            <w:tcBorders>
              <w:top w:val="single" w:sz="8" w:color="0000FF"/>
            </w:tcBorders>
            <w:gridSpan w:val="27"/>
          </w:tcPr>
          <w:p>
            <w:pPr>
              <w:ind w:left="3740"/>
              <w:spacing w:after="0"/>
              <w:rPr>
                <w:sz w:val="20"/>
                <w:szCs w:val="20"/>
                <w:color w:val="auto"/>
              </w:rPr>
            </w:pPr>
            <w:r>
              <w:rPr>
                <w:rFonts w:ascii="Arial" w:cs="Arial" w:eastAsia="Arial" w:hAnsi="Arial"/>
                <w:sz w:val="16"/>
                <w:szCs w:val="16"/>
                <w:color w:val="auto"/>
              </w:rPr>
              <w:t>2</w:t>
            </w:r>
          </w:p>
        </w:tc>
        <w:tc>
          <w:tcPr>
            <w:tcW w:w="1140" w:type="dxa"/>
            <w:vAlign w:val="bottom"/>
            <w:tcBorders>
              <w:top w:val="single" w:sz="8" w:color="0000FF"/>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r>
      <w:tr>
        <w:trPr>
          <w:trHeight w:val="103"/>
        </w:trPr>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8.</w:t>
            </w:r>
          </w:p>
        </w:tc>
        <w:tc>
          <w:tcPr>
            <w:tcW w:w="1160" w:type="dxa"/>
            <w:vAlign w:val="bottom"/>
            <w:gridSpan w:val="5"/>
            <w:shd w:val="clear" w:color="auto" w:fill="CFF0FC"/>
          </w:tcPr>
          <w:p>
            <w:pPr>
              <w:spacing w:after="0"/>
              <w:rPr>
                <w:sz w:val="19"/>
                <w:szCs w:val="19"/>
                <w:color w:val="auto"/>
              </w:rPr>
            </w:pPr>
          </w:p>
        </w:tc>
        <w:tc>
          <w:tcPr>
            <w:tcW w:w="4260" w:type="dxa"/>
            <w:vAlign w:val="bottom"/>
            <w:gridSpan w:val="29"/>
            <w:shd w:val="clear" w:color="auto" w:fill="CFF0FC"/>
          </w:tcPr>
          <w:p>
            <w:pPr>
              <w:spacing w:after="0"/>
              <w:rPr>
                <w:sz w:val="20"/>
                <w:szCs w:val="20"/>
                <w:color w:val="auto"/>
              </w:rPr>
            </w:pPr>
            <w:r>
              <w:rPr>
                <w:rFonts w:ascii="Arial" w:cs="Arial" w:eastAsia="Arial" w:hAnsi="Arial"/>
                <w:sz w:val="16"/>
                <w:szCs w:val="16"/>
                <w:color w:val="0000FF"/>
                <w:w w:val="99"/>
              </w:rPr>
              <w:t>FINANCIAL STATEMENTS AND SUPPLEMENTARY DATA</w:t>
            </w:r>
          </w:p>
        </w:tc>
        <w:tc>
          <w:tcPr>
            <w:tcW w:w="3180" w:type="dxa"/>
            <w:vAlign w:val="bottom"/>
            <w:gridSpan w:val="7"/>
            <w:shd w:val="clear" w:color="auto" w:fill="CFF0FC"/>
          </w:tcPr>
          <w:p>
            <w:pPr>
              <w:spacing w:after="0"/>
              <w:rPr>
                <w:sz w:val="19"/>
                <w:szCs w:val="19"/>
                <w:color w:val="auto"/>
              </w:rPr>
            </w:pPr>
          </w:p>
        </w:tc>
        <w:tc>
          <w:tcPr>
            <w:tcW w:w="1320" w:type="dxa"/>
            <w:vAlign w:val="bottom"/>
            <w:gridSpan w:val="2"/>
            <w:shd w:val="clear" w:color="auto" w:fill="CFF0FC"/>
          </w:tcPr>
          <w:p>
            <w:pPr>
              <w:spacing w:after="0"/>
              <w:rPr>
                <w:sz w:val="19"/>
                <w:szCs w:val="19"/>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56</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spacing w:after="0"/>
              <w:rPr>
                <w:sz w:val="20"/>
                <w:szCs w:val="20"/>
                <w:color w:val="auto"/>
              </w:rPr>
            </w:pPr>
            <w:r>
              <w:rPr>
                <w:rFonts w:ascii="Arial" w:cs="Arial" w:eastAsia="Arial" w:hAnsi="Arial"/>
                <w:sz w:val="16"/>
                <w:szCs w:val="16"/>
                <w:color w:val="0000FF"/>
              </w:rPr>
              <w:t>Management’s Report on Internal Controls Over Financial Reporting</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56</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Reports of Independent Registered Public Accounting Firm</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57</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20" w:type="dxa"/>
            <w:vAlign w:val="bottom"/>
            <w:gridSpan w:val="28"/>
          </w:tcPr>
          <w:p>
            <w:pPr>
              <w:spacing w:after="0"/>
              <w:rPr>
                <w:sz w:val="20"/>
                <w:szCs w:val="20"/>
                <w:color w:val="auto"/>
              </w:rPr>
            </w:pPr>
            <w:r>
              <w:rPr>
                <w:rFonts w:ascii="Arial" w:cs="Arial" w:eastAsia="Arial" w:hAnsi="Arial"/>
                <w:sz w:val="16"/>
                <w:szCs w:val="16"/>
                <w:color w:val="0000FF"/>
              </w:rPr>
              <w:t>Consolidated Statements of Income</w:t>
            </w:r>
          </w:p>
        </w:tc>
        <w:tc>
          <w:tcPr>
            <w:tcW w:w="3220" w:type="dxa"/>
            <w:vAlign w:val="bottom"/>
            <w:gridSpan w:val="8"/>
          </w:tcPr>
          <w:p>
            <w:pPr>
              <w:spacing w:after="0"/>
              <w:rPr>
                <w:sz w:val="19"/>
                <w:szCs w:val="19"/>
                <w:color w:val="auto"/>
              </w:rPr>
            </w:pPr>
          </w:p>
        </w:tc>
        <w:tc>
          <w:tcPr>
            <w:tcW w:w="1320" w:type="dxa"/>
            <w:vAlign w:val="bottom"/>
            <w:gridSpan w:val="2"/>
          </w:tcPr>
          <w:p>
            <w:pPr>
              <w:spacing w:after="0"/>
              <w:rPr>
                <w:sz w:val="19"/>
                <w:szCs w:val="19"/>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60</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Consolidated Statements of Comprehensive Income</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61</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40" w:type="dxa"/>
            <w:vAlign w:val="bottom"/>
            <w:gridSpan w:val="27"/>
          </w:tcPr>
          <w:p>
            <w:pPr>
              <w:spacing w:after="0"/>
              <w:rPr>
                <w:sz w:val="20"/>
                <w:szCs w:val="20"/>
                <w:color w:val="auto"/>
              </w:rPr>
            </w:pPr>
            <w:r>
              <w:rPr>
                <w:rFonts w:ascii="Arial" w:cs="Arial" w:eastAsia="Arial" w:hAnsi="Arial"/>
                <w:sz w:val="16"/>
                <w:szCs w:val="16"/>
                <w:color w:val="0000FF"/>
              </w:rPr>
              <w:t>Consolidated Balance Sheets</w:t>
            </w:r>
          </w:p>
        </w:tc>
        <w:tc>
          <w:tcPr>
            <w:tcW w:w="3700" w:type="dxa"/>
            <w:vAlign w:val="bottom"/>
            <w:gridSpan w:val="9"/>
          </w:tcPr>
          <w:p>
            <w:pPr>
              <w:spacing w:after="0"/>
              <w:rPr>
                <w:sz w:val="19"/>
                <w:szCs w:val="19"/>
                <w:color w:val="auto"/>
              </w:rPr>
            </w:pPr>
          </w:p>
        </w:tc>
        <w:tc>
          <w:tcPr>
            <w:tcW w:w="1320" w:type="dxa"/>
            <w:vAlign w:val="bottom"/>
            <w:gridSpan w:val="2"/>
          </w:tcPr>
          <w:p>
            <w:pPr>
              <w:spacing w:after="0"/>
              <w:rPr>
                <w:sz w:val="19"/>
                <w:szCs w:val="19"/>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62</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64</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80" w:type="dxa"/>
            <w:vAlign w:val="bottom"/>
            <w:gridSpan w:val="18"/>
          </w:tcPr>
          <w:p>
            <w:pPr>
              <w:spacing w:after="0"/>
              <w:rPr>
                <w:sz w:val="20"/>
                <w:szCs w:val="20"/>
                <w:color w:val="auto"/>
              </w:rPr>
            </w:pPr>
            <w:r>
              <w:rPr>
                <w:rFonts w:ascii="Arial" w:cs="Arial" w:eastAsia="Arial" w:hAnsi="Arial"/>
                <w:sz w:val="16"/>
                <w:szCs w:val="16"/>
                <w:color w:val="0000FF"/>
              </w:rPr>
              <w:t>Consolidated Statements of Equity</w:t>
            </w:r>
          </w:p>
        </w:tc>
        <w:tc>
          <w:tcPr>
            <w:tcW w:w="4560" w:type="dxa"/>
            <w:vAlign w:val="bottom"/>
            <w:gridSpan w:val="18"/>
          </w:tcPr>
          <w:p>
            <w:pPr>
              <w:spacing w:after="0"/>
              <w:rPr>
                <w:sz w:val="19"/>
                <w:szCs w:val="19"/>
                <w:color w:val="auto"/>
              </w:rPr>
            </w:pPr>
          </w:p>
        </w:tc>
        <w:tc>
          <w:tcPr>
            <w:tcW w:w="1320" w:type="dxa"/>
            <w:vAlign w:val="bottom"/>
            <w:gridSpan w:val="2"/>
          </w:tcPr>
          <w:p>
            <w:pPr>
              <w:spacing w:after="0"/>
              <w:rPr>
                <w:sz w:val="19"/>
                <w:szCs w:val="19"/>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65</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160" w:type="dxa"/>
            <w:vAlign w:val="bottom"/>
            <w:gridSpan w:val="22"/>
            <w:shd w:val="clear" w:color="auto" w:fill="CFF0FC"/>
          </w:tcPr>
          <w:p>
            <w:pPr>
              <w:spacing w:after="0"/>
              <w:rPr>
                <w:sz w:val="20"/>
                <w:szCs w:val="20"/>
                <w:color w:val="auto"/>
              </w:rPr>
            </w:pPr>
            <w:r>
              <w:rPr>
                <w:rFonts w:ascii="Arial" w:cs="Arial" w:eastAsia="Arial" w:hAnsi="Arial"/>
                <w:sz w:val="16"/>
                <w:szCs w:val="16"/>
                <w:color w:val="0000FF"/>
              </w:rPr>
              <w:t>Notes to Consolidated Financial Statements</w:t>
            </w:r>
          </w:p>
        </w:tc>
        <w:tc>
          <w:tcPr>
            <w:tcW w:w="4280" w:type="dxa"/>
            <w:vAlign w:val="bottom"/>
            <w:gridSpan w:val="14"/>
            <w:shd w:val="clear" w:color="auto" w:fill="CFF0FC"/>
          </w:tcPr>
          <w:p>
            <w:pPr>
              <w:spacing w:after="0"/>
              <w:rPr>
                <w:sz w:val="19"/>
                <w:szCs w:val="19"/>
                <w:color w:val="auto"/>
              </w:rPr>
            </w:pPr>
          </w:p>
        </w:tc>
        <w:tc>
          <w:tcPr>
            <w:tcW w:w="1320" w:type="dxa"/>
            <w:vAlign w:val="bottom"/>
            <w:gridSpan w:val="2"/>
            <w:shd w:val="clear" w:color="auto" w:fill="CFF0FC"/>
          </w:tcPr>
          <w:p>
            <w:pPr>
              <w:spacing w:after="0"/>
              <w:rPr>
                <w:sz w:val="19"/>
                <w:szCs w:val="19"/>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66</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1. Business Description and Significant Accounting Policies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66</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2. Regulatory Matters</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74</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3. Commitments, Contingencies and Guarantees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78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4. Revenue</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80</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5. Property, Plant and Equipment</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82</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6. Jointly Owned Facilities</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83</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7. Asset Retirement Obligations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83</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8. Financing</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84</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9. Risk Management and Derivatives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10. Fair Value Measurements</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91</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11. Other Comprehensive Income</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93</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12. Variable Interest Entity</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rPr>
              <w:t>94</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13. Employee Benefit Plans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94</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14. Share-based Compensation Plans</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100</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15. Income Taxes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103</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40" w:type="dxa"/>
            <w:vAlign w:val="bottom"/>
            <w:gridSpan w:val="36"/>
            <w:shd w:val="clear" w:color="auto" w:fill="CFF0FC"/>
          </w:tcPr>
          <w:p>
            <w:pPr>
              <w:ind w:left="340"/>
              <w:spacing w:after="0"/>
              <w:rPr>
                <w:sz w:val="20"/>
                <w:szCs w:val="20"/>
                <w:color w:val="auto"/>
              </w:rPr>
            </w:pPr>
            <w:r>
              <w:rPr>
                <w:rFonts w:ascii="Arial" w:cs="Arial" w:eastAsia="Arial" w:hAnsi="Arial"/>
                <w:sz w:val="16"/>
                <w:szCs w:val="16"/>
                <w:color w:val="0000FF"/>
              </w:rPr>
              <w:t>Note 16. Business Segment Information</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106</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40" w:type="dxa"/>
            <w:vAlign w:val="bottom"/>
            <w:gridSpan w:val="36"/>
          </w:tcPr>
          <w:p>
            <w:pPr>
              <w:ind w:left="340"/>
              <w:spacing w:after="0"/>
              <w:rPr>
                <w:sz w:val="20"/>
                <w:szCs w:val="20"/>
                <w:color w:val="auto"/>
              </w:rPr>
            </w:pPr>
            <w:r>
              <w:rPr>
                <w:rFonts w:ascii="Arial" w:cs="Arial" w:eastAsia="Arial" w:hAnsi="Arial"/>
                <w:sz w:val="16"/>
                <w:szCs w:val="16"/>
                <w:color w:val="0000FF"/>
              </w:rPr>
              <w:t>Note 17. Subsequent Events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9.</w:t>
            </w: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CHANGES IN AND DISAGREEMENTS WITH ACCOUNTANTS ON ACCOUNTING AND FINANCIAL</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shd w:val="clear" w:color="auto" w:fill="CFF0FC"/>
          </w:tcPr>
          <w:p>
            <w:pPr>
              <w:spacing w:after="0"/>
              <w:rPr>
                <w:sz w:val="19"/>
                <w:szCs w:val="19"/>
                <w:color w:val="auto"/>
              </w:rPr>
            </w:pPr>
          </w:p>
        </w:tc>
      </w:tr>
      <w:tr>
        <w:trPr>
          <w:trHeight w:val="217"/>
        </w:trPr>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0000FF"/>
              <w:bottom w:val="single" w:sz="8" w:color="0000FF"/>
            </w:tcBorders>
            <w:gridSpan w:val="2"/>
            <w:shd w:val="clear" w:color="auto" w:fill="CFF0FC"/>
          </w:tcPr>
          <w:p>
            <w:pPr>
              <w:spacing w:after="0" w:line="169" w:lineRule="exact"/>
              <w:rPr>
                <w:sz w:val="20"/>
                <w:szCs w:val="20"/>
                <w:color w:val="auto"/>
              </w:rPr>
            </w:pPr>
            <w:r>
              <w:rPr>
                <w:rFonts w:ascii="Arial" w:cs="Arial" w:eastAsia="Arial" w:hAnsi="Arial"/>
                <w:sz w:val="16"/>
                <w:szCs w:val="16"/>
                <w:color w:val="0000FF"/>
                <w:w w:val="99"/>
              </w:rPr>
              <w:t>DISCLOSURE</w:t>
            </w:r>
          </w:p>
        </w:tc>
        <w:tc>
          <w:tcPr>
            <w:tcW w:w="6260" w:type="dxa"/>
            <w:vAlign w:val="bottom"/>
            <w:tcBorders>
              <w:top w:val="single" w:sz="8" w:color="0000FF"/>
              <w:bottom w:val="single" w:sz="8" w:color="CFF0FC"/>
            </w:tcBorders>
            <w:gridSpan w:val="33"/>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18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9A.</w:t>
            </w:r>
          </w:p>
        </w:tc>
        <w:tc>
          <w:tcPr>
            <w:tcW w:w="7440" w:type="dxa"/>
            <w:vAlign w:val="bottom"/>
            <w:gridSpan w:val="36"/>
          </w:tcPr>
          <w:p>
            <w:pPr>
              <w:spacing w:after="0"/>
              <w:rPr>
                <w:sz w:val="20"/>
                <w:szCs w:val="20"/>
                <w:color w:val="auto"/>
              </w:rPr>
            </w:pPr>
            <w:r>
              <w:rPr>
                <w:rFonts w:ascii="Arial" w:cs="Arial" w:eastAsia="Arial" w:hAnsi="Arial"/>
                <w:sz w:val="16"/>
                <w:szCs w:val="16"/>
                <w:color w:val="0000FF"/>
              </w:rPr>
              <w:t>CONTROLS AND PROCEDURES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9B.</w:t>
            </w: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OTHER INFORMATION</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9C.</w:t>
            </w:r>
          </w:p>
        </w:tc>
        <w:tc>
          <w:tcPr>
            <w:tcW w:w="7440" w:type="dxa"/>
            <w:vAlign w:val="bottom"/>
            <w:gridSpan w:val="36"/>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b w:val="1"/>
                <w:bCs w:val="1"/>
                <w:color w:val="0000FF"/>
              </w:rPr>
              <w:t>Part III</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10.</w:t>
            </w:r>
          </w:p>
        </w:tc>
        <w:tc>
          <w:tcPr>
            <w:tcW w:w="7440" w:type="dxa"/>
            <w:vAlign w:val="bottom"/>
            <w:gridSpan w:val="36"/>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108</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640" w:type="dxa"/>
            <w:vAlign w:val="bottom"/>
            <w:gridSpan w:val="4"/>
            <w:shd w:val="clear" w:color="auto" w:fill="CFF0FC"/>
          </w:tcPr>
          <w:p>
            <w:pPr>
              <w:spacing w:after="0"/>
              <w:rPr>
                <w:sz w:val="20"/>
                <w:szCs w:val="20"/>
                <w:color w:val="auto"/>
              </w:rPr>
            </w:pPr>
            <w:r>
              <w:rPr>
                <w:rFonts w:ascii="Arial" w:cs="Arial" w:eastAsia="Arial" w:hAnsi="Arial"/>
                <w:sz w:val="16"/>
                <w:szCs w:val="16"/>
                <w:color w:val="0000FF"/>
                <w:w w:val="95"/>
              </w:rPr>
              <w:t>ITEM 11.</w:t>
            </w:r>
          </w:p>
        </w:tc>
        <w:tc>
          <w:tcPr>
            <w:tcW w:w="1080" w:type="dxa"/>
            <w:vAlign w:val="bottom"/>
            <w:gridSpan w:val="4"/>
            <w:shd w:val="clear" w:color="auto" w:fill="CFF0FC"/>
          </w:tcPr>
          <w:p>
            <w:pPr>
              <w:spacing w:after="0"/>
              <w:rPr>
                <w:sz w:val="19"/>
                <w:szCs w:val="19"/>
                <w:color w:val="auto"/>
              </w:rPr>
            </w:pP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EXECUTIVE COMPENSATION</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109</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12.</w:t>
            </w:r>
          </w:p>
        </w:tc>
        <w:tc>
          <w:tcPr>
            <w:tcW w:w="7440" w:type="dxa"/>
            <w:vAlign w:val="bottom"/>
            <w:gridSpan w:val="36"/>
          </w:tcPr>
          <w:p>
            <w:pPr>
              <w:spacing w:after="0"/>
              <w:rPr>
                <w:sz w:val="20"/>
                <w:szCs w:val="20"/>
                <w:color w:val="auto"/>
              </w:rPr>
            </w:pPr>
            <w:r>
              <w:rPr>
                <w:rFonts w:ascii="Arial" w:cs="Arial" w:eastAsia="Arial" w:hAnsi="Arial"/>
                <w:sz w:val="16"/>
                <w:szCs w:val="16"/>
                <w:color w:val="0000FF"/>
              </w:rPr>
              <w:t>SECURITY OWNERSHIP OF CERTAIN BENEFICIAL OWNERS AND MANAGEMENT AND RELATED</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109</w:t>
            </w:r>
          </w:p>
        </w:tc>
        <w:tc>
          <w:tcPr>
            <w:tcW w:w="420" w:type="dxa"/>
            <w:vAlign w:val="bottom"/>
          </w:tcPr>
          <w:p>
            <w:pPr>
              <w:spacing w:after="0"/>
              <w:rPr>
                <w:sz w:val="19"/>
                <w:szCs w:val="19"/>
                <w:color w:val="auto"/>
              </w:rPr>
            </w:pPr>
          </w:p>
        </w:tc>
      </w:tr>
      <w:tr>
        <w:trPr>
          <w:trHeight w:val="169"/>
        </w:trPr>
        <w:tc>
          <w:tcPr>
            <w:tcW w:w="120" w:type="dxa"/>
            <w:vAlign w:val="bottom"/>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40" w:type="dxa"/>
            <w:vAlign w:val="bottom"/>
            <w:tcBorders>
              <w:top w:val="single" w:sz="8" w:color="0000FF"/>
            </w:tcBorders>
            <w:gridSpan w:val="36"/>
          </w:tcPr>
          <w:p>
            <w:pPr>
              <w:spacing w:after="0" w:line="169" w:lineRule="exact"/>
              <w:rPr>
                <w:sz w:val="20"/>
                <w:szCs w:val="20"/>
                <w:color w:val="auto"/>
              </w:rPr>
            </w:pPr>
            <w:r>
              <w:rPr>
                <w:rFonts w:ascii="Arial" w:cs="Arial" w:eastAsia="Arial" w:hAnsi="Arial"/>
                <w:sz w:val="16"/>
                <w:szCs w:val="16"/>
                <w:color w:val="0000FF"/>
              </w:rPr>
              <w:t>STOCKHOLDER MATTERS</w:t>
            </w:r>
          </w:p>
        </w:tc>
        <w:tc>
          <w:tcPr>
            <w:tcW w:w="128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r>
      <w:tr>
        <w:trPr>
          <w:trHeight w:val="48"/>
        </w:trPr>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13.</w:t>
            </w: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110</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6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1100" w:type="dxa"/>
            <w:vAlign w:val="bottom"/>
            <w:tcBorders>
              <w:top w:val="single" w:sz="8" w:color="0000FF"/>
            </w:tcBorders>
            <w:shd w:val="clear" w:color="auto" w:fill="CFF0FC"/>
          </w:tcPr>
          <w:p>
            <w:pPr>
              <w:spacing w:after="0"/>
              <w:rPr>
                <w:sz w:val="4"/>
                <w:szCs w:val="4"/>
                <w:color w:val="auto"/>
              </w:rPr>
            </w:pPr>
          </w:p>
        </w:tc>
        <w:tc>
          <w:tcPr>
            <w:tcW w:w="560" w:type="dxa"/>
            <w:vAlign w:val="bottom"/>
            <w:tcBorders>
              <w:top w:val="single" w:sz="8" w:color="0000FF"/>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14.</w:t>
            </w:r>
          </w:p>
        </w:tc>
        <w:tc>
          <w:tcPr>
            <w:tcW w:w="7440" w:type="dxa"/>
            <w:vAlign w:val="bottom"/>
            <w:gridSpan w:val="36"/>
          </w:tcPr>
          <w:p>
            <w:pPr>
              <w:spacing w:after="0"/>
              <w:rPr>
                <w:sz w:val="20"/>
                <w:szCs w:val="20"/>
                <w:color w:val="auto"/>
              </w:rPr>
            </w:pPr>
            <w:r>
              <w:rPr>
                <w:rFonts w:ascii="Arial" w:cs="Arial" w:eastAsia="Arial" w:hAnsi="Arial"/>
                <w:sz w:val="16"/>
                <w:szCs w:val="16"/>
                <w:color w:val="0000FF"/>
              </w:rPr>
              <w:t>PRINCIPAL ACCOUNTANT FEES AND SERVICES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110</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b w:val="1"/>
                <w:bCs w:val="1"/>
                <w:color w:val="0000FF"/>
              </w:rPr>
              <w:t>Part IV</w:t>
            </w: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72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15.</w:t>
            </w:r>
          </w:p>
        </w:tc>
        <w:tc>
          <w:tcPr>
            <w:tcW w:w="7440" w:type="dxa"/>
            <w:vAlign w:val="bottom"/>
            <w:gridSpan w:val="36"/>
          </w:tcPr>
          <w:p>
            <w:pPr>
              <w:spacing w:after="0"/>
              <w:rPr>
                <w:sz w:val="20"/>
                <w:szCs w:val="20"/>
                <w:color w:val="auto"/>
              </w:rPr>
            </w:pPr>
            <w:r>
              <w:rPr>
                <w:rFonts w:ascii="Arial" w:cs="Arial" w:eastAsia="Arial" w:hAnsi="Arial"/>
                <w:sz w:val="16"/>
                <w:szCs w:val="16"/>
                <w:color w:val="0000FF"/>
              </w:rPr>
              <w:t>EXHIBITS, FINANCIAL STATEMENT SCHEDULES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110</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16.</w:t>
            </w:r>
          </w:p>
        </w:tc>
        <w:tc>
          <w:tcPr>
            <w:tcW w:w="744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FORM 10-K SUMMARY</w:t>
            </w:r>
          </w:p>
        </w:tc>
        <w:tc>
          <w:tcPr>
            <w:tcW w:w="1540" w:type="dxa"/>
            <w:vAlign w:val="bottom"/>
            <w:gridSpan w:val="4"/>
            <w:shd w:val="clear" w:color="auto" w:fill="CFF0FC"/>
          </w:tcPr>
          <w:p>
            <w:pPr>
              <w:jc w:val="center"/>
              <w:ind w:left="1199"/>
              <w:spacing w:after="0"/>
              <w:rPr>
                <w:sz w:val="20"/>
                <w:szCs w:val="20"/>
                <w:color w:val="auto"/>
              </w:rPr>
            </w:pPr>
            <w:r>
              <w:rPr>
                <w:rFonts w:ascii="Arial" w:cs="Arial" w:eastAsia="Arial" w:hAnsi="Arial"/>
                <w:sz w:val="16"/>
                <w:szCs w:val="16"/>
                <w:color w:val="0000FF"/>
                <w:w w:val="97"/>
              </w:rPr>
              <w:t>113</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720" w:type="dxa"/>
            <w:vAlign w:val="bottom"/>
            <w:tcBorders>
              <w:top w:val="single" w:sz="8" w:color="0000FF"/>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1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SIGNATURES</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114</w:t>
            </w:r>
          </w:p>
        </w:tc>
        <w:tc>
          <w:tcPr>
            <w:tcW w:w="420" w:type="dxa"/>
            <w:vAlign w:val="bottom"/>
          </w:tcPr>
          <w:p>
            <w:pPr>
              <w:spacing w:after="0"/>
              <w:rPr>
                <w:sz w:val="19"/>
                <w:szCs w:val="19"/>
                <w:color w:val="auto"/>
              </w:rPr>
            </w:pPr>
          </w:p>
        </w:tc>
      </w:tr>
      <w:tr>
        <w:trPr>
          <w:trHeight w:val="666"/>
        </w:trPr>
        <w:tc>
          <w:tcPr>
            <w:tcW w:w="1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gridSpan w:val="28"/>
          </w:tcPr>
          <w:p>
            <w:pPr>
              <w:ind w:left="374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04"/>
        </w:trPr>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43"/>
        </w:trPr>
        <w:tc>
          <w:tcPr>
            <w:tcW w:w="1360" w:type="dxa"/>
            <w:vAlign w:val="bottom"/>
            <w:tcBorders>
              <w:top w:val="single" w:sz="8" w:color="0000FF"/>
            </w:tcBorders>
          </w:tcPr>
          <w:p>
            <w:pPr>
              <w:spacing w:after="0"/>
              <w:rPr>
                <w:sz w:val="21"/>
                <w:szCs w:val="21"/>
                <w:color w:val="auto"/>
              </w:rPr>
            </w:pPr>
          </w:p>
        </w:tc>
        <w:tc>
          <w:tcPr>
            <w:tcW w:w="1880" w:type="dxa"/>
            <w:vAlign w:val="bottom"/>
          </w:tcPr>
          <w:p>
            <w:pPr>
              <w:spacing w:after="0"/>
              <w:rPr>
                <w:sz w:val="21"/>
                <w:szCs w:val="21"/>
                <w:color w:val="auto"/>
              </w:rPr>
            </w:pPr>
          </w:p>
        </w:tc>
        <w:tc>
          <w:tcPr>
            <w:tcW w:w="8000" w:type="dxa"/>
            <w:vAlign w:val="bottom"/>
          </w:tcPr>
          <w:p>
            <w:pPr>
              <w:ind w:left="6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97"/>
        </w:trPr>
        <w:tc>
          <w:tcPr>
            <w:tcW w:w="11240" w:type="dxa"/>
            <w:vAlign w:val="bottom"/>
            <w:gridSpan w:val="3"/>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459"/>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AC</w:t>
            </w:r>
          </w:p>
        </w:tc>
        <w:tc>
          <w:tcPr>
            <w:tcW w:w="8000" w:type="dxa"/>
            <w:vAlign w:val="bottom"/>
          </w:tcPr>
          <w:p>
            <w:pPr>
              <w:ind w:left="160"/>
              <w:spacing w:after="0"/>
              <w:rPr>
                <w:sz w:val="20"/>
                <w:szCs w:val="20"/>
                <w:color w:val="auto"/>
              </w:rPr>
            </w:pPr>
            <w:r>
              <w:rPr>
                <w:rFonts w:ascii="Arial" w:cs="Arial" w:eastAsia="Arial" w:hAnsi="Arial"/>
                <w:sz w:val="16"/>
                <w:szCs w:val="16"/>
                <w:color w:val="auto"/>
              </w:rPr>
              <w:t>Alternating Current</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AFUDC</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AOCI</w:t>
            </w:r>
          </w:p>
        </w:tc>
        <w:tc>
          <w:tcPr>
            <w:tcW w:w="800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APSC</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Arkansas Gas</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ARO</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Asset Retirement Obligation</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ASC</w:t>
            </w:r>
          </w:p>
        </w:tc>
        <w:tc>
          <w:tcPr>
            <w:tcW w:w="8000" w:type="dxa"/>
            <w:vAlign w:val="bottom"/>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ASU</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Accounting Standards Update as issued by the FASB</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ATM</w:t>
            </w:r>
          </w:p>
        </w:tc>
        <w:tc>
          <w:tcPr>
            <w:tcW w:w="8000" w:type="dxa"/>
            <w:vAlign w:val="bottom"/>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Availability</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BHC</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BHSC</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business as Black Hills Energy)</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Black Hills Colorado IPP</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Black Hills Electric Generation</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Black Hills Energy</w:t>
            </w:r>
          </w:p>
        </w:tc>
        <w:tc>
          <w:tcPr>
            <w:tcW w:w="8000" w:type="dxa"/>
            <w:vAlign w:val="bottom"/>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Black Hills Energy Renewable Resources</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28"/>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(BHERR)</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regulated Holdings</w:t>
            </w:r>
          </w:p>
        </w:tc>
      </w:tr>
      <w:tr>
        <w:trPr>
          <w:trHeight w:val="83"/>
        </w:trPr>
        <w:tc>
          <w:tcPr>
            <w:tcW w:w="1360" w:type="dxa"/>
            <w:vAlign w:val="bottom"/>
            <w:shd w:val="clear" w:color="auto" w:fill="CFF0FC"/>
          </w:tcPr>
          <w:p>
            <w:pPr>
              <w:spacing w:after="0"/>
              <w:rPr>
                <w:sz w:val="7"/>
                <w:szCs w:val="7"/>
                <w:color w:val="auto"/>
              </w:rPr>
            </w:pPr>
          </w:p>
        </w:tc>
        <w:tc>
          <w:tcPr>
            <w:tcW w:w="1880" w:type="dxa"/>
            <w:vAlign w:val="bottom"/>
            <w:shd w:val="clear" w:color="auto" w:fill="CFF0FC"/>
          </w:tcPr>
          <w:p>
            <w:pPr>
              <w:spacing w:after="0"/>
              <w:rPr>
                <w:sz w:val="7"/>
                <w:szCs w:val="7"/>
                <w:color w:val="auto"/>
              </w:rPr>
            </w:pPr>
          </w:p>
        </w:tc>
        <w:tc>
          <w:tcPr>
            <w:tcW w:w="8000" w:type="dxa"/>
            <w:vAlign w:val="bottom"/>
            <w:shd w:val="clear" w:color="auto" w:fill="CFF0FC"/>
          </w:tcPr>
          <w:p>
            <w:pPr>
              <w:spacing w:after="0"/>
              <w:rPr>
                <w:sz w:val="7"/>
                <w:szCs w:val="7"/>
                <w:color w:val="auto"/>
              </w:rPr>
            </w:pP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Black Hills Energy Services</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Energy).</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Black Hills Non-regulated Holdings</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Black Hills Power</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Energy). Also known as South Dakota Electric.</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Black Hills Utility Holdings</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Utility Holdings, Inc., a direct, wholly-owned subsidiary of Black Hills Corporation (doing business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as Black Hills Energy)</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Black Hills Wyoming</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Blockchain Interruptible Service (BCIS)</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 WPSC-approved tariff applicable to prospective new Wyoming Electric blockchain customers. The tariff</w:t>
            </w:r>
          </w:p>
        </w:tc>
      </w:tr>
      <w:tr>
        <w:trPr>
          <w:trHeight w:val="189"/>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Tariff</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allows customers to negotiate rates and terms and conditions for interruptible electric utility service of 10</w:t>
            </w:r>
          </w:p>
        </w:tc>
      </w:tr>
      <w:tr>
        <w:trPr>
          <w:trHeight w:val="189"/>
        </w:trPr>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MW or greater that would be interconnected with Wyoming Electric’s system. Agreements under the BCIS</w:t>
            </w:r>
          </w:p>
        </w:tc>
      </w:tr>
      <w:tr>
        <w:trPr>
          <w:trHeight w:val="189"/>
        </w:trPr>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tariff must be filed with the WPSC prior to the first customer billing, be at least 2 years in duration and</w:t>
            </w:r>
          </w:p>
        </w:tc>
      </w:tr>
      <w:tr>
        <w:trPr>
          <w:trHeight w:val="189"/>
        </w:trPr>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include specific pricing for all electricity purchased (with pricing terms subject to renegotiation every three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years). BCIS customers shall not participate in the PCA to the extent of service received under the tariff.</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Btu</w:t>
            </w:r>
          </w:p>
        </w:tc>
        <w:tc>
          <w:tcPr>
            <w:tcW w:w="8000" w:type="dxa"/>
            <w:vAlign w:val="bottom"/>
          </w:tcPr>
          <w:p>
            <w:pPr>
              <w:ind w:left="160"/>
              <w:spacing w:after="0"/>
              <w:rPr>
                <w:sz w:val="20"/>
                <w:szCs w:val="20"/>
                <w:color w:val="auto"/>
              </w:rPr>
            </w:pPr>
            <w:r>
              <w:rPr>
                <w:rFonts w:ascii="Arial" w:cs="Arial" w:eastAsia="Arial" w:hAnsi="Arial"/>
                <w:sz w:val="16"/>
                <w:szCs w:val="16"/>
                <w:color w:val="auto"/>
              </w:rPr>
              <w:t>British thermal unit</w:t>
            </w:r>
          </w:p>
        </w:tc>
      </w:tr>
      <w:tr>
        <w:trPr>
          <w:trHeight w:val="271"/>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Busch Ranch I</w:t>
            </w:r>
          </w:p>
        </w:tc>
        <w:tc>
          <w:tcPr>
            <w:tcW w:w="8000" w:type="dxa"/>
            <w:vAlign w:val="bottom"/>
          </w:tcPr>
          <w:p>
            <w:pPr>
              <w:ind w:left="160"/>
              <w:spacing w:after="0"/>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205"/>
        </w:trPr>
        <w:tc>
          <w:tcPr>
            <w:tcW w:w="1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3400" w:right="300"/>
        <w:spacing w:after="0" w:line="262" w:lineRule="auto"/>
        <w:rPr>
          <w:sz w:val="20"/>
          <w:szCs w:val="20"/>
          <w:color w:val="auto"/>
        </w:rPr>
      </w:pPr>
      <w:r>
        <w:rPr>
          <w:rFonts w:ascii="Arial" w:cs="Arial" w:eastAsia="Arial" w:hAnsi="Arial"/>
          <w:sz w:val="16"/>
          <w:szCs w:val="16"/>
          <w:color w:val="auto"/>
        </w:rPr>
        <w:t>the wind farm. Black Hills Electric Generation provides its share of energy from the wind farm to Colorado Electric through a PPA, which expires in October 2037.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2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000" w:type="dxa"/>
            <w:vAlign w:val="bottom"/>
          </w:tcPr>
          <w:p>
            <w:pPr>
              <w:spacing w:after="0"/>
              <w:rPr>
                <w:sz w:val="16"/>
                <w:szCs w:val="16"/>
                <w:color w:val="auto"/>
              </w:rPr>
            </w:pPr>
          </w:p>
        </w:tc>
      </w:tr>
      <w:tr>
        <w:trPr>
          <w:trHeight w:val="249"/>
        </w:trPr>
        <w:tc>
          <w:tcPr>
            <w:tcW w:w="136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Busch Ranch II</w:t>
            </w:r>
          </w:p>
        </w:tc>
        <w:tc>
          <w:tcPr>
            <w:tcW w:w="1880" w:type="dxa"/>
            <w:vAlign w:val="bottom"/>
          </w:tcPr>
          <w:p>
            <w:pPr>
              <w:spacing w:after="0"/>
              <w:rPr>
                <w:sz w:val="21"/>
                <w:szCs w:val="21"/>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The 59.4 MW wind farm near Pueblo, Colorado owned by Black Hills Electric Generation to provide wind</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CACJA Adjustment</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Clean Air Clean Jobs Act Adjustment is an adjustment mechanism that allows Colorado Electric to collect</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from customers the capital costs related to Pueblo Airport Generation CT #6.</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CFTC</w:t>
            </w:r>
          </w:p>
        </w:tc>
        <w:tc>
          <w:tcPr>
            <w:tcW w:w="8000" w:type="dxa"/>
            <w:vAlign w:val="bottom"/>
          </w:tcPr>
          <w:p>
            <w:pPr>
              <w:ind w:left="160"/>
              <w:spacing w:after="0"/>
              <w:rPr>
                <w:sz w:val="20"/>
                <w:szCs w:val="20"/>
                <w:color w:val="auto"/>
              </w:rPr>
            </w:pPr>
            <w:r>
              <w:rPr>
                <w:rFonts w:ascii="Arial" w:cs="Arial" w:eastAsia="Arial" w:hAnsi="Arial"/>
                <w:sz w:val="16"/>
                <w:szCs w:val="16"/>
                <w:color w:val="auto"/>
              </w:rPr>
              <w:t>United States Commodity Futures Trading Commission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Cheyenne Light</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136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providing electric service in the Cheyenne, Wyoming area (doing business as Black Hills Energy). Also</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known as Wyoming Electric.</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Cheyenne Prairie</w:t>
            </w:r>
          </w:p>
        </w:tc>
        <w:tc>
          <w:tcPr>
            <w:tcW w:w="8000" w:type="dxa"/>
            <w:vAlign w:val="bottom"/>
          </w:tcPr>
          <w:p>
            <w:pPr>
              <w:ind w:left="160"/>
              <w:spacing w:after="0"/>
              <w:rPr>
                <w:sz w:val="20"/>
                <w:szCs w:val="20"/>
                <w:color w:val="auto"/>
              </w:rPr>
            </w:pPr>
            <w:r>
              <w:rPr>
                <w:rFonts w:ascii="Arial" w:cs="Arial" w:eastAsia="Arial" w:hAnsi="Arial"/>
                <w:sz w:val="16"/>
                <w:szCs w:val="16"/>
                <w:color w:val="auto"/>
              </w:rPr>
              <w:t>Cheyenne Prairie Generating Station serves the utility customers of South Dakota Electric and Wyoming</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Electric. The facility includes one simple-cycle, 40 MW combustion turbine that is wholly-owned by</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Wyoming Electric and one combined-cycle, 100 MW unit that is jointly-owned by Wyoming Electric (42 MW)</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and South Dakota Electric (58 MW).</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Chief Operating Decision Maker (CODM)</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Chief Executive Officer</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Choice Gas Program</w:t>
            </w:r>
          </w:p>
        </w:tc>
        <w:tc>
          <w:tcPr>
            <w:tcW w:w="8000" w:type="dxa"/>
            <w:vAlign w:val="bottom"/>
          </w:tcPr>
          <w:p>
            <w:pPr>
              <w:ind w:left="160"/>
              <w:spacing w:after="0"/>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delivery service.</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City of Gillette</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Gillette, Wyoming</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Clean Energy Plan</w:t>
            </w:r>
          </w:p>
        </w:tc>
        <w:tc>
          <w:tcPr>
            <w:tcW w:w="8000" w:type="dxa"/>
            <w:vAlign w:val="bottom"/>
          </w:tcPr>
          <w:p>
            <w:pPr>
              <w:ind w:left="16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 cost-</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effectively achieve the State of Colorado’s requirement calling upon electric utilities to reduce GHG</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emissions by a minimum of 80% by 2030. The preferred resource portfolio calls for the addition of 149 MW</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of wind, 258 MW of solar and 50 MW of battery storage to Colorado Electric’s system. The final mix of</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resources would be determined by the results of a competitive solicitation starting in 2023. Colorado</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 comply</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with the Clean Energy Plan.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Carbon dioxide</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Colorado Electric</w:t>
            </w:r>
          </w:p>
        </w:tc>
        <w:tc>
          <w:tcPr>
            <w:tcW w:w="8000" w:type="dxa"/>
            <w:vAlign w:val="bottom"/>
          </w:tcPr>
          <w:p>
            <w:pPr>
              <w:ind w:left="160"/>
              <w:spacing w:after="0"/>
              <w:rPr>
                <w:sz w:val="20"/>
                <w:szCs w:val="20"/>
                <w:color w:val="auto"/>
              </w:rPr>
            </w:pPr>
            <w:r>
              <w:rPr>
                <w:rFonts w:ascii="Arial" w:cs="Arial" w:eastAsia="Arial" w:hAnsi="Arial"/>
                <w:sz w:val="16"/>
                <w:szCs w:val="16"/>
                <w:color w:val="auto"/>
              </w:rPr>
              <w:t>Black Hills Colorado Electric, LLC, a 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electric service to customers in Colorado (doing business as Black Hills Energy).</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Colorado Gas</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 providing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natural gas services to customers in Colorado (doing business as Black Hills Energy).</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Common Use System</w:t>
            </w:r>
          </w:p>
        </w:tc>
        <w:tc>
          <w:tcPr>
            <w:tcW w:w="8000" w:type="dxa"/>
            <w:vAlign w:val="bottom"/>
          </w:tcPr>
          <w:p>
            <w:pPr>
              <w:ind w:left="160"/>
              <w:spacing w:after="0"/>
              <w:rPr>
                <w:sz w:val="20"/>
                <w:szCs w:val="20"/>
                <w:color w:val="auto"/>
              </w:rPr>
            </w:pPr>
            <w:r>
              <w:rPr>
                <w:rFonts w:ascii="Arial" w:cs="Arial" w:eastAsia="Arial" w:hAnsi="Arial"/>
                <w:sz w:val="16"/>
                <w:szCs w:val="16"/>
                <w:color w:val="auto"/>
              </w:rPr>
              <w:t>The Common Use System is a jointly operated transmission system we participate in with Basin Electric</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Power Cooperative and Powder River Energy Corporation. The Common Use System provides</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 facilities</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within areas of southwestern South Dakota and northeastern Wyoming.</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Consolidated Indebtedness to</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Any Indebtedness outstanding at such time, divided by capital at such time. Capital being consolidated net-</w:t>
            </w:r>
          </w:p>
        </w:tc>
      </w:tr>
      <w:tr>
        <w:trPr>
          <w:trHeight w:val="189"/>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Capitalization Ratio</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worth (excluding non-controlling interest) plus consolidated indebtedness (including letters of credit and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certain guarantees issued) as defined within the current Revolving Credit Facility.</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Cooling Degree Day</w:t>
            </w:r>
          </w:p>
        </w:tc>
        <w:tc>
          <w:tcPr>
            <w:tcW w:w="8000" w:type="dxa"/>
            <w:vAlign w:val="bottom"/>
          </w:tcPr>
          <w:p>
            <w:pPr>
              <w:ind w:left="16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day is above 65 degrees. The warmer the climate, the greater the number of cooling degree days. Cooling</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degree days are used in the utility industry to measure the relative warmth of weather and to compare</w:t>
            </w:r>
          </w:p>
        </w:tc>
      </w:tr>
      <w:tr>
        <w:trPr>
          <w:trHeight w:val="189"/>
        </w:trPr>
        <w:tc>
          <w:tcPr>
            <w:tcW w:w="1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National Weather Service data for selected locations.</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42"/>
        </w:trPr>
        <w:tc>
          <w:tcPr>
            <w:tcW w:w="32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Corriedale</w:t>
            </w:r>
          </w:p>
        </w:tc>
        <w:tc>
          <w:tcPr>
            <w:tcW w:w="80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The 52.5 MW wind farm near Cheyenne, Wyoming, jointly owned by South Dakota Electric (32.5 MW) and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Wyoming Electric (20 MW), serving as the dedicated wind energy supply to the Renewable Ready program.</w:t>
            </w:r>
          </w:p>
        </w:tc>
      </w:tr>
      <w:tr>
        <w:trPr>
          <w:trHeight w:val="242"/>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COVID-19</w:t>
            </w:r>
          </w:p>
        </w:tc>
        <w:tc>
          <w:tcPr>
            <w:tcW w:w="8000" w:type="dxa"/>
            <w:vAlign w:val="bottom"/>
          </w:tcPr>
          <w:p>
            <w:pPr>
              <w:ind w:left="160"/>
              <w:spacing w:after="0"/>
              <w:rPr>
                <w:sz w:val="20"/>
                <w:szCs w:val="20"/>
                <w:color w:val="auto"/>
              </w:rPr>
            </w:pPr>
            <w:r>
              <w:rPr>
                <w:rFonts w:ascii="Arial" w:cs="Arial" w:eastAsia="Arial" w:hAnsi="Arial"/>
                <w:sz w:val="16"/>
                <w:szCs w:val="16"/>
                <w:color w:val="auto"/>
              </w:rPr>
              <w:t>The official name for the 2019 novel coronavirus disease announced on February 11, 2020, by the World</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6"/>
                <w:szCs w:val="16"/>
                <w:color w:val="auto"/>
              </w:rPr>
              <w:t>Health Organization, that is causing a global pandemic.</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CP Program</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Commercial Paper Program</w:t>
            </w:r>
          </w:p>
        </w:tc>
      </w:tr>
      <w:tr>
        <w:trPr>
          <w:trHeight w:val="26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CPUC</w:t>
            </w:r>
          </w:p>
        </w:tc>
        <w:tc>
          <w:tcPr>
            <w:tcW w:w="8000" w:type="dxa"/>
            <w:vAlign w:val="bottom"/>
          </w:tcPr>
          <w:p>
            <w:pPr>
              <w:ind w:left="160"/>
              <w:spacing w:after="0"/>
              <w:rPr>
                <w:sz w:val="20"/>
                <w:szCs w:val="20"/>
                <w:color w:val="auto"/>
              </w:rPr>
            </w:pPr>
            <w:r>
              <w:rPr>
                <w:rFonts w:ascii="Arial" w:cs="Arial" w:eastAsia="Arial" w:hAnsi="Arial"/>
                <w:sz w:val="16"/>
                <w:szCs w:val="16"/>
                <w:color w:val="auto"/>
              </w:rPr>
              <w:t>Colorado Public Utilities Commission</w:t>
            </w:r>
          </w:p>
        </w:tc>
      </w:tr>
      <w:tr>
        <w:trPr>
          <w:trHeight w:val="29"/>
        </w:trPr>
        <w:tc>
          <w:tcPr>
            <w:tcW w:w="1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00" w:type="dxa"/>
            <w:vAlign w:val="bottom"/>
          </w:tcPr>
          <w:p>
            <w:pPr>
              <w:spacing w:after="0"/>
              <w:rPr>
                <w:sz w:val="2"/>
                <w:szCs w:val="2"/>
                <w:color w:val="auto"/>
              </w:rPr>
            </w:pPr>
          </w:p>
        </w:tc>
      </w:tr>
      <w:tr>
        <w:trPr>
          <w:trHeight w:val="277"/>
        </w:trPr>
        <w:tc>
          <w:tcPr>
            <w:tcW w:w="3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CSAPR</w:t>
            </w:r>
          </w:p>
        </w:tc>
        <w:tc>
          <w:tcPr>
            <w:tcW w:w="80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Cross-State Air Pollution Rule</w:t>
            </w:r>
          </w:p>
        </w:tc>
      </w:tr>
      <w:tr>
        <w:trPr>
          <w:trHeight w:val="215"/>
        </w:trPr>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00" w:type="dxa"/>
            <w:vAlign w:val="bottom"/>
          </w:tcPr>
          <w:p>
            <w:pPr>
              <w:ind w:left="2340"/>
              <w:spacing w:after="0"/>
              <w:rPr>
                <w:sz w:val="20"/>
                <w:szCs w:val="20"/>
                <w:color w:val="auto"/>
              </w:rPr>
            </w:pPr>
            <w:r>
              <w:rPr>
                <w:rFonts w:ascii="Arial" w:cs="Arial" w:eastAsia="Arial" w:hAnsi="Arial"/>
                <w:sz w:val="16"/>
                <w:szCs w:val="16"/>
                <w:color w:val="auto"/>
              </w:rPr>
              <w:t>5</w:t>
            </w:r>
          </w:p>
        </w:tc>
      </w:tr>
      <w:tr>
        <w:trPr>
          <w:trHeight w:val="89"/>
        </w:trPr>
        <w:tc>
          <w:tcPr>
            <w:tcW w:w="136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8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5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680" w:type="dxa"/>
            <w:vAlign w:val="bottom"/>
          </w:tcPr>
          <w:p>
            <w:pPr>
              <w:spacing w:after="0"/>
              <w:rPr>
                <w:sz w:val="16"/>
                <w:szCs w:val="16"/>
                <w:color w:val="auto"/>
              </w:rPr>
            </w:pPr>
          </w:p>
        </w:tc>
      </w:tr>
      <w:tr>
        <w:trPr>
          <w:trHeight w:val="275"/>
        </w:trPr>
        <w:tc>
          <w:tcPr>
            <w:tcW w:w="136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CT</w:t>
            </w:r>
          </w:p>
        </w:tc>
        <w:tc>
          <w:tcPr>
            <w:tcW w:w="1200" w:type="dxa"/>
            <w:vAlign w:val="bottom"/>
          </w:tcPr>
          <w:p>
            <w:pPr>
              <w:spacing w:after="0"/>
              <w:rPr>
                <w:sz w:val="23"/>
                <w:szCs w:val="23"/>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Combustion Turbine</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CTII</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The 40 MW Gillette CT, a simple-cycle, gas-fired combustion turbine owned by the City of Gillette.</w:t>
            </w:r>
          </w:p>
        </w:tc>
      </w:tr>
      <w:tr>
        <w:trPr>
          <w:trHeight w:val="242"/>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Cushion Gas</w:t>
            </w:r>
          </w:p>
        </w:tc>
        <w:tc>
          <w:tcPr>
            <w:tcW w:w="8680" w:type="dxa"/>
            <w:vAlign w:val="bottom"/>
          </w:tcPr>
          <w:p>
            <w:pPr>
              <w:ind w:left="840"/>
              <w:spacing w:after="0"/>
              <w:rPr>
                <w:sz w:val="20"/>
                <w:szCs w:val="20"/>
                <w:color w:val="auto"/>
              </w:rPr>
            </w:pPr>
            <w:r>
              <w:rPr>
                <w:rFonts w:ascii="Arial" w:cs="Arial" w:eastAsia="Arial" w:hAnsi="Arial"/>
                <w:sz w:val="16"/>
                <w:szCs w:val="16"/>
                <w:color w:val="auto"/>
              </w:rPr>
              <w:t>The portion of natural gas necessary to force saleable gas from a storage field into the transmission system</w:t>
            </w:r>
          </w:p>
        </w:tc>
      </w:tr>
      <w:tr>
        <w:trPr>
          <w:trHeight w:val="189"/>
        </w:trPr>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and for system balancing, representing a permanent investment necessary to use storage facilities and</w:t>
            </w:r>
          </w:p>
        </w:tc>
      </w:tr>
      <w:tr>
        <w:trPr>
          <w:trHeight w:val="215"/>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maintain reliability.</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CVA</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Credit Valuation Adjustment</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DC</w:t>
            </w:r>
          </w:p>
        </w:tc>
        <w:tc>
          <w:tcPr>
            <w:tcW w:w="8680" w:type="dxa"/>
            <w:vAlign w:val="bottom"/>
          </w:tcPr>
          <w:p>
            <w:pPr>
              <w:ind w:left="840"/>
              <w:spacing w:after="0"/>
              <w:rPr>
                <w:sz w:val="20"/>
                <w:szCs w:val="20"/>
                <w:color w:val="auto"/>
              </w:rPr>
            </w:pPr>
            <w:r>
              <w:rPr>
                <w:rFonts w:ascii="Arial" w:cs="Arial" w:eastAsia="Arial" w:hAnsi="Arial"/>
                <w:sz w:val="16"/>
                <w:szCs w:val="16"/>
                <w:color w:val="auto"/>
              </w:rPr>
              <w:t>Direct Current</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Dividend Payout Ratio</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common stock</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DRSPP</w:t>
            </w:r>
          </w:p>
        </w:tc>
        <w:tc>
          <w:tcPr>
            <w:tcW w:w="8680" w:type="dxa"/>
            <w:vAlign w:val="bottom"/>
          </w:tcPr>
          <w:p>
            <w:pPr>
              <w:ind w:left="840"/>
              <w:spacing w:after="0"/>
              <w:rPr>
                <w:sz w:val="20"/>
                <w:szCs w:val="20"/>
                <w:color w:val="auto"/>
              </w:rPr>
            </w:pPr>
            <w:r>
              <w:rPr>
                <w:rFonts w:ascii="Arial" w:cs="Arial" w:eastAsia="Arial" w:hAnsi="Arial"/>
                <w:sz w:val="16"/>
                <w:szCs w:val="16"/>
                <w:color w:val="auto"/>
              </w:rPr>
              <w:t>Dividend Reinvestment and Stock Purchase Plan</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DSM</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Demand Side Management</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Dth</w:t>
            </w:r>
          </w:p>
        </w:tc>
        <w:tc>
          <w:tcPr>
            <w:tcW w:w="8680" w:type="dxa"/>
            <w:vAlign w:val="bottom"/>
          </w:tcPr>
          <w:p>
            <w:pPr>
              <w:ind w:left="84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EBITDA</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Earnings before interest, taxes, depreciation and amortization, a non-GAAP measure.</w:t>
            </w:r>
          </w:p>
        </w:tc>
      </w:tr>
      <w:tr>
        <w:trPr>
          <w:trHeight w:val="242"/>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ECA</w:t>
            </w:r>
          </w:p>
        </w:tc>
        <w:tc>
          <w:tcPr>
            <w:tcW w:w="8680" w:type="dxa"/>
            <w:vAlign w:val="bottom"/>
          </w:tcPr>
          <w:p>
            <w:pPr>
              <w:ind w:left="840"/>
              <w:spacing w:after="0"/>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15"/>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purchased energy through to customers.</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Economy Energy</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242"/>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EECR</w:t>
            </w:r>
          </w:p>
        </w:tc>
        <w:tc>
          <w:tcPr>
            <w:tcW w:w="8680" w:type="dxa"/>
            <w:vAlign w:val="bottom"/>
          </w:tcPr>
          <w:p>
            <w:pPr>
              <w:ind w:left="840"/>
              <w:spacing w:after="0"/>
              <w:rPr>
                <w:sz w:val="20"/>
                <w:szCs w:val="20"/>
                <w:color w:val="auto"/>
              </w:rPr>
            </w:pPr>
            <w:r>
              <w:rPr>
                <w:rFonts w:ascii="Arial" w:cs="Arial" w:eastAsia="Arial" w:hAnsi="Arial"/>
                <w:sz w:val="16"/>
                <w:szCs w:val="16"/>
                <w:color w:val="auto"/>
              </w:rPr>
              <w:t>Energy Efficiency Cost Recovery is an adjustment mechanism that allows us to recover from customers the</w:t>
            </w:r>
          </w:p>
        </w:tc>
      </w:tr>
      <w:tr>
        <w:trPr>
          <w:trHeight w:val="215"/>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costs associated with providing energy efficiency programs.</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EIA</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Environmental Improvement Adjustment is an annual adjustment mechanism that allows us to recover from</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customers eligible investments in, and expense related to, new environmental measures.</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EGU</w:t>
            </w:r>
          </w:p>
        </w:tc>
        <w:tc>
          <w:tcPr>
            <w:tcW w:w="8680" w:type="dxa"/>
            <w:vAlign w:val="bottom"/>
          </w:tcPr>
          <w:p>
            <w:pPr>
              <w:ind w:left="840"/>
              <w:spacing w:after="0"/>
              <w:rPr>
                <w:sz w:val="20"/>
                <w:szCs w:val="20"/>
                <w:color w:val="auto"/>
              </w:rPr>
            </w:pPr>
            <w:r>
              <w:rPr>
                <w:rFonts w:ascii="Arial" w:cs="Arial" w:eastAsia="Arial" w:hAnsi="Arial"/>
                <w:sz w:val="16"/>
                <w:szCs w:val="16"/>
                <w:color w:val="auto"/>
              </w:rPr>
              <w:t>Electric generating unit</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Energy Transition</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The global energy sector’s shift from fossil-based systems of energy production and consumption, including</w:t>
            </w:r>
          </w:p>
        </w:tc>
      </w:tr>
      <w:tr>
        <w:trPr>
          <w:trHeight w:val="189"/>
        </w:trPr>
        <w:tc>
          <w:tcPr>
            <w:tcW w:w="1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oil, natural gas and coal to renewable energy sources like wind and solar, as well as battery storage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solutions.</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EPA</w:t>
            </w:r>
          </w:p>
        </w:tc>
        <w:tc>
          <w:tcPr>
            <w:tcW w:w="8680" w:type="dxa"/>
            <w:vAlign w:val="bottom"/>
          </w:tcPr>
          <w:p>
            <w:pPr>
              <w:ind w:left="840"/>
              <w:spacing w:after="0"/>
              <w:rPr>
                <w:sz w:val="20"/>
                <w:szCs w:val="20"/>
                <w:color w:val="auto"/>
              </w:rPr>
            </w:pPr>
            <w:r>
              <w:rPr>
                <w:rFonts w:ascii="Arial" w:cs="Arial" w:eastAsia="Arial" w:hAnsi="Arial"/>
                <w:sz w:val="16"/>
                <w:szCs w:val="16"/>
                <w:color w:val="auto"/>
              </w:rPr>
              <w:t>United States Environmental Protection Agency</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EV</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Electric Vehicle</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EWG</w:t>
            </w:r>
          </w:p>
        </w:tc>
        <w:tc>
          <w:tcPr>
            <w:tcW w:w="8680" w:type="dxa"/>
            <w:vAlign w:val="bottom"/>
          </w:tcPr>
          <w:p>
            <w:pPr>
              <w:ind w:left="840"/>
              <w:spacing w:after="0"/>
              <w:rPr>
                <w:sz w:val="20"/>
                <w:szCs w:val="20"/>
                <w:color w:val="auto"/>
              </w:rPr>
            </w:pPr>
            <w:r>
              <w:rPr>
                <w:rFonts w:ascii="Arial" w:cs="Arial" w:eastAsia="Arial" w:hAnsi="Arial"/>
                <w:sz w:val="16"/>
                <w:szCs w:val="16"/>
                <w:color w:val="auto"/>
              </w:rPr>
              <w:t>Exempt Wholesale Generator</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FASB</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Financial Accounting Standards Board</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FERC</w:t>
            </w:r>
          </w:p>
        </w:tc>
        <w:tc>
          <w:tcPr>
            <w:tcW w:w="8680" w:type="dxa"/>
            <w:vAlign w:val="bottom"/>
          </w:tcPr>
          <w:p>
            <w:pPr>
              <w:ind w:left="840"/>
              <w:spacing w:after="0"/>
              <w:rPr>
                <w:sz w:val="20"/>
                <w:szCs w:val="20"/>
                <w:color w:val="auto"/>
              </w:rPr>
            </w:pPr>
            <w:r>
              <w:rPr>
                <w:rFonts w:ascii="Arial" w:cs="Arial" w:eastAsia="Arial" w:hAnsi="Arial"/>
                <w:sz w:val="16"/>
                <w:szCs w:val="16"/>
                <w:color w:val="auto"/>
              </w:rPr>
              <w:t>United States Federal Energy Regulatory Commission</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77"/>
        </w:trPr>
        <w:tc>
          <w:tcPr>
            <w:tcW w:w="25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Fitch</w:t>
            </w: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Fitch Ratings Inc.</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GAAP</w:t>
            </w:r>
          </w:p>
        </w:tc>
        <w:tc>
          <w:tcPr>
            <w:tcW w:w="8680" w:type="dxa"/>
            <w:vAlign w:val="bottom"/>
          </w:tcPr>
          <w:p>
            <w:pPr>
              <w:ind w:left="84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GCA</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Gas Cost Adjustment is an adjustment that allows us to pass the prudently-incurred cost of gas and certain</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services through to customers.</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GHG</w:t>
            </w:r>
          </w:p>
        </w:tc>
        <w:tc>
          <w:tcPr>
            <w:tcW w:w="8680" w:type="dxa"/>
            <w:vAlign w:val="bottom"/>
          </w:tcPr>
          <w:p>
            <w:pPr>
              <w:ind w:left="840"/>
              <w:spacing w:after="0"/>
              <w:rPr>
                <w:sz w:val="20"/>
                <w:szCs w:val="20"/>
                <w:color w:val="auto"/>
              </w:rPr>
            </w:pPr>
            <w:r>
              <w:rPr>
                <w:rFonts w:ascii="Arial" w:cs="Arial" w:eastAsia="Arial" w:hAnsi="Arial"/>
                <w:sz w:val="16"/>
                <w:szCs w:val="16"/>
                <w:color w:val="auto"/>
              </w:rPr>
              <w:t>Greenhouse gases</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Global Settlement</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68"/>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Happy Jack</w:t>
            </w:r>
          </w:p>
        </w:tc>
        <w:tc>
          <w:tcPr>
            <w:tcW w:w="8680" w:type="dxa"/>
            <w:vAlign w:val="bottom"/>
          </w:tcPr>
          <w:p>
            <w:pPr>
              <w:ind w:left="840"/>
              <w:spacing w:after="0"/>
              <w:rPr>
                <w:sz w:val="20"/>
                <w:szCs w:val="20"/>
                <w:color w:val="auto"/>
              </w:rPr>
            </w:pPr>
            <w:r>
              <w:rPr>
                <w:rFonts w:ascii="Arial" w:cs="Arial" w:eastAsia="Arial" w:hAnsi="Arial"/>
                <w:sz w:val="16"/>
                <w:szCs w:val="16"/>
                <w:color w:val="auto"/>
              </w:rPr>
              <w:t>Happy Jack Wind Farm, LLC, owned by Duke Energy Generation Services</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Heating Degree Day</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1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1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1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compare relative temperatures between one geographic area and another. Normal degree days are based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on the National Weather Service data for selected locations.</w:t>
            </w:r>
          </w:p>
        </w:tc>
      </w:tr>
      <w:tr>
        <w:trPr>
          <w:trHeight w:val="242"/>
        </w:trPr>
        <w:tc>
          <w:tcPr>
            <w:tcW w:w="2560" w:type="dxa"/>
            <w:vAlign w:val="bottom"/>
            <w:gridSpan w:val="2"/>
          </w:tcPr>
          <w:p>
            <w:pPr>
              <w:ind w:left="120"/>
              <w:spacing w:after="0"/>
              <w:rPr>
                <w:sz w:val="20"/>
                <w:szCs w:val="20"/>
                <w:color w:val="auto"/>
              </w:rPr>
            </w:pPr>
            <w:r>
              <w:rPr>
                <w:rFonts w:ascii="Arial" w:cs="Arial" w:eastAsia="Arial" w:hAnsi="Arial"/>
                <w:sz w:val="16"/>
                <w:szCs w:val="16"/>
                <w:color w:val="auto"/>
              </w:rPr>
              <w:t>HomeServe</w:t>
            </w:r>
          </w:p>
        </w:tc>
        <w:tc>
          <w:tcPr>
            <w:tcW w:w="8680" w:type="dxa"/>
            <w:vAlign w:val="bottom"/>
          </w:tcPr>
          <w:p>
            <w:pPr>
              <w:ind w:left="840"/>
              <w:spacing w:after="0"/>
              <w:rPr>
                <w:sz w:val="20"/>
                <w:szCs w:val="20"/>
                <w:color w:val="auto"/>
              </w:rPr>
            </w:pPr>
            <w:r>
              <w:rPr>
                <w:rFonts w:ascii="Arial" w:cs="Arial" w:eastAsia="Arial" w:hAnsi="Arial"/>
                <w:sz w:val="16"/>
                <w:szCs w:val="16"/>
                <w:color w:val="auto"/>
              </w:rPr>
              <w:t>We offer HomeServe products to our natural gas residential customers interested in purchasing additional</w:t>
            </w:r>
          </w:p>
        </w:tc>
      </w:tr>
      <w:tr>
        <w:trPr>
          <w:trHeight w:val="215"/>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840"/>
              <w:spacing w:after="0"/>
              <w:rPr>
                <w:sz w:val="20"/>
                <w:szCs w:val="20"/>
                <w:color w:val="auto"/>
              </w:rPr>
            </w:pPr>
            <w:r>
              <w:rPr>
                <w:rFonts w:ascii="Arial" w:cs="Arial" w:eastAsia="Arial" w:hAnsi="Arial"/>
                <w:sz w:val="16"/>
                <w:szCs w:val="16"/>
                <w:color w:val="auto"/>
              </w:rPr>
              <w:t>home repair service plans.</w:t>
            </w:r>
          </w:p>
        </w:tc>
      </w:tr>
      <w:tr>
        <w:trPr>
          <w:trHeight w:val="29"/>
        </w:trPr>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42"/>
        </w:trPr>
        <w:tc>
          <w:tcPr>
            <w:tcW w:w="2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86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Non-regulated power generation and mining businesses that are vertically integrated within our Electric</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86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Utilities segment.</w:t>
            </w:r>
          </w:p>
        </w:tc>
      </w:tr>
      <w:tr>
        <w:trPr>
          <w:trHeight w:val="215"/>
        </w:trPr>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80" w:type="dxa"/>
            <w:vAlign w:val="bottom"/>
          </w:tcPr>
          <w:p>
            <w:pPr>
              <w:ind w:left="3020"/>
              <w:spacing w:after="0"/>
              <w:rPr>
                <w:sz w:val="20"/>
                <w:szCs w:val="20"/>
                <w:color w:val="auto"/>
              </w:rPr>
            </w:pPr>
            <w:r>
              <w:rPr>
                <w:rFonts w:ascii="Arial" w:cs="Arial" w:eastAsia="Arial" w:hAnsi="Arial"/>
                <w:sz w:val="16"/>
                <w:szCs w:val="16"/>
                <w:color w:val="auto"/>
              </w:rPr>
              <w:t>6</w:t>
            </w:r>
          </w:p>
        </w:tc>
      </w:tr>
      <w:tr>
        <w:trPr>
          <w:trHeight w:val="89"/>
        </w:trPr>
        <w:tc>
          <w:tcPr>
            <w:tcW w:w="1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27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540" w:type="dxa"/>
            <w:vAlign w:val="bottom"/>
          </w:tcPr>
          <w:p>
            <w:pPr>
              <w:spacing w:after="0"/>
              <w:rPr>
                <w:sz w:val="16"/>
                <w:szCs w:val="16"/>
                <w:color w:val="auto"/>
              </w:rPr>
            </w:pPr>
          </w:p>
        </w:tc>
      </w:tr>
      <w:tr>
        <w:trPr>
          <w:trHeight w:val="249"/>
        </w:trPr>
        <w:tc>
          <w:tcPr>
            <w:tcW w:w="136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Iowa Gas</w:t>
            </w:r>
          </w:p>
        </w:tc>
        <w:tc>
          <w:tcPr>
            <w:tcW w:w="1340" w:type="dxa"/>
            <w:vAlign w:val="bottom"/>
          </w:tcPr>
          <w:p>
            <w:pPr>
              <w:spacing w:after="0"/>
              <w:rPr>
                <w:sz w:val="21"/>
                <w:szCs w:val="21"/>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Black Hills Iowa Gas Utility Company, LLC, a direct, wholly-owned subsidiary of Black Hills Utility Holdings,</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providing natural gas services to customers in Iowa (doing business as Black Hills Energy).</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IPP</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Independent Power Producer</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IRA</w:t>
            </w:r>
          </w:p>
        </w:tc>
        <w:tc>
          <w:tcPr>
            <w:tcW w:w="8540" w:type="dxa"/>
            <w:vAlign w:val="bottom"/>
          </w:tcPr>
          <w:p>
            <w:pPr>
              <w:ind w:left="700"/>
              <w:spacing w:after="0"/>
              <w:rPr>
                <w:sz w:val="20"/>
                <w:szCs w:val="20"/>
                <w:color w:val="auto"/>
              </w:rPr>
            </w:pPr>
            <w:r>
              <w:rPr>
                <w:rFonts w:ascii="Arial" w:cs="Arial" w:eastAsia="Arial" w:hAnsi="Arial"/>
                <w:sz w:val="16"/>
                <w:szCs w:val="16"/>
                <w:color w:val="auto"/>
              </w:rPr>
              <w:t>Inflation Reduction Act of 2022</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IRC</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Internal Revenue Code</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IRP</w:t>
            </w:r>
          </w:p>
        </w:tc>
        <w:tc>
          <w:tcPr>
            <w:tcW w:w="8540" w:type="dxa"/>
            <w:vAlign w:val="bottom"/>
          </w:tcPr>
          <w:p>
            <w:pPr>
              <w:ind w:left="700"/>
              <w:spacing w:after="0"/>
              <w:rPr>
                <w:sz w:val="20"/>
                <w:szCs w:val="20"/>
                <w:color w:val="auto"/>
              </w:rPr>
            </w:pPr>
            <w:r>
              <w:rPr>
                <w:rFonts w:ascii="Arial" w:cs="Arial" w:eastAsia="Arial" w:hAnsi="Arial"/>
                <w:sz w:val="16"/>
                <w:szCs w:val="16"/>
                <w:color w:val="auto"/>
              </w:rPr>
              <w:t>Integrated Resource Plan</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IRS</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United States Internal Revenue Service</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ITC</w:t>
            </w:r>
          </w:p>
        </w:tc>
        <w:tc>
          <w:tcPr>
            <w:tcW w:w="8540" w:type="dxa"/>
            <w:vAlign w:val="bottom"/>
          </w:tcPr>
          <w:p>
            <w:pPr>
              <w:ind w:left="700"/>
              <w:spacing w:after="0"/>
              <w:rPr>
                <w:sz w:val="20"/>
                <w:szCs w:val="20"/>
                <w:color w:val="auto"/>
              </w:rPr>
            </w:pPr>
            <w:r>
              <w:rPr>
                <w:rFonts w:ascii="Arial" w:cs="Arial" w:eastAsia="Arial" w:hAnsi="Arial"/>
                <w:sz w:val="16"/>
                <w:szCs w:val="16"/>
                <w:color w:val="auto"/>
              </w:rPr>
              <w:t>Investment Tax Credit</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IUB</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Iowa Utilities Board</w:t>
            </w:r>
          </w:p>
        </w:tc>
      </w:tr>
      <w:tr>
        <w:trPr>
          <w:trHeight w:val="242"/>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Kansas Gas</w:t>
            </w:r>
          </w:p>
        </w:tc>
        <w:tc>
          <w:tcPr>
            <w:tcW w:w="8540" w:type="dxa"/>
            <w:vAlign w:val="bottom"/>
          </w:tcPr>
          <w:p>
            <w:pPr>
              <w:ind w:left="700"/>
              <w:spacing w:after="0"/>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KCC</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Kansas Corporation Commission</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kV</w:t>
            </w:r>
          </w:p>
        </w:tc>
        <w:tc>
          <w:tcPr>
            <w:tcW w:w="8540" w:type="dxa"/>
            <w:vAlign w:val="bottom"/>
          </w:tcPr>
          <w:p>
            <w:pPr>
              <w:ind w:left="700"/>
              <w:spacing w:after="0"/>
              <w:rPr>
                <w:sz w:val="20"/>
                <w:szCs w:val="20"/>
                <w:color w:val="auto"/>
              </w:rPr>
            </w:pPr>
            <w:r>
              <w:rPr>
                <w:rFonts w:ascii="Arial" w:cs="Arial" w:eastAsia="Arial" w:hAnsi="Arial"/>
                <w:sz w:val="16"/>
                <w:szCs w:val="16"/>
                <w:color w:val="auto"/>
              </w:rPr>
              <w:t>Kilovolt</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LIBOR</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London Interbank Offered Rate</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Mcf</w:t>
            </w:r>
          </w:p>
        </w:tc>
        <w:tc>
          <w:tcPr>
            <w:tcW w:w="8540" w:type="dxa"/>
            <w:vAlign w:val="bottom"/>
          </w:tcPr>
          <w:p>
            <w:pPr>
              <w:ind w:left="700"/>
              <w:spacing w:after="0"/>
              <w:rPr>
                <w:sz w:val="20"/>
                <w:szCs w:val="20"/>
                <w:color w:val="auto"/>
              </w:rPr>
            </w:pPr>
            <w:r>
              <w:rPr>
                <w:rFonts w:ascii="Arial" w:cs="Arial" w:eastAsia="Arial" w:hAnsi="Arial"/>
                <w:sz w:val="16"/>
                <w:szCs w:val="16"/>
                <w:color w:val="auto"/>
              </w:rPr>
              <w:t>Thousand cubic feet</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Mcfd</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Thousand cubic feet per day</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MDU</w:t>
            </w:r>
          </w:p>
        </w:tc>
        <w:tc>
          <w:tcPr>
            <w:tcW w:w="8540" w:type="dxa"/>
            <w:vAlign w:val="bottom"/>
          </w:tcPr>
          <w:p>
            <w:pPr>
              <w:ind w:left="70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MEAN</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Municipal Energy Agency of Nebraska</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MISO</w:t>
            </w:r>
          </w:p>
        </w:tc>
        <w:tc>
          <w:tcPr>
            <w:tcW w:w="8540" w:type="dxa"/>
            <w:vAlign w:val="bottom"/>
          </w:tcPr>
          <w:p>
            <w:pPr>
              <w:ind w:left="700"/>
              <w:spacing w:after="0"/>
              <w:rPr>
                <w:sz w:val="20"/>
                <w:szCs w:val="20"/>
                <w:color w:val="auto"/>
              </w:rPr>
            </w:pPr>
            <w:r>
              <w:rPr>
                <w:rFonts w:ascii="Arial" w:cs="Arial" w:eastAsia="Arial" w:hAnsi="Arial"/>
                <w:sz w:val="16"/>
                <w:szCs w:val="16"/>
                <w:color w:val="auto"/>
              </w:rPr>
              <w:t>Midcontinent Independent System Operator, Inc.</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MMBtu</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Million British thermal units</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Moody’s</w:t>
            </w:r>
          </w:p>
        </w:tc>
        <w:tc>
          <w:tcPr>
            <w:tcW w:w="8540" w:type="dxa"/>
            <w:vAlign w:val="bottom"/>
          </w:tcPr>
          <w:p>
            <w:pPr>
              <w:ind w:left="700"/>
              <w:spacing w:after="0"/>
              <w:rPr>
                <w:sz w:val="20"/>
                <w:szCs w:val="20"/>
                <w:color w:val="auto"/>
              </w:rPr>
            </w:pPr>
            <w:r>
              <w:rPr>
                <w:rFonts w:ascii="Arial" w:cs="Arial" w:eastAsia="Arial" w:hAnsi="Arial"/>
                <w:sz w:val="16"/>
                <w:szCs w:val="16"/>
                <w:color w:val="auto"/>
              </w:rPr>
              <w:t>Moody’s Investors Service, Inc.</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MSHA</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United States Department of Labor’s Mine Safety and Health Administration</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MW</w:t>
            </w:r>
          </w:p>
        </w:tc>
        <w:tc>
          <w:tcPr>
            <w:tcW w:w="8540" w:type="dxa"/>
            <w:vAlign w:val="bottom"/>
          </w:tcPr>
          <w:p>
            <w:pPr>
              <w:ind w:left="700"/>
              <w:spacing w:after="0"/>
              <w:rPr>
                <w:sz w:val="20"/>
                <w:szCs w:val="20"/>
                <w:color w:val="auto"/>
              </w:rPr>
            </w:pPr>
            <w:r>
              <w:rPr>
                <w:rFonts w:ascii="Arial" w:cs="Arial" w:eastAsia="Arial" w:hAnsi="Arial"/>
                <w:sz w:val="16"/>
                <w:szCs w:val="16"/>
                <w:color w:val="auto"/>
              </w:rPr>
              <w:t>Megawatts</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MWh</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Megawatt-hours</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N/A</w:t>
            </w:r>
          </w:p>
        </w:tc>
        <w:tc>
          <w:tcPr>
            <w:tcW w:w="8540" w:type="dxa"/>
            <w:vAlign w:val="bottom"/>
          </w:tcPr>
          <w:p>
            <w:pPr>
              <w:ind w:left="700"/>
              <w:spacing w:after="0"/>
              <w:rPr>
                <w:sz w:val="20"/>
                <w:szCs w:val="20"/>
                <w:color w:val="auto"/>
              </w:rPr>
            </w:pPr>
            <w:r>
              <w:rPr>
                <w:rFonts w:ascii="Arial" w:cs="Arial" w:eastAsia="Arial" w:hAnsi="Arial"/>
                <w:sz w:val="16"/>
                <w:szCs w:val="16"/>
                <w:color w:val="auto"/>
              </w:rPr>
              <w:t>Not Applicable</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NAAQS</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National Ambient Air Quality Standards</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NAV</w:t>
            </w:r>
          </w:p>
        </w:tc>
        <w:tc>
          <w:tcPr>
            <w:tcW w:w="8540" w:type="dxa"/>
            <w:vAlign w:val="bottom"/>
          </w:tcPr>
          <w:p>
            <w:pPr>
              <w:ind w:left="700"/>
              <w:spacing w:after="0"/>
              <w:rPr>
                <w:sz w:val="20"/>
                <w:szCs w:val="20"/>
                <w:color w:val="auto"/>
              </w:rPr>
            </w:pPr>
            <w:r>
              <w:rPr>
                <w:rFonts w:ascii="Arial" w:cs="Arial" w:eastAsia="Arial" w:hAnsi="Arial"/>
                <w:sz w:val="16"/>
                <w:szCs w:val="16"/>
                <w:color w:val="auto"/>
              </w:rPr>
              <w:t>Net Asset Value</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42"/>
        </w:trPr>
        <w:tc>
          <w:tcPr>
            <w:tcW w:w="2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Nebraska Gas</w:t>
            </w:r>
          </w:p>
        </w:tc>
        <w:tc>
          <w:tcPr>
            <w:tcW w:w="8540" w:type="dxa"/>
            <w:vAlign w:val="bottom"/>
            <w:shd w:val="clear" w:color="auto" w:fill="CFF0FC"/>
          </w:tcPr>
          <w:p>
            <w:pPr>
              <w:ind w:left="70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242"/>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Neil Simpson II</w:t>
            </w:r>
          </w:p>
        </w:tc>
        <w:tc>
          <w:tcPr>
            <w:tcW w:w="8540" w:type="dxa"/>
            <w:vAlign w:val="bottom"/>
          </w:tcPr>
          <w:p>
            <w:pPr>
              <w:ind w:left="700"/>
              <w:spacing w:after="0"/>
              <w:rPr>
                <w:sz w:val="20"/>
                <w:szCs w:val="20"/>
                <w:color w:val="auto"/>
              </w:rPr>
            </w:pPr>
            <w:r>
              <w:rPr>
                <w:rFonts w:ascii="Arial" w:cs="Arial" w:eastAsia="Arial" w:hAnsi="Arial"/>
                <w:sz w:val="16"/>
                <w:szCs w:val="16"/>
                <w:color w:val="auto"/>
              </w:rPr>
              <w:t>A mine-mouth, coal-fired power plant owned and operated by South Dakota Electric with a total capacity of</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90 MW located at our Gillette, Wyoming energy complex.</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NERC</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North American Electric Reliability Corporation</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540" w:type="dxa"/>
            <w:vAlign w:val="bottom"/>
          </w:tcPr>
          <w:p>
            <w:pPr>
              <w:ind w:left="700"/>
              <w:spacing w:after="0"/>
              <w:rPr>
                <w:sz w:val="20"/>
                <w:szCs w:val="20"/>
                <w:color w:val="auto"/>
              </w:rPr>
            </w:pPr>
            <w:r>
              <w:rPr>
                <w:rFonts w:ascii="Arial" w:cs="Arial" w:eastAsia="Arial" w:hAnsi="Arial"/>
                <w:sz w:val="16"/>
                <w:szCs w:val="16"/>
                <w:color w:val="auto"/>
              </w:rPr>
              <w:t>Nitrogen oxide</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NOL</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Net Operating Loss</w:t>
            </w:r>
          </w:p>
        </w:tc>
      </w:tr>
      <w:tr>
        <w:trPr>
          <w:trHeight w:val="242"/>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Northern Iowa Windpower</w:t>
            </w:r>
          </w:p>
        </w:tc>
        <w:tc>
          <w:tcPr>
            <w:tcW w:w="8540" w:type="dxa"/>
            <w:vAlign w:val="bottom"/>
          </w:tcPr>
          <w:p>
            <w:pPr>
              <w:ind w:left="700"/>
              <w:spacing w:after="0"/>
              <w:rPr>
                <w:sz w:val="20"/>
                <w:szCs w:val="20"/>
                <w:color w:val="auto"/>
              </w:rPr>
            </w:pPr>
            <w:r>
              <w:rPr>
                <w:rFonts w:ascii="Arial" w:cs="Arial" w:eastAsia="Arial" w:hAnsi="Arial"/>
                <w:sz w:val="16"/>
                <w:szCs w:val="16"/>
                <w:color w:val="auto"/>
              </w:rPr>
              <w:t>Northern Iowa Windpower, LLC, a 87.1 MW wind farm located near Joice, Iowa, owned by Black Hills</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Electric Generation and operated by a third-party. We sell the wind energy generated in the MISO market.</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NPSC</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Nebraska Public Service Commission</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OCI</w:t>
            </w:r>
          </w:p>
        </w:tc>
        <w:tc>
          <w:tcPr>
            <w:tcW w:w="8540" w:type="dxa"/>
            <w:vAlign w:val="bottom"/>
          </w:tcPr>
          <w:p>
            <w:pPr>
              <w:ind w:left="700"/>
              <w:spacing w:after="0"/>
              <w:rPr>
                <w:sz w:val="20"/>
                <w:szCs w:val="20"/>
                <w:color w:val="auto"/>
              </w:rPr>
            </w:pPr>
            <w:r>
              <w:rPr>
                <w:rFonts w:ascii="Arial" w:cs="Arial" w:eastAsia="Arial" w:hAnsi="Arial"/>
                <w:sz w:val="16"/>
                <w:szCs w:val="16"/>
                <w:color w:val="auto"/>
              </w:rPr>
              <w:t>Other Comprehensive Income</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OPEB</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Other Post-Employment Benefits</w:t>
            </w:r>
          </w:p>
        </w:tc>
      </w:tr>
      <w:tr>
        <w:trPr>
          <w:trHeight w:val="268"/>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OSHA</w:t>
            </w:r>
          </w:p>
        </w:tc>
        <w:tc>
          <w:tcPr>
            <w:tcW w:w="8540" w:type="dxa"/>
            <w:vAlign w:val="bottom"/>
          </w:tcPr>
          <w:p>
            <w:pPr>
              <w:ind w:left="700"/>
              <w:spacing w:after="0"/>
              <w:rPr>
                <w:sz w:val="20"/>
                <w:szCs w:val="20"/>
                <w:color w:val="auto"/>
              </w:rPr>
            </w:pPr>
            <w:r>
              <w:rPr>
                <w:rFonts w:ascii="Arial" w:cs="Arial" w:eastAsia="Arial" w:hAnsi="Arial"/>
                <w:sz w:val="16"/>
                <w:szCs w:val="16"/>
                <w:color w:val="auto"/>
              </w:rPr>
              <w:t>United States Department of Labor’s Occupational Safety &amp; Health Administration</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77"/>
        </w:trPr>
        <w:tc>
          <w:tcPr>
            <w:tcW w:w="27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OSM</w:t>
            </w: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United States Department of the Interior’s Office of Surface Mining</w:t>
            </w:r>
          </w:p>
        </w:tc>
      </w:tr>
      <w:tr>
        <w:trPr>
          <w:trHeight w:val="242"/>
        </w:trPr>
        <w:tc>
          <w:tcPr>
            <w:tcW w:w="2700" w:type="dxa"/>
            <w:vAlign w:val="bottom"/>
            <w:gridSpan w:val="2"/>
          </w:tcPr>
          <w:p>
            <w:pPr>
              <w:ind w:left="120"/>
              <w:spacing w:after="0"/>
              <w:rPr>
                <w:sz w:val="20"/>
                <w:szCs w:val="20"/>
                <w:color w:val="auto"/>
              </w:rPr>
            </w:pPr>
            <w:r>
              <w:rPr>
                <w:rFonts w:ascii="Arial" w:cs="Arial" w:eastAsia="Arial" w:hAnsi="Arial"/>
                <w:sz w:val="16"/>
                <w:szCs w:val="16"/>
                <w:color w:val="auto"/>
              </w:rPr>
              <w:t>PacifiCorp</w:t>
            </w:r>
          </w:p>
        </w:tc>
        <w:tc>
          <w:tcPr>
            <w:tcW w:w="8540" w:type="dxa"/>
            <w:vAlign w:val="bottom"/>
          </w:tcPr>
          <w:p>
            <w:pPr>
              <w:ind w:left="700"/>
              <w:spacing w:after="0"/>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700"/>
              <w:spacing w:after="0"/>
              <w:rPr>
                <w:sz w:val="20"/>
                <w:szCs w:val="20"/>
                <w:color w:val="auto"/>
              </w:rPr>
            </w:pPr>
            <w:r>
              <w:rPr>
                <w:rFonts w:ascii="Arial" w:cs="Arial" w:eastAsia="Arial" w:hAnsi="Arial"/>
                <w:sz w:val="16"/>
                <w:szCs w:val="16"/>
                <w:color w:val="auto"/>
              </w:rPr>
              <w:t>Berkshire Hathaway.</w:t>
            </w:r>
          </w:p>
        </w:tc>
      </w:tr>
      <w:tr>
        <w:trPr>
          <w:trHeight w:val="29"/>
        </w:trPr>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540" w:type="dxa"/>
            <w:vAlign w:val="bottom"/>
          </w:tcPr>
          <w:p>
            <w:pPr>
              <w:spacing w:after="0"/>
              <w:rPr>
                <w:sz w:val="2"/>
                <w:szCs w:val="2"/>
                <w:color w:val="auto"/>
              </w:rPr>
            </w:pPr>
          </w:p>
        </w:tc>
      </w:tr>
      <w:tr>
        <w:trPr>
          <w:trHeight w:val="242"/>
        </w:trPr>
        <w:tc>
          <w:tcPr>
            <w:tcW w:w="27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PCA</w:t>
            </w:r>
          </w:p>
        </w:tc>
        <w:tc>
          <w:tcPr>
            <w:tcW w:w="8540" w:type="dxa"/>
            <w:vAlign w:val="bottom"/>
            <w:shd w:val="clear" w:color="auto" w:fill="CFF0FC"/>
          </w:tcPr>
          <w:p>
            <w:pPr>
              <w:ind w:left="700"/>
              <w:spacing w:after="0"/>
              <w:rPr>
                <w:sz w:val="20"/>
                <w:szCs w:val="20"/>
                <w:color w:val="auto"/>
              </w:rPr>
            </w:pPr>
            <w:r>
              <w:rPr>
                <w:rFonts w:ascii="Arial" w:cs="Arial" w:eastAsia="Arial" w:hAnsi="Arial"/>
                <w:sz w:val="16"/>
                <w:szCs w:val="16"/>
                <w:color w:val="auto"/>
              </w:rPr>
              <w:t>Power Cost Adjustment is an annual adjustment mechanism that allows us to pass a portion of prudently-</w:t>
            </w:r>
          </w:p>
        </w:tc>
      </w:tr>
      <w:tr>
        <w:trPr>
          <w:trHeight w:val="189"/>
        </w:trPr>
        <w:tc>
          <w:tcPr>
            <w:tcW w:w="1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540" w:type="dxa"/>
            <w:vAlign w:val="bottom"/>
            <w:shd w:val="clear" w:color="auto" w:fill="CFF0FC"/>
          </w:tcPr>
          <w:p>
            <w:pPr>
              <w:ind w:left="700"/>
              <w:spacing w:after="0"/>
              <w:rPr>
                <w:sz w:val="20"/>
                <w:szCs w:val="20"/>
                <w:color w:val="auto"/>
              </w:rPr>
            </w:pPr>
            <w:r>
              <w:rPr>
                <w:rFonts w:ascii="Arial" w:cs="Arial" w:eastAsia="Arial" w:hAnsi="Arial"/>
                <w:sz w:val="16"/>
                <w:szCs w:val="16"/>
                <w:color w:val="auto"/>
              </w:rPr>
              <w:t>incurred delivered power costs, including fuel, purchased capacity and energy, and transmission costs,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85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6"/>
                <w:szCs w:val="16"/>
                <w:color w:val="auto"/>
              </w:rPr>
              <w:t>through to customers.</w:t>
            </w:r>
          </w:p>
        </w:tc>
      </w:tr>
      <w:tr>
        <w:trPr>
          <w:trHeight w:val="215"/>
        </w:trPr>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7</w:t>
            </w:r>
          </w:p>
        </w:tc>
      </w:tr>
      <w:tr>
        <w:trPr>
          <w:trHeight w:val="89"/>
        </w:trPr>
        <w:tc>
          <w:tcPr>
            <w:tcW w:w="13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7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460" w:type="dxa"/>
            <w:vAlign w:val="bottom"/>
          </w:tcPr>
          <w:p>
            <w:pPr>
              <w:spacing w:after="0"/>
              <w:rPr>
                <w:sz w:val="16"/>
                <w:szCs w:val="16"/>
                <w:color w:val="auto"/>
              </w:rPr>
            </w:pPr>
          </w:p>
        </w:tc>
      </w:tr>
      <w:tr>
        <w:trPr>
          <w:trHeight w:val="249"/>
        </w:trPr>
        <w:tc>
          <w:tcPr>
            <w:tcW w:w="136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PCCA</w:t>
            </w:r>
          </w:p>
        </w:tc>
        <w:tc>
          <w:tcPr>
            <w:tcW w:w="1420" w:type="dxa"/>
            <w:vAlign w:val="bottom"/>
          </w:tcPr>
          <w:p>
            <w:pPr>
              <w:spacing w:after="0"/>
              <w:rPr>
                <w:sz w:val="21"/>
                <w:szCs w:val="21"/>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Power Capacity Cost Adjustment is an annual adjustment that allows us to pass the prudently-incurred</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purchased capacity costs, incremental to costs included in base rates, through to customers.</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Peak View</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The 60.8 MW wind farm owned by Colorado Electric.</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PHMSA</w:t>
            </w:r>
          </w:p>
        </w:tc>
        <w:tc>
          <w:tcPr>
            <w:tcW w:w="8460" w:type="dxa"/>
            <w:vAlign w:val="bottom"/>
          </w:tcPr>
          <w:p>
            <w:pPr>
              <w:ind w:left="620"/>
              <w:spacing w:after="0"/>
              <w:rPr>
                <w:sz w:val="20"/>
                <w:szCs w:val="20"/>
                <w:color w:val="auto"/>
              </w:rPr>
            </w:pPr>
            <w:r>
              <w:rPr>
                <w:rFonts w:ascii="Arial" w:cs="Arial" w:eastAsia="Arial" w:hAnsi="Arial"/>
                <w:sz w:val="16"/>
                <w:szCs w:val="16"/>
                <w:color w:val="auto"/>
              </w:rPr>
              <w:t>United States Department of Transportation Pipeline and Hazardous Materials Safety Administration</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PPA</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Power Purchase Agreement</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PRPA</w:t>
            </w:r>
          </w:p>
        </w:tc>
        <w:tc>
          <w:tcPr>
            <w:tcW w:w="8460" w:type="dxa"/>
            <w:vAlign w:val="bottom"/>
          </w:tcPr>
          <w:p>
            <w:pPr>
              <w:ind w:left="620"/>
              <w:spacing w:after="0"/>
              <w:rPr>
                <w:sz w:val="20"/>
                <w:szCs w:val="20"/>
                <w:color w:val="auto"/>
              </w:rPr>
            </w:pPr>
            <w:r>
              <w:rPr>
                <w:rFonts w:ascii="Arial" w:cs="Arial" w:eastAsia="Arial" w:hAnsi="Arial"/>
                <w:sz w:val="16"/>
                <w:szCs w:val="16"/>
                <w:color w:val="auto"/>
              </w:rPr>
              <w:t>Platte River Power Authority</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PSA</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Power Sales Agreement</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PTC</w:t>
            </w:r>
          </w:p>
        </w:tc>
        <w:tc>
          <w:tcPr>
            <w:tcW w:w="8460" w:type="dxa"/>
            <w:vAlign w:val="bottom"/>
          </w:tcPr>
          <w:p>
            <w:pPr>
              <w:ind w:left="620"/>
              <w:spacing w:after="0"/>
              <w:rPr>
                <w:sz w:val="20"/>
                <w:szCs w:val="20"/>
                <w:color w:val="auto"/>
              </w:rPr>
            </w:pPr>
            <w:r>
              <w:rPr>
                <w:rFonts w:ascii="Arial" w:cs="Arial" w:eastAsia="Arial" w:hAnsi="Arial"/>
                <w:sz w:val="16"/>
                <w:szCs w:val="16"/>
                <w:color w:val="auto"/>
              </w:rPr>
              <w:t>Production Tax Credit</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Pueblo Airport Generation</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The 440 MW combined cycle gas-fired power generation plants jointly owned by Colorado Electric (240</w:t>
            </w:r>
          </w:p>
        </w:tc>
      </w:tr>
      <w:tr>
        <w:trPr>
          <w:trHeight w:val="189"/>
        </w:trPr>
        <w:tc>
          <w:tcPr>
            <w:tcW w:w="13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MW) and Black Hills Colorado IPP (200 MW). Black Hills Colorado IPP owns and operates this facility. The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plants commenced operation on January 1, 2012.</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PUHCA 2005</w:t>
            </w:r>
          </w:p>
        </w:tc>
        <w:tc>
          <w:tcPr>
            <w:tcW w:w="8460" w:type="dxa"/>
            <w:vAlign w:val="bottom"/>
          </w:tcPr>
          <w:p>
            <w:pPr>
              <w:ind w:left="620"/>
              <w:spacing w:after="0"/>
              <w:rPr>
                <w:sz w:val="20"/>
                <w:szCs w:val="20"/>
                <w:color w:val="auto"/>
              </w:rPr>
            </w:pPr>
            <w:r>
              <w:rPr>
                <w:rFonts w:ascii="Arial" w:cs="Arial" w:eastAsia="Arial" w:hAnsi="Arial"/>
                <w:sz w:val="16"/>
                <w:szCs w:val="16"/>
                <w:color w:val="auto"/>
              </w:rPr>
              <w:t>Public Utility Holding Company Act of 2005</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Ready</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The Company’s branding platform which emphasizes that we will 1) prioritize our customers; 2) act as a</w:t>
            </w:r>
          </w:p>
        </w:tc>
      </w:tr>
      <w:tr>
        <w:trPr>
          <w:trHeight w:val="189"/>
        </w:trPr>
        <w:tc>
          <w:tcPr>
            <w:tcW w:w="13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thoughtful, responsible leader; 3) listen first and lead with a focus on relationships; and 4) be creative in our</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approach to solutions.</w:t>
            </w:r>
          </w:p>
        </w:tc>
      </w:tr>
      <w:tr>
        <w:trPr>
          <w:trHeight w:val="242"/>
        </w:trPr>
        <w:tc>
          <w:tcPr>
            <w:tcW w:w="2780" w:type="dxa"/>
            <w:vAlign w:val="bottom"/>
            <w:gridSpan w:val="2"/>
          </w:tcPr>
          <w:p>
            <w:pPr>
              <w:ind w:left="120"/>
              <w:spacing w:after="0"/>
              <w:rPr>
                <w:sz w:val="20"/>
                <w:szCs w:val="20"/>
                <w:color w:val="auto"/>
              </w:rPr>
            </w:pPr>
            <w:r>
              <w:rPr>
                <w:rFonts w:ascii="Arial" w:cs="Arial" w:eastAsia="Arial" w:hAnsi="Arial"/>
                <w:sz w:val="16"/>
                <w:szCs w:val="16"/>
                <w:i w:val="1"/>
                <w:iCs w:val="1"/>
                <w:color w:val="auto"/>
              </w:rPr>
              <w:t>Ready Wyoming</w:t>
            </w:r>
          </w:p>
        </w:tc>
        <w:tc>
          <w:tcPr>
            <w:tcW w:w="8460" w:type="dxa"/>
            <w:vAlign w:val="bottom"/>
          </w:tcPr>
          <w:p>
            <w:pPr>
              <w:ind w:left="620"/>
              <w:spacing w:after="0"/>
              <w:rPr>
                <w:sz w:val="20"/>
                <w:szCs w:val="20"/>
                <w:color w:val="auto"/>
              </w:rPr>
            </w:pPr>
            <w:r>
              <w:rPr>
                <w:rFonts w:ascii="Arial" w:cs="Arial" w:eastAsia="Arial" w:hAnsi="Arial"/>
                <w:sz w:val="16"/>
                <w:szCs w:val="16"/>
                <w:color w:val="auto"/>
              </w:rPr>
              <w:t>A 260-mile, multi-phase transmission expansion project in Wyoming. This transmission project will serve the</w:t>
            </w:r>
          </w:p>
        </w:tc>
      </w:tr>
      <w:tr>
        <w:trPr>
          <w:trHeight w:val="189"/>
        </w:trPr>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growing needs of customers by enhancing resiliency of Wyoming Electric’s overall electric system and</w:t>
            </w:r>
          </w:p>
        </w:tc>
      </w:tr>
      <w:tr>
        <w:trPr>
          <w:trHeight w:val="189"/>
        </w:trPr>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expanding access to power markets and renewable resources. The project will help Wyoming Electric</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maintain top-quartile reliability and enable economic development in the Cheyenne, Wyoming region.</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Renewable Ready</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Voluntary renewable energy subscription program for large commercial, industrial and governmental</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customers in South Dakota and Wyoming.</w:t>
            </w:r>
          </w:p>
        </w:tc>
      </w:tr>
      <w:tr>
        <w:trPr>
          <w:trHeight w:val="242"/>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RESA</w:t>
            </w:r>
          </w:p>
        </w:tc>
        <w:tc>
          <w:tcPr>
            <w:tcW w:w="8460" w:type="dxa"/>
            <w:vAlign w:val="bottom"/>
          </w:tcPr>
          <w:p>
            <w:pPr>
              <w:ind w:left="620"/>
              <w:spacing w:after="0"/>
              <w:rPr>
                <w:sz w:val="20"/>
                <w:szCs w:val="20"/>
                <w:color w:val="auto"/>
              </w:rPr>
            </w:pPr>
            <w:r>
              <w:rPr>
                <w:rFonts w:ascii="Arial" w:cs="Arial" w:eastAsia="Arial" w:hAnsi="Arial"/>
                <w:sz w:val="16"/>
                <w:szCs w:val="16"/>
                <w:color w:val="auto"/>
              </w:rPr>
              <w:t>Renewable Energy Standard Adjustment is an incremental retail rate limited to 2% for Colorado Electric</w:t>
            </w:r>
          </w:p>
        </w:tc>
      </w:tr>
      <w:tr>
        <w:trPr>
          <w:trHeight w:val="189"/>
        </w:trPr>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Renewable Energy Standard.</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Revolving Credit Facility</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purposes, which was amended and restated on July 19, 2021, and now terminates on July 19, 2026.</w:t>
            </w:r>
          </w:p>
        </w:tc>
      </w:tr>
      <w:tr>
        <w:trPr>
          <w:trHeight w:val="242"/>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RMNG</w:t>
            </w:r>
          </w:p>
        </w:tc>
        <w:tc>
          <w:tcPr>
            <w:tcW w:w="8460" w:type="dxa"/>
            <w:vAlign w:val="bottom"/>
          </w:tcPr>
          <w:p>
            <w:pPr>
              <w:ind w:left="62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w:t>
            </w:r>
          </w:p>
        </w:tc>
      </w:tr>
      <w:tr>
        <w:trPr>
          <w:trHeight w:val="189"/>
        </w:trPr>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providing natural gas transmission and wholesale services in western Colorado (doing business as Black</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Hills Energy).</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RNG</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Renewable natural gas</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RTO</w:t>
            </w:r>
          </w:p>
        </w:tc>
        <w:tc>
          <w:tcPr>
            <w:tcW w:w="8460" w:type="dxa"/>
            <w:vAlign w:val="bottom"/>
          </w:tcPr>
          <w:p>
            <w:pPr>
              <w:ind w:left="620"/>
              <w:spacing w:after="0"/>
              <w:rPr>
                <w:sz w:val="20"/>
                <w:szCs w:val="20"/>
                <w:color w:val="auto"/>
              </w:rPr>
            </w:pPr>
            <w:r>
              <w:rPr>
                <w:rFonts w:ascii="Arial" w:cs="Arial" w:eastAsia="Arial" w:hAnsi="Arial"/>
                <w:sz w:val="16"/>
                <w:szCs w:val="16"/>
                <w:color w:val="auto"/>
              </w:rPr>
              <w:t>Regional Transmission Organization</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SDPUC</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South Dakota Public Utilities Commission</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SEC</w:t>
            </w:r>
          </w:p>
        </w:tc>
        <w:tc>
          <w:tcPr>
            <w:tcW w:w="8460" w:type="dxa"/>
            <w:vAlign w:val="bottom"/>
          </w:tcPr>
          <w:p>
            <w:pPr>
              <w:ind w:left="620"/>
              <w:spacing w:after="0"/>
              <w:rPr>
                <w:sz w:val="20"/>
                <w:szCs w:val="20"/>
                <w:color w:val="auto"/>
              </w:rPr>
            </w:pPr>
            <w:r>
              <w:rPr>
                <w:rFonts w:ascii="Arial" w:cs="Arial" w:eastAsia="Arial" w:hAnsi="Arial"/>
                <w:sz w:val="16"/>
                <w:szCs w:val="16"/>
                <w:color w:val="auto"/>
              </w:rPr>
              <w:t>United States Securities and Exchange Commission</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Service Guard Comfort Plan</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agreements to residential utility customers.</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Silver Sage</w:t>
            </w:r>
          </w:p>
        </w:tc>
        <w:tc>
          <w:tcPr>
            <w:tcW w:w="8460" w:type="dxa"/>
            <w:vAlign w:val="bottom"/>
          </w:tcPr>
          <w:p>
            <w:pPr>
              <w:ind w:left="620"/>
              <w:spacing w:after="0"/>
              <w:rPr>
                <w:sz w:val="20"/>
                <w:szCs w:val="20"/>
                <w:color w:val="auto"/>
              </w:rPr>
            </w:pPr>
            <w:r>
              <w:rPr>
                <w:rFonts w:ascii="Arial" w:cs="Arial" w:eastAsia="Arial" w:hAnsi="Arial"/>
                <w:sz w:val="16"/>
                <w:szCs w:val="16"/>
                <w:color w:val="auto"/>
              </w:rPr>
              <w:t>Silver Sage Windpower, LLC, owned by Duke Energy Generation Services</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Sulfur dioxide</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S&amp;P</w:t>
            </w:r>
          </w:p>
        </w:tc>
        <w:tc>
          <w:tcPr>
            <w:tcW w:w="8460" w:type="dxa"/>
            <w:vAlign w:val="bottom"/>
          </w:tcPr>
          <w:p>
            <w:pPr>
              <w:ind w:left="620"/>
              <w:spacing w:after="0"/>
              <w:rPr>
                <w:sz w:val="20"/>
                <w:szCs w:val="20"/>
                <w:color w:val="auto"/>
              </w:rPr>
            </w:pPr>
            <w:r>
              <w:rPr>
                <w:rFonts w:ascii="Arial" w:cs="Arial" w:eastAsia="Arial" w:hAnsi="Arial"/>
                <w:sz w:val="16"/>
                <w:szCs w:val="16"/>
                <w:color w:val="auto"/>
              </w:rPr>
              <w:t>S&amp;P Global Ratings, a division of S&amp;P Global Inc.</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SourceGas Transaction</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On February 12, 2016, Black Hills Utility Holdings acquired SourceGas pursuant to a purchase and sale</w:t>
            </w:r>
          </w:p>
        </w:tc>
      </w:tr>
      <w:tr>
        <w:trPr>
          <w:trHeight w:val="189"/>
        </w:trPr>
        <w:tc>
          <w:tcPr>
            <w:tcW w:w="13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agreement executed on July 12, 2015 for approximately $1.89 billion, which included the assumption of</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$760 million in debt at closing.</w:t>
            </w:r>
          </w:p>
        </w:tc>
      </w:tr>
      <w:tr>
        <w:trPr>
          <w:trHeight w:val="242"/>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South Dakota Electric</w:t>
            </w:r>
          </w:p>
        </w:tc>
        <w:tc>
          <w:tcPr>
            <w:tcW w:w="8460" w:type="dxa"/>
            <w:vAlign w:val="bottom"/>
          </w:tcPr>
          <w:p>
            <w:pPr>
              <w:ind w:left="620"/>
              <w:spacing w:after="0"/>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42"/>
        </w:trPr>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SPP</w:t>
            </w:r>
          </w:p>
        </w:tc>
        <w:tc>
          <w:tcPr>
            <w:tcW w:w="84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Southwest Power Pool, a regional transmission organization (RTO) that oversees the bulk electric grid and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wholesale power market in the central United States.</w:t>
            </w:r>
          </w:p>
        </w:tc>
      </w:tr>
      <w:tr>
        <w:trPr>
          <w:trHeight w:val="268"/>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SSIR</w:t>
            </w:r>
          </w:p>
        </w:tc>
        <w:tc>
          <w:tcPr>
            <w:tcW w:w="8460" w:type="dxa"/>
            <w:vAlign w:val="bottom"/>
          </w:tcPr>
          <w:p>
            <w:pPr>
              <w:ind w:left="620"/>
              <w:spacing w:after="0"/>
              <w:rPr>
                <w:sz w:val="20"/>
                <w:szCs w:val="20"/>
                <w:color w:val="auto"/>
              </w:rPr>
            </w:pPr>
            <w:r>
              <w:rPr>
                <w:rFonts w:ascii="Arial" w:cs="Arial" w:eastAsia="Arial" w:hAnsi="Arial"/>
                <w:sz w:val="16"/>
                <w:szCs w:val="16"/>
                <w:color w:val="auto"/>
              </w:rPr>
              <w:t>System Safety and Integrity Rider</w:t>
            </w:r>
          </w:p>
        </w:tc>
      </w:tr>
      <w:tr>
        <w:trPr>
          <w:trHeight w:val="29"/>
        </w:trPr>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60" w:type="dxa"/>
            <w:vAlign w:val="bottom"/>
          </w:tcPr>
          <w:p>
            <w:pPr>
              <w:spacing w:after="0"/>
              <w:rPr>
                <w:sz w:val="2"/>
                <w:szCs w:val="2"/>
                <w:color w:val="auto"/>
              </w:rPr>
            </w:pPr>
          </w:p>
        </w:tc>
      </w:tr>
      <w:tr>
        <w:trPr>
          <w:trHeight w:val="277"/>
        </w:trPr>
        <w:tc>
          <w:tcPr>
            <w:tcW w:w="2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System Peak Demand</w:t>
            </w:r>
          </w:p>
        </w:tc>
        <w:tc>
          <w:tcPr>
            <w:tcW w:w="846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Represents the highest point of retail customer usage for a single hour.</w:t>
            </w:r>
          </w:p>
        </w:tc>
      </w:tr>
      <w:tr>
        <w:trPr>
          <w:trHeight w:val="242"/>
        </w:trPr>
        <w:tc>
          <w:tcPr>
            <w:tcW w:w="2780" w:type="dxa"/>
            <w:vAlign w:val="bottom"/>
            <w:gridSpan w:val="2"/>
          </w:tcPr>
          <w:p>
            <w:pPr>
              <w:ind w:left="120"/>
              <w:spacing w:after="0"/>
              <w:rPr>
                <w:sz w:val="20"/>
                <w:szCs w:val="20"/>
                <w:color w:val="auto"/>
              </w:rPr>
            </w:pPr>
            <w:r>
              <w:rPr>
                <w:rFonts w:ascii="Arial" w:cs="Arial" w:eastAsia="Arial" w:hAnsi="Arial"/>
                <w:sz w:val="16"/>
                <w:szCs w:val="16"/>
                <w:color w:val="auto"/>
              </w:rPr>
              <w:t>TCA</w:t>
            </w:r>
          </w:p>
        </w:tc>
        <w:tc>
          <w:tcPr>
            <w:tcW w:w="8460" w:type="dxa"/>
            <w:vAlign w:val="bottom"/>
          </w:tcPr>
          <w:p>
            <w:pPr>
              <w:ind w:left="620"/>
              <w:spacing w:after="0"/>
              <w:rPr>
                <w:sz w:val="20"/>
                <w:szCs w:val="20"/>
                <w:color w:val="auto"/>
              </w:rPr>
            </w:pPr>
            <w:r>
              <w:rPr>
                <w:rFonts w:ascii="Arial" w:cs="Arial" w:eastAsia="Arial" w:hAnsi="Arial"/>
                <w:sz w:val="16"/>
                <w:szCs w:val="16"/>
                <w:color w:val="auto"/>
              </w:rPr>
              <w:t>Transmission Cost Adjustment is an annual adjustment mechanism that allows us to recover from</w:t>
            </w:r>
          </w:p>
        </w:tc>
      </w:tr>
      <w:tr>
        <w:trPr>
          <w:trHeight w:val="215"/>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60" w:type="dxa"/>
            <w:vAlign w:val="bottom"/>
          </w:tcPr>
          <w:p>
            <w:pPr>
              <w:ind w:left="620"/>
              <w:spacing w:after="0"/>
              <w:rPr>
                <w:sz w:val="20"/>
                <w:szCs w:val="20"/>
                <w:color w:val="auto"/>
              </w:rPr>
            </w:pPr>
            <w:r>
              <w:rPr>
                <w:rFonts w:ascii="Arial" w:cs="Arial" w:eastAsia="Arial" w:hAnsi="Arial"/>
                <w:sz w:val="16"/>
                <w:szCs w:val="16"/>
                <w:color w:val="auto"/>
              </w:rPr>
              <w:t>customers eligible transmission investments prior to the next rate review.</w:t>
            </w:r>
          </w:p>
        </w:tc>
      </w:tr>
      <w:tr>
        <w:trPr>
          <w:trHeight w:val="230"/>
        </w:trPr>
        <w:tc>
          <w:tcPr>
            <w:tcW w:w="1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60" w:type="dxa"/>
            <w:vAlign w:val="bottom"/>
          </w:tcPr>
          <w:p>
            <w:pPr>
              <w:ind w:left="2800"/>
              <w:spacing w:after="0"/>
              <w:rPr>
                <w:sz w:val="20"/>
                <w:szCs w:val="20"/>
                <w:color w:val="auto"/>
              </w:rPr>
            </w:pPr>
            <w:r>
              <w:rPr>
                <w:rFonts w:ascii="Arial" w:cs="Arial" w:eastAsia="Arial" w:hAnsi="Arial"/>
                <w:sz w:val="16"/>
                <w:szCs w:val="16"/>
                <w:color w:val="auto"/>
              </w:rPr>
              <w:t>8</w:t>
            </w:r>
          </w:p>
        </w:tc>
      </w:tr>
      <w:tr>
        <w:trPr>
          <w:trHeight w:val="103"/>
        </w:trPr>
        <w:tc>
          <w:tcPr>
            <w:tcW w:w="13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49"/>
        </w:trPr>
        <w:tc>
          <w:tcPr>
            <w:tcW w:w="1360" w:type="dxa"/>
            <w:vAlign w:val="bottom"/>
            <w:tcBorders>
              <w:top w:val="single" w:sz="8" w:color="0000FF"/>
            </w:tcBorders>
            <w:shd w:val="clear" w:color="auto" w:fill="CFF0FC"/>
          </w:tcPr>
          <w:p>
            <w:pPr>
              <w:ind w:left="120"/>
              <w:spacing w:after="0"/>
              <w:rPr>
                <w:sz w:val="20"/>
                <w:szCs w:val="20"/>
                <w:color w:val="auto"/>
              </w:rPr>
            </w:pPr>
            <w:r>
              <w:rPr>
                <w:rFonts w:ascii="Arial" w:cs="Arial" w:eastAsia="Arial" w:hAnsi="Arial"/>
                <w:sz w:val="16"/>
                <w:szCs w:val="16"/>
                <w:color w:val="auto"/>
              </w:rPr>
              <w:t>TCAM</w:t>
            </w:r>
          </w:p>
        </w:tc>
        <w:tc>
          <w:tcPr>
            <w:tcW w:w="1180" w:type="dxa"/>
            <w:vAlign w:val="bottom"/>
            <w:shd w:val="clear" w:color="auto" w:fill="CFF0FC"/>
          </w:tcPr>
          <w:p>
            <w:pPr>
              <w:spacing w:after="0"/>
              <w:rPr>
                <w:sz w:val="21"/>
                <w:szCs w:val="21"/>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Transmission Cost Adjustment Mechanism is a WPSC-approved tariff based on a formulaic approach that</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determines the recovery of Wyoming Electric's transmisson costs.</w:t>
            </w:r>
          </w:p>
        </w:tc>
      </w:tr>
      <w:tr>
        <w:trPr>
          <w:trHeight w:val="268"/>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TCJA</w:t>
            </w:r>
          </w:p>
        </w:tc>
        <w:tc>
          <w:tcPr>
            <w:tcW w:w="8700" w:type="dxa"/>
            <w:vAlign w:val="bottom"/>
          </w:tcPr>
          <w:p>
            <w:pPr>
              <w:ind w:left="860"/>
              <w:spacing w:after="0"/>
              <w:rPr>
                <w:sz w:val="20"/>
                <w:szCs w:val="20"/>
                <w:color w:val="auto"/>
              </w:rPr>
            </w:pPr>
            <w:r>
              <w:rPr>
                <w:rFonts w:ascii="Arial" w:cs="Arial" w:eastAsia="Arial" w:hAnsi="Arial"/>
                <w:sz w:val="16"/>
                <w:szCs w:val="16"/>
                <w:color w:val="auto"/>
              </w:rPr>
              <w:t>Tax Cuts and Jobs Act enacted on December 22, 2017</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Tech Services</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Non-regulated product lines delivered by our Utilities that 1) provide electrical system construction services</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to large industrial customers of our electric utilities, and 2) serve gas transportation customers throughout</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its service territory by constructing and maintaining customer-owned gas infrastructure facilities, typically</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through one-time contracts.</w:t>
            </w:r>
          </w:p>
        </w:tc>
      </w:tr>
      <w:tr>
        <w:trPr>
          <w:trHeight w:val="242"/>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TFA</w:t>
            </w:r>
          </w:p>
        </w:tc>
        <w:tc>
          <w:tcPr>
            <w:tcW w:w="8700" w:type="dxa"/>
            <w:vAlign w:val="bottom"/>
          </w:tcPr>
          <w:p>
            <w:pPr>
              <w:ind w:left="860"/>
              <w:spacing w:after="0"/>
              <w:rPr>
                <w:sz w:val="20"/>
                <w:szCs w:val="20"/>
                <w:color w:val="auto"/>
              </w:rPr>
            </w:pPr>
            <w:r>
              <w:rPr>
                <w:rFonts w:ascii="Arial" w:cs="Arial" w:eastAsia="Arial" w:hAnsi="Arial"/>
                <w:sz w:val="16"/>
                <w:szCs w:val="16"/>
                <w:color w:val="auto"/>
              </w:rPr>
              <w:t>Transmission Facility Adjustment is an annual adjustment mechanism that allows us to recover charges for</w:t>
            </w:r>
          </w:p>
        </w:tc>
      </w:tr>
      <w:tr>
        <w:trPr>
          <w:trHeight w:val="215"/>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qualifying new and modified transmission facilities from customers.</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Transmission Tie</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South Dakota Electric owns 35% of a AC-DC-AC transmission tie that interconnects the Western and</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Eastern transmission grids, which are independently-operated transmission grids serving the western and</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eastern United States, respectively. Basin Electric Power Cooperative owns the remaining ownership</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percentage. This transmission tie allows us to buy and sell energy in the Eastern grid without having to</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isolate and physically reconnect load or generation between the two transmission grids, thus enhancing the</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reliability of our system. It accommodates scheduling transactions in both directions simultaneously,</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provides additional opportunities to sell excess generation or to make economic purchases to serve our</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native load and contract obligations, and enables us to take advantage of power price differentials between</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the two grids. The total transfer capacity of the tie is 400 MW, including 200 MW from West to East and 200</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MW from East to West.</w:t>
            </w:r>
          </w:p>
        </w:tc>
      </w:tr>
      <w:tr>
        <w:trPr>
          <w:trHeight w:val="268"/>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TSA</w:t>
            </w:r>
          </w:p>
        </w:tc>
        <w:tc>
          <w:tcPr>
            <w:tcW w:w="8700" w:type="dxa"/>
            <w:vAlign w:val="bottom"/>
          </w:tcPr>
          <w:p>
            <w:pPr>
              <w:ind w:left="860"/>
              <w:spacing w:after="0"/>
              <w:rPr>
                <w:sz w:val="20"/>
                <w:szCs w:val="20"/>
                <w:color w:val="auto"/>
              </w:rPr>
            </w:pPr>
            <w:r>
              <w:rPr>
                <w:rFonts w:ascii="Arial" w:cs="Arial" w:eastAsia="Arial" w:hAnsi="Arial"/>
                <w:sz w:val="16"/>
                <w:szCs w:val="16"/>
                <w:color w:val="auto"/>
              </w:rPr>
              <w:t>United States Department of Homeland Security’s Transportation Security Administration</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77"/>
        </w:trPr>
        <w:tc>
          <w:tcPr>
            <w:tcW w:w="25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Utilities</w:t>
            </w: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Black Hills’ Electric and Gas Utilities</w:t>
            </w:r>
          </w:p>
        </w:tc>
      </w:tr>
      <w:tr>
        <w:trPr>
          <w:trHeight w:val="268"/>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VEBA</w:t>
            </w:r>
          </w:p>
        </w:tc>
        <w:tc>
          <w:tcPr>
            <w:tcW w:w="8700" w:type="dxa"/>
            <w:vAlign w:val="bottom"/>
          </w:tcPr>
          <w:p>
            <w:pPr>
              <w:ind w:left="860"/>
              <w:spacing w:after="0"/>
              <w:rPr>
                <w:sz w:val="20"/>
                <w:szCs w:val="20"/>
                <w:color w:val="auto"/>
              </w:rPr>
            </w:pPr>
            <w:r>
              <w:rPr>
                <w:rFonts w:ascii="Arial" w:cs="Arial" w:eastAsia="Arial" w:hAnsi="Arial"/>
                <w:sz w:val="16"/>
                <w:szCs w:val="16"/>
                <w:color w:val="auto"/>
              </w:rPr>
              <w:t>Voluntary Employee Benefit Association</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77"/>
        </w:trPr>
        <w:tc>
          <w:tcPr>
            <w:tcW w:w="25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VIE</w:t>
            </w: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Variable Interest Entity</w:t>
            </w:r>
          </w:p>
        </w:tc>
      </w:tr>
      <w:tr>
        <w:trPr>
          <w:trHeight w:val="268"/>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WEIS</w:t>
            </w:r>
          </w:p>
        </w:tc>
        <w:tc>
          <w:tcPr>
            <w:tcW w:w="8700" w:type="dxa"/>
            <w:vAlign w:val="bottom"/>
          </w:tcPr>
          <w:p>
            <w:pPr>
              <w:ind w:left="860"/>
              <w:spacing w:after="0"/>
              <w:rPr>
                <w:sz w:val="20"/>
                <w:szCs w:val="20"/>
                <w:color w:val="auto"/>
              </w:rPr>
            </w:pPr>
            <w:r>
              <w:rPr>
                <w:rFonts w:ascii="Arial" w:cs="Arial" w:eastAsia="Arial" w:hAnsi="Arial"/>
                <w:sz w:val="16"/>
                <w:szCs w:val="16"/>
                <w:color w:val="auto"/>
              </w:rPr>
              <w:t>Western Energy Imbalance Service</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Wind Capacity Factor</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potential</w:t>
            </w:r>
          </w:p>
        </w:tc>
      </w:tr>
      <w:tr>
        <w:trPr>
          <w:trHeight w:val="242"/>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Winter Storm Uri</w:t>
            </w:r>
          </w:p>
        </w:tc>
        <w:tc>
          <w:tcPr>
            <w:tcW w:w="8700" w:type="dxa"/>
            <w:vAlign w:val="bottom"/>
          </w:tcPr>
          <w:p>
            <w:pPr>
              <w:ind w:left="860"/>
              <w:spacing w:after="0"/>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215"/>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 energy.</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77"/>
        </w:trPr>
        <w:tc>
          <w:tcPr>
            <w:tcW w:w="25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Working Capacity</w:t>
            </w: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Total gas storage capacity minus cushion gas</w:t>
            </w:r>
          </w:p>
        </w:tc>
      </w:tr>
      <w:tr>
        <w:trPr>
          <w:trHeight w:val="268"/>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WPSC</w:t>
            </w:r>
          </w:p>
        </w:tc>
        <w:tc>
          <w:tcPr>
            <w:tcW w:w="8700" w:type="dxa"/>
            <w:vAlign w:val="bottom"/>
          </w:tcPr>
          <w:p>
            <w:pPr>
              <w:ind w:left="860"/>
              <w:spacing w:after="0"/>
              <w:rPr>
                <w:sz w:val="20"/>
                <w:szCs w:val="20"/>
                <w:color w:val="auto"/>
              </w:rPr>
            </w:pPr>
            <w:r>
              <w:rPr>
                <w:rFonts w:ascii="Arial" w:cs="Arial" w:eastAsia="Arial" w:hAnsi="Arial"/>
                <w:sz w:val="16"/>
                <w:szCs w:val="16"/>
                <w:color w:val="auto"/>
              </w:rPr>
              <w:t>Wyoming Public Service Commission</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WRDC</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Wyodak Resources Development Corp., a direct, wholly-owned subsidiary of Black Hills Non-regulated</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Holdings, providing coal supply primarily to five on-site, mine-mouth generating facilities (doing business as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Black Hills Energy).</w:t>
            </w:r>
          </w:p>
        </w:tc>
      </w:tr>
      <w:tr>
        <w:trPr>
          <w:trHeight w:val="242"/>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Wygen I</w:t>
            </w:r>
          </w:p>
        </w:tc>
        <w:tc>
          <w:tcPr>
            <w:tcW w:w="8700" w:type="dxa"/>
            <w:vAlign w:val="bottom"/>
          </w:tcPr>
          <w:p>
            <w:pPr>
              <w:ind w:left="860"/>
              <w:spacing w:after="0"/>
              <w:rPr>
                <w:sz w:val="20"/>
                <w:szCs w:val="20"/>
                <w:color w:val="auto"/>
              </w:rPr>
            </w:pPr>
            <w:r>
              <w:rPr>
                <w:rFonts w:ascii="Arial" w:cs="Arial" w:eastAsia="Arial" w:hAnsi="Arial"/>
                <w:sz w:val="16"/>
                <w:szCs w:val="16"/>
                <w:color w:val="auto"/>
              </w:rPr>
              <w:t>A mine-mouth, coal-fired generating facility with a total capacity of 90 MW located at our Gillette, Wyoming</w:t>
            </w:r>
          </w:p>
        </w:tc>
      </w:tr>
      <w:tr>
        <w:trPr>
          <w:trHeight w:val="189"/>
        </w:trPr>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energy complex. Black Hills Wyoming owns 76.5% of the facility and Municipal Energy Agency of Nebraska</w:t>
            </w:r>
          </w:p>
        </w:tc>
      </w:tr>
      <w:tr>
        <w:trPr>
          <w:trHeight w:val="215"/>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(MEAN) owns the remaining 23.5%.</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Wygen II</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A mine-mouth, coal-fired power plant owned by Wyoming Electric with a total capacity of 95 MW located at</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our Gillette, Wyoming energy complex.</w:t>
            </w:r>
          </w:p>
        </w:tc>
      </w:tr>
      <w:tr>
        <w:trPr>
          <w:trHeight w:val="242"/>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Wygen III</w:t>
            </w:r>
          </w:p>
        </w:tc>
        <w:tc>
          <w:tcPr>
            <w:tcW w:w="8700" w:type="dxa"/>
            <w:vAlign w:val="bottom"/>
          </w:tcPr>
          <w:p>
            <w:pPr>
              <w:ind w:left="860"/>
              <w:spacing w:after="0"/>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located at our Gillette, Wyoming energy complex. South Dakota Electric owns 52% of the power plant, MDU</w:t>
            </w:r>
          </w:p>
        </w:tc>
      </w:tr>
      <w:tr>
        <w:trPr>
          <w:trHeight w:val="215"/>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owns 25% and the City of Gillette owns the remaining 23%.</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Wyodak Plant</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The 402.3 MW mine-mouth, coal-fired generating facility located at our Gillette, Wyoming energy complex,</w:t>
            </w:r>
          </w:p>
        </w:tc>
      </w:tr>
      <w:tr>
        <w:trPr>
          <w:trHeight w:val="189"/>
        </w:trPr>
        <w:tc>
          <w:tcPr>
            <w:tcW w:w="1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jointly owned by PacifiCorp (80%) and South Dakota Electric (20%). Our WRDC mine supplies all of the fuel</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for the facility.</w:t>
            </w:r>
          </w:p>
        </w:tc>
      </w:tr>
      <w:tr>
        <w:trPr>
          <w:trHeight w:val="242"/>
        </w:trPr>
        <w:tc>
          <w:tcPr>
            <w:tcW w:w="2540" w:type="dxa"/>
            <w:vAlign w:val="bottom"/>
            <w:gridSpan w:val="2"/>
          </w:tcPr>
          <w:p>
            <w:pPr>
              <w:ind w:left="120"/>
              <w:spacing w:after="0"/>
              <w:rPr>
                <w:sz w:val="20"/>
                <w:szCs w:val="20"/>
                <w:color w:val="auto"/>
              </w:rPr>
            </w:pPr>
            <w:r>
              <w:rPr>
                <w:rFonts w:ascii="Arial" w:cs="Arial" w:eastAsia="Arial" w:hAnsi="Arial"/>
                <w:sz w:val="16"/>
                <w:szCs w:val="16"/>
                <w:color w:val="auto"/>
              </w:rPr>
              <w:t>Wyoming Electric</w:t>
            </w:r>
          </w:p>
        </w:tc>
        <w:tc>
          <w:tcPr>
            <w:tcW w:w="8700" w:type="dxa"/>
            <w:vAlign w:val="bottom"/>
          </w:tcPr>
          <w:p>
            <w:pPr>
              <w:ind w:left="86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15"/>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6"/>
                <w:szCs w:val="16"/>
                <w:color w:val="auto"/>
              </w:rPr>
              <w:t>Energy).</w:t>
            </w:r>
          </w:p>
        </w:tc>
      </w:tr>
      <w:tr>
        <w:trPr>
          <w:trHeight w:val="29"/>
        </w:trPr>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700" w:type="dxa"/>
            <w:vAlign w:val="bottom"/>
          </w:tcPr>
          <w:p>
            <w:pPr>
              <w:spacing w:after="0"/>
              <w:rPr>
                <w:sz w:val="2"/>
                <w:szCs w:val="2"/>
                <w:color w:val="auto"/>
              </w:rPr>
            </w:pPr>
          </w:p>
        </w:tc>
      </w:tr>
      <w:tr>
        <w:trPr>
          <w:trHeight w:val="242"/>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Wyoming Gas</w:t>
            </w:r>
          </w:p>
        </w:tc>
        <w:tc>
          <w:tcPr>
            <w:tcW w:w="8700" w:type="dxa"/>
            <w:vAlign w:val="bottom"/>
            <w:shd w:val="clear" w:color="auto" w:fill="CFF0FC"/>
          </w:tcPr>
          <w:p>
            <w:pPr>
              <w:ind w:left="860"/>
              <w:spacing w:after="0"/>
              <w:rPr>
                <w:sz w:val="20"/>
                <w:szCs w:val="20"/>
                <w:color w:val="auto"/>
              </w:rPr>
            </w:pPr>
            <w:r>
              <w:rPr>
                <w:rFonts w:ascii="Arial" w:cs="Arial" w:eastAsia="Arial" w:hAnsi="Arial"/>
                <w:sz w:val="16"/>
                <w:szCs w:val="16"/>
                <w:color w:val="auto"/>
              </w:rPr>
              <w:t>Black Hills Wyoming Gas, LLC, an indirect, wholly-owned subsidiary of Black Hills Utility Holdings, providing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870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43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700" w:type="dxa"/>
            <w:vAlign w:val="bottom"/>
          </w:tcPr>
          <w:p>
            <w:pPr>
              <w:ind w:left="3040"/>
              <w:spacing w:after="0"/>
              <w:rPr>
                <w:sz w:val="20"/>
                <w:szCs w:val="20"/>
                <w:color w:val="auto"/>
              </w:rPr>
            </w:pPr>
            <w:r>
              <w:rPr>
                <w:rFonts w:ascii="Arial" w:cs="Arial" w:eastAsia="Arial" w:hAnsi="Arial"/>
                <w:sz w:val="16"/>
                <w:szCs w:val="16"/>
                <w:color w:val="auto"/>
              </w:rPr>
              <w:t>9</w:t>
            </w:r>
          </w:p>
        </w:tc>
      </w:tr>
      <w:tr>
        <w:trPr>
          <w:trHeight w:val="103"/>
        </w:trPr>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Operations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-149225</wp:posOffset>
            </wp:positionV>
            <wp:extent cx="3817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17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02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13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Annual Report on Form 10-K, including statements contained within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-15875</wp:posOffset>
            </wp:positionV>
            <wp:extent cx="1017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“we,” “us” or “our”), is a customer-focused, growth-oriented utility company headquartered in Rapid City, South Dakota (incorporated in South Dakota in 1941).</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operate our business in the United States, reporting our operating results through our Electric Utilities and Gas Utilities segments. Certain unallocated corporate expenses that support our operating segments are presented as Corporate and Other.</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Electric Utilities segment generates, transmits and distributes electricity to approximately 220,000 electric utility customers in Colorado, Montana, South Dakota and Wyoming. We also own and operate non-regulated power generation and mining assets that are vertically integrated into and primarily contracted to our Electric Utilities. Our Electric Utilities own 1,482 MW of generation and 9,024 miles of electric transmission and distribution lines.</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Gas Utilities segment serves approximately 1,107,000 natural gas utility customers in Arkansas, Colorado, Iowa, Kansas, Nebraska, and Wyoming. Our Gas Utilities own and operate 4,713 miles of intrastate gas transmission pipelines and 42,222 miles of gas distribution mains and service lines, seven natural gas storage sites, more than 50,000 horsepower of compression and over 515 miles of gathering lines.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generating facilities and power purchase agreements provide for the supply of electricity principally to our retail customers. Additionally, we sell excess power to other utilities and marketing companies, including our affiliates. We also provide non-regulated services to our retail customers under the Service Guard Comfort Plan and Tech Services.</w:t>
      </w:r>
    </w:p>
    <w:p>
      <w:pPr>
        <w:spacing w:after="0" w:line="14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Additionally, we own and operate non-regulated power generation and mining assets that are vertically integrated into and primarily support our Electric Utilities. Nearly all of these operations are located at our electric generating complexes and are physically integrated into our Electric Utilities’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Pr>
          <w:p>
            <w:pPr>
              <w:spacing w:after="0"/>
              <w:rPr>
                <w:sz w:val="18"/>
                <w:szCs w:val="18"/>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188,921</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186,852</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184,872</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380" w:type="dxa"/>
            <w:vAlign w:val="bottom"/>
          </w:tcPr>
          <w:p>
            <w:pPr>
              <w:jc w:val="right"/>
              <w:spacing w:after="0"/>
              <w:rPr>
                <w:sz w:val="20"/>
                <w:szCs w:val="20"/>
                <w:color w:val="auto"/>
              </w:rPr>
            </w:pPr>
            <w:r>
              <w:rPr>
                <w:rFonts w:ascii="Arial" w:cs="Arial" w:eastAsia="Arial" w:hAnsi="Arial"/>
                <w:sz w:val="16"/>
                <w:szCs w:val="16"/>
                <w:color w:val="auto"/>
              </w:rPr>
              <w:t>30,404</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30,326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30,225</w:t>
            </w:r>
          </w:p>
        </w:tc>
      </w:tr>
      <w:tr>
        <w:trPr>
          <w:trHeight w:val="217"/>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81</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1,010</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1,017</w:t>
            </w:r>
          </w:p>
        </w:tc>
      </w:tr>
      <w:tr>
        <w:trPr>
          <w:trHeight w:val="249"/>
        </w:trPr>
        <w:tc>
          <w:tcPr>
            <w:tcW w:w="6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220,431</w:t>
            </w:r>
          </w:p>
        </w:tc>
        <w:tc>
          <w:tcPr>
            <w:tcW w:w="19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218,269</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216,197</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As of December 31,</w:t>
            </w:r>
          </w:p>
        </w:tc>
        <w:tc>
          <w:tcPr>
            <w:tcW w:w="1000" w:type="dxa"/>
            <w:vAlign w:val="bottom"/>
          </w:tcPr>
          <w:p>
            <w:pPr>
              <w:spacing w:after="0"/>
              <w:rPr>
                <w:sz w:val="18"/>
                <w:szCs w:val="18"/>
                <w:color w:val="auto"/>
              </w:rPr>
            </w:pPr>
          </w:p>
        </w:tc>
      </w:tr>
      <w:tr>
        <w:trPr>
          <w:trHeight w:val="217"/>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20" w:type="dxa"/>
            <w:vAlign w:val="bottom"/>
            <w:gridSpan w:val="6"/>
            <w:shd w:val="clear" w:color="auto" w:fill="CFF0FC"/>
          </w:tcPr>
          <w:p>
            <w:pPr>
              <w:jc w:val="right"/>
              <w:ind w:right="619"/>
              <w:spacing w:after="0"/>
              <w:rPr>
                <w:sz w:val="20"/>
                <w:szCs w:val="20"/>
                <w:color w:val="auto"/>
              </w:rPr>
            </w:pPr>
            <w:r>
              <w:rPr>
                <w:rFonts w:ascii="Arial" w:cs="Arial" w:eastAsia="Arial" w:hAnsi="Arial"/>
                <w:sz w:val="16"/>
                <w:szCs w:val="16"/>
                <w:color w:val="auto"/>
              </w:rPr>
              <w:t>100,573</w:t>
            </w:r>
          </w:p>
        </w:tc>
        <w:tc>
          <w:tcPr>
            <w:tcW w:w="1280" w:type="dxa"/>
            <w:vAlign w:val="bottom"/>
            <w:gridSpan w:val="3"/>
            <w:shd w:val="clear" w:color="auto" w:fill="CFF0FC"/>
          </w:tcPr>
          <w:p>
            <w:pPr>
              <w:jc w:val="right"/>
              <w:ind w:right="359"/>
              <w:spacing w:after="0"/>
              <w:rPr>
                <w:sz w:val="20"/>
                <w:szCs w:val="20"/>
                <w:color w:val="auto"/>
              </w:rPr>
            </w:pPr>
            <w:r>
              <w:rPr>
                <w:rFonts w:ascii="Arial" w:cs="Arial" w:eastAsia="Arial" w:hAnsi="Arial"/>
                <w:sz w:val="16"/>
                <w:szCs w:val="16"/>
                <w:color w:val="auto"/>
              </w:rPr>
              <w:t>99,709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98,735</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gridSpan w:val="6"/>
          </w:tcPr>
          <w:p>
            <w:pPr>
              <w:jc w:val="right"/>
              <w:ind w:right="619"/>
              <w:spacing w:after="0"/>
              <w:rPr>
                <w:sz w:val="20"/>
                <w:szCs w:val="20"/>
                <w:color w:val="auto"/>
              </w:rPr>
            </w:pPr>
            <w:r>
              <w:rPr>
                <w:rFonts w:ascii="Arial" w:cs="Arial" w:eastAsia="Arial" w:hAnsi="Arial"/>
                <w:sz w:val="16"/>
                <w:szCs w:val="16"/>
                <w:color w:val="auto"/>
              </w:rPr>
              <w:t>75,169</w:t>
            </w:r>
          </w:p>
        </w:tc>
        <w:tc>
          <w:tcPr>
            <w:tcW w:w="1280" w:type="dxa"/>
            <w:vAlign w:val="bottom"/>
            <w:gridSpan w:val="3"/>
          </w:tcPr>
          <w:p>
            <w:pPr>
              <w:jc w:val="right"/>
              <w:ind w:right="359"/>
              <w:spacing w:after="0"/>
              <w:rPr>
                <w:sz w:val="20"/>
                <w:szCs w:val="20"/>
                <w:color w:val="auto"/>
              </w:rPr>
            </w:pPr>
            <w:r>
              <w:rPr>
                <w:rFonts w:ascii="Arial" w:cs="Arial" w:eastAsia="Arial" w:hAnsi="Arial"/>
                <w:sz w:val="16"/>
                <w:szCs w:val="16"/>
                <w:color w:val="auto"/>
              </w:rPr>
              <w:t>74,509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73,700</w:t>
            </w:r>
          </w:p>
        </w:tc>
      </w:tr>
      <w:tr>
        <w:trPr>
          <w:trHeight w:val="216"/>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2020" w:type="dxa"/>
            <w:vAlign w:val="bottom"/>
            <w:tcBorders>
              <w:bottom w:val="single" w:sz="8" w:color="auto"/>
            </w:tcBorders>
            <w:gridSpan w:val="4"/>
            <w:shd w:val="clear" w:color="auto" w:fill="CFF0FC"/>
          </w:tcPr>
          <w:p>
            <w:pPr>
              <w:jc w:val="right"/>
              <w:ind w:right="619"/>
              <w:spacing w:after="0"/>
              <w:rPr>
                <w:sz w:val="20"/>
                <w:szCs w:val="20"/>
                <w:color w:val="auto"/>
              </w:rPr>
            </w:pPr>
            <w:r>
              <w:rPr>
                <w:rFonts w:ascii="Arial" w:cs="Arial" w:eastAsia="Arial" w:hAnsi="Arial"/>
                <w:sz w:val="16"/>
                <w:szCs w:val="16"/>
                <w:color w:val="auto"/>
              </w:rPr>
              <w:t>44,689</w:t>
            </w:r>
          </w:p>
        </w:tc>
        <w:tc>
          <w:tcPr>
            <w:tcW w:w="1280" w:type="dxa"/>
            <w:vAlign w:val="bottom"/>
            <w:tcBorders>
              <w:bottom w:val="single" w:sz="8" w:color="auto"/>
            </w:tcBorders>
            <w:gridSpan w:val="3"/>
            <w:shd w:val="clear" w:color="auto" w:fill="CFF0FC"/>
          </w:tcPr>
          <w:p>
            <w:pPr>
              <w:jc w:val="right"/>
              <w:ind w:right="359"/>
              <w:spacing w:after="0"/>
              <w:rPr>
                <w:sz w:val="20"/>
                <w:szCs w:val="20"/>
                <w:color w:val="auto"/>
              </w:rPr>
            </w:pPr>
            <w:r>
              <w:rPr>
                <w:rFonts w:ascii="Arial" w:cs="Arial" w:eastAsia="Arial" w:hAnsi="Arial"/>
                <w:sz w:val="16"/>
                <w:szCs w:val="16"/>
                <w:color w:val="auto"/>
              </w:rPr>
              <w:t>44,051</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43,762</w:t>
            </w:r>
          </w:p>
        </w:tc>
      </w:tr>
      <w:tr>
        <w:trPr>
          <w:trHeight w:val="210"/>
        </w:trPr>
        <w:tc>
          <w:tcPr>
            <w:tcW w:w="4540" w:type="dxa"/>
            <w:vAlign w:val="bottom"/>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220,431</w:t>
            </w:r>
          </w:p>
        </w:tc>
        <w:tc>
          <w:tcPr>
            <w:tcW w:w="12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color w:val="auto"/>
              </w:rPr>
              <w:t>218,269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216,197</w:t>
            </w:r>
          </w:p>
        </w:tc>
      </w:tr>
      <w:tr>
        <w:trPr>
          <w:trHeight w:val="20"/>
        </w:trPr>
        <w:tc>
          <w:tcPr>
            <w:tcW w:w="5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92"/>
        </w:trPr>
        <w:tc>
          <w:tcPr>
            <w:tcW w:w="10240" w:type="dxa"/>
            <w:vAlign w:val="bottom"/>
            <w:gridSpan w:val="16"/>
          </w:tcPr>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tc>
        <w:tc>
          <w:tcPr>
            <w:tcW w:w="1000" w:type="dxa"/>
            <w:vAlign w:val="bottom"/>
          </w:tcPr>
          <w:p>
            <w:pPr>
              <w:spacing w:after="0"/>
              <w:rPr>
                <w:sz w:val="24"/>
                <w:szCs w:val="24"/>
                <w:color w:val="auto"/>
              </w:rPr>
            </w:pPr>
          </w:p>
        </w:tc>
      </w:tr>
      <w:tr>
        <w:trPr>
          <w:trHeight w:val="385"/>
        </w:trPr>
        <w:tc>
          <w:tcPr>
            <w:tcW w:w="45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1240"/>
              <w:spacing w:after="0"/>
              <w:rPr>
                <w:sz w:val="20"/>
                <w:szCs w:val="20"/>
                <w:color w:val="auto"/>
              </w:rPr>
            </w:pPr>
            <w:r>
              <w:rPr>
                <w:rFonts w:ascii="Arial" w:cs="Arial" w:eastAsia="Arial" w:hAnsi="Arial"/>
                <w:sz w:val="16"/>
                <w:szCs w:val="16"/>
                <w:b w:val="1"/>
                <w:bCs w:val="1"/>
                <w:color w:val="auto"/>
              </w:rPr>
              <w:t>System Peak Demand (in MW)</w:t>
            </w:r>
          </w:p>
        </w:tc>
        <w:tc>
          <w:tcPr>
            <w:tcW w:w="1000" w:type="dxa"/>
            <w:vAlign w:val="bottom"/>
            <w:tcBorders>
              <w:bottom w:val="single" w:sz="8" w:color="auto"/>
            </w:tcBorders>
          </w:tcPr>
          <w:p>
            <w:pPr>
              <w:spacing w:after="0"/>
              <w:rPr>
                <w:sz w:val="24"/>
                <w:szCs w:val="24"/>
                <w:color w:val="auto"/>
              </w:rPr>
            </w:pPr>
          </w:p>
        </w:tc>
      </w:tr>
      <w:tr>
        <w:trPr>
          <w:trHeight w:val="210"/>
        </w:trPr>
        <w:tc>
          <w:tcPr>
            <w:tcW w:w="4540" w:type="dxa"/>
            <w:vAlign w:val="bottom"/>
          </w:tcPr>
          <w:p>
            <w:pPr>
              <w:spacing w:after="0"/>
              <w:rPr>
                <w:sz w:val="18"/>
                <w:szCs w:val="18"/>
                <w:color w:val="auto"/>
              </w:rPr>
            </w:pPr>
          </w:p>
        </w:tc>
        <w:tc>
          <w:tcPr>
            <w:tcW w:w="1260" w:type="dxa"/>
            <w:vAlign w:val="bottom"/>
            <w:gridSpan w:val="3"/>
          </w:tcPr>
          <w:p>
            <w:pPr>
              <w:ind w:left="720"/>
              <w:spacing w:after="0" w:line="210" w:lineRule="exact"/>
              <w:rPr>
                <w:sz w:val="20"/>
                <w:szCs w:val="20"/>
                <w:color w:val="auto"/>
              </w:rPr>
            </w:pPr>
            <w:r>
              <w:rPr>
                <w:rFonts w:ascii="Arial" w:cs="Arial" w:eastAsia="Arial" w:hAnsi="Arial"/>
                <w:sz w:val="16"/>
                <w:szCs w:val="16"/>
                <w:b w:val="1"/>
                <w:bCs w:val="1"/>
                <w:color w:val="auto"/>
                <w:w w:val="90"/>
              </w:rPr>
              <w:t xml:space="preserve">2022 </w:t>
            </w:r>
            <w:r>
              <w:rPr>
                <w:rFonts w:ascii="Arial" w:cs="Arial" w:eastAsia="Arial" w:hAnsi="Arial"/>
                <w:sz w:val="21"/>
                <w:szCs w:val="21"/>
                <w:b w:val="1"/>
                <w:bCs w:val="1"/>
                <w:color w:val="auto"/>
                <w:w w:val="90"/>
                <w:vertAlign w:val="superscript"/>
              </w:rPr>
              <w:t>(a)</w:t>
            </w:r>
          </w:p>
        </w:tc>
        <w:tc>
          <w:tcPr>
            <w:tcW w:w="700" w:type="dxa"/>
            <w:vAlign w:val="bottom"/>
          </w:tcPr>
          <w:p>
            <w:pPr>
              <w:spacing w:after="0"/>
              <w:rPr>
                <w:sz w:val="18"/>
                <w:szCs w:val="18"/>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2021</w:t>
            </w:r>
          </w:p>
        </w:tc>
        <w:tc>
          <w:tcPr>
            <w:tcW w:w="780" w:type="dxa"/>
            <w:vAlign w:val="bottom"/>
          </w:tcPr>
          <w:p>
            <w:pPr>
              <w:spacing w:after="0"/>
              <w:rPr>
                <w:sz w:val="18"/>
                <w:szCs w:val="18"/>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126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Summer</w:t>
            </w: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Winter</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ind w:right="520"/>
              <w:spacing w:after="0"/>
              <w:rPr>
                <w:sz w:val="20"/>
                <w:szCs w:val="20"/>
                <w:color w:val="auto"/>
              </w:rPr>
            </w:pPr>
            <w:r>
              <w:rPr>
                <w:rFonts w:ascii="Arial" w:cs="Arial" w:eastAsia="Arial" w:hAnsi="Arial"/>
                <w:sz w:val="16"/>
                <w:szCs w:val="16"/>
                <w:b w:val="1"/>
                <w:bCs w:val="1"/>
                <w:color w:val="auto"/>
              </w:rPr>
              <w:t>Summer</w:t>
            </w:r>
          </w:p>
        </w:tc>
        <w:tc>
          <w:tcPr>
            <w:tcW w:w="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Winter</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6"/>
                <w:szCs w:val="16"/>
                <w:b w:val="1"/>
                <w:bCs w:val="1"/>
                <w:color w:val="auto"/>
              </w:rPr>
              <w:t>Summer</w:t>
            </w:r>
          </w:p>
        </w:tc>
        <w:tc>
          <w:tcPr>
            <w:tcW w:w="10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Winter</w:t>
            </w: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297</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940" w:type="dxa"/>
            <w:vAlign w:val="bottom"/>
          </w:tcPr>
          <w:p>
            <w:pPr>
              <w:jc w:val="right"/>
              <w:spacing w:after="0"/>
              <w:rPr>
                <w:sz w:val="20"/>
                <w:szCs w:val="20"/>
                <w:color w:val="auto"/>
              </w:rPr>
            </w:pPr>
            <w:r>
              <w:rPr>
                <w:rFonts w:ascii="Arial" w:cs="Arial" w:eastAsia="Arial" w:hAnsi="Arial"/>
                <w:sz w:val="16"/>
                <w:szCs w:val="16"/>
                <w:color w:val="auto"/>
              </w:rPr>
              <w:t>403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w:t>
            </w:r>
          </w:p>
        </w:tc>
        <w:tc>
          <w:tcPr>
            <w:tcW w:w="1280" w:type="dxa"/>
            <w:vAlign w:val="bottom"/>
            <w:gridSpan w:val="3"/>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304</w:t>
            </w:r>
          </w:p>
        </w:tc>
      </w:tr>
      <w:tr>
        <w:trPr>
          <w:trHeight w:val="217"/>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w:t>
            </w:r>
          </w:p>
        </w:tc>
        <w:tc>
          <w:tcPr>
            <w:tcW w:w="118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128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246</w:t>
            </w:r>
          </w:p>
        </w:tc>
      </w:tr>
      <w:tr>
        <w:trPr>
          <w:trHeight w:val="215"/>
        </w:trPr>
        <w:tc>
          <w:tcPr>
            <w:tcW w:w="4540" w:type="dxa"/>
            <w:vAlign w:val="bottom"/>
          </w:tcPr>
          <w:p>
            <w:pPr>
              <w:spacing w:after="0"/>
              <w:rPr>
                <w:sz w:val="20"/>
                <w:szCs w:val="20"/>
                <w:color w:val="auto"/>
              </w:rPr>
            </w:pPr>
            <w:r>
              <w:rPr>
                <w:rFonts w:ascii="Arial" w:cs="Arial" w:eastAsia="Arial" w:hAnsi="Arial"/>
                <w:sz w:val="16"/>
                <w:szCs w:val="16"/>
                <w:color w:val="auto"/>
              </w:rPr>
              <w:t>____________________</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6" w:lineRule="exact"/>
        <w:rPr>
          <w:sz w:val="20"/>
          <w:szCs w:val="20"/>
          <w:color w:val="auto"/>
        </w:rPr>
      </w:pPr>
    </w:p>
    <w:p>
      <w:pPr>
        <w:ind w:left="520" w:right="40" w:hanging="512"/>
        <w:spacing w:after="0" w:line="26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 December 2022, each of our Electric Utilities set new winter peak loads. In July 2022, South Dakota Electric and Wyoming Electric set new all-time and summer peak loads. See recent peak discussion in the </w:t>
      </w:r>
      <w:r>
        <w:rPr>
          <w:rFonts w:ascii="Arial" w:cs="Arial" w:eastAsia="Arial" w:hAnsi="Arial"/>
          <w:sz w:val="14"/>
          <w:szCs w:val="14"/>
          <w:u w:val="single" w:color="auto"/>
          <w:color w:val="0000FF"/>
        </w:rPr>
        <w:t>Recent Developments</w:t>
      </w:r>
      <w:r>
        <w:rPr>
          <w:rFonts w:ascii="Arial" w:cs="Arial" w:eastAsia="Arial" w:hAnsi="Arial"/>
          <w:sz w:val="14"/>
          <w:szCs w:val="14"/>
          <w:color w:val="auto"/>
        </w:rPr>
        <w:t xml:space="preserve"> section of Management’s Discussion and Analysis of Financial Condition and Results of Operations in </w:t>
      </w:r>
      <w:r>
        <w:rPr>
          <w:rFonts w:ascii="Arial" w:cs="Arial" w:eastAsia="Arial" w:hAnsi="Arial"/>
          <w:sz w:val="14"/>
          <w:szCs w:val="14"/>
          <w:u w:val="single" w:color="auto"/>
          <w:color w:val="0000FF"/>
        </w:rPr>
        <w:t>Item 7</w:t>
      </w:r>
      <w:r>
        <w:rPr>
          <w:rFonts w:ascii="Arial" w:cs="Arial" w:eastAsia="Arial" w:hAnsi="Arial"/>
          <w:sz w:val="14"/>
          <w:szCs w:val="14"/>
          <w:color w:val="0000FF"/>
        </w:rPr>
        <w:t xml:space="preserve"> </w:t>
      </w:r>
      <w:r>
        <w:rPr>
          <w:rFonts w:ascii="Arial" w:cs="Arial" w:eastAsia="Arial" w:hAnsi="Arial"/>
          <w:sz w:val="14"/>
          <w:szCs w:val="14"/>
          <w:color w:val="000000"/>
        </w:rPr>
        <w:t>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-132715</wp:posOffset>
            </wp:positionV>
            <wp:extent cx="898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98525" cy="8890"/>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-29845</wp:posOffset>
            </wp:positionV>
            <wp:extent cx="2540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31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560" w:type="dxa"/>
            <w:vAlign w:val="bottom"/>
            <w:gridSpan w:val="5"/>
          </w:tcPr>
          <w:p>
            <w:pPr>
              <w:spacing w:after="0"/>
              <w:rPr>
                <w:sz w:val="20"/>
                <w:szCs w:val="20"/>
                <w:color w:val="auto"/>
              </w:rPr>
            </w:pPr>
            <w:r>
              <w:rPr>
                <w:rFonts w:ascii="Arial" w:cs="Arial" w:eastAsia="Arial" w:hAnsi="Arial"/>
                <w:sz w:val="16"/>
                <w:szCs w:val="16"/>
                <w:color w:val="auto"/>
              </w:rPr>
              <w:t>As of December 31, 2022, our Electric Utilities’ ownership interests in electric generating plants were as follows: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Owned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jc w:val="center"/>
              <w:ind w:left="179"/>
              <w:spacing w:after="0" w:line="163" w:lineRule="exact"/>
              <w:rPr>
                <w:sz w:val="20"/>
                <w:szCs w:val="20"/>
                <w:color w:val="auto"/>
              </w:rPr>
            </w:pPr>
            <w:r>
              <w:rPr>
                <w:rFonts w:ascii="Arial" w:cs="Arial" w:eastAsia="Arial" w:hAnsi="Arial"/>
                <w:sz w:val="16"/>
                <w:szCs w:val="16"/>
                <w:b w:val="1"/>
                <w:bCs w:val="1"/>
                <w:color w:val="auto"/>
              </w:rPr>
              <w:t>Fuel</w:t>
            </w:r>
          </w:p>
        </w:tc>
        <w:tc>
          <w:tcPr>
            <w:tcW w:w="2440" w:type="dxa"/>
            <w:vAlign w:val="bottom"/>
          </w:tcPr>
          <w:p>
            <w:pPr>
              <w:spacing w:after="0"/>
              <w:rPr>
                <w:sz w:val="14"/>
                <w:szCs w:val="14"/>
                <w:color w:val="auto"/>
              </w:rPr>
            </w:pPr>
          </w:p>
        </w:tc>
        <w:tc>
          <w:tcPr>
            <w:tcW w:w="15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Ownership</w:t>
            </w:r>
          </w:p>
        </w:tc>
        <w:tc>
          <w:tcPr>
            <w:tcW w:w="14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Nameplate</w:t>
            </w:r>
          </w:p>
        </w:tc>
        <w:tc>
          <w:tcPr>
            <w:tcW w:w="1260" w:type="dxa"/>
            <w:vAlign w:val="bottom"/>
          </w:tcPr>
          <w:p>
            <w:pPr>
              <w:jc w:val="center"/>
              <w:ind w:left="99"/>
              <w:spacing w:after="0" w:line="163" w:lineRule="exact"/>
              <w:rPr>
                <w:sz w:val="20"/>
                <w:szCs w:val="20"/>
                <w:color w:val="auto"/>
              </w:rPr>
            </w:pPr>
            <w:r>
              <w:rPr>
                <w:rFonts w:ascii="Arial" w:cs="Arial" w:eastAsia="Arial" w:hAnsi="Arial"/>
                <w:sz w:val="16"/>
                <w:szCs w:val="16"/>
                <w:b w:val="1"/>
                <w:bCs w:val="1"/>
                <w:color w:val="auto"/>
              </w:rPr>
              <w:t>In Service</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Unit</w:t>
            </w:r>
          </w:p>
        </w:tc>
        <w:tc>
          <w:tcPr>
            <w:tcW w:w="14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6"/>
              </w:rPr>
              <w:t>Type</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Location</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xml:space="preserve">Interest % </w:t>
            </w:r>
            <w:r>
              <w:rPr>
                <w:rFonts w:ascii="Arial" w:cs="Arial" w:eastAsia="Arial" w:hAnsi="Arial"/>
                <w:sz w:val="21"/>
                <w:szCs w:val="21"/>
                <w:b w:val="1"/>
                <w:bCs w:val="1"/>
                <w:color w:val="auto"/>
                <w:w w:val="97"/>
                <w:vertAlign w:val="superscript"/>
              </w:rPr>
              <w:t>(d)</w:t>
            </w:r>
          </w:p>
        </w:tc>
        <w:tc>
          <w:tcPr>
            <w:tcW w:w="14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Capacity (MW)</w:t>
            </w:r>
          </w:p>
        </w:tc>
        <w:tc>
          <w:tcPr>
            <w:tcW w:w="12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48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(b) (c)</w:t>
            </w:r>
          </w:p>
        </w:tc>
        <w:tc>
          <w:tcPr>
            <w:tcW w:w="148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Pueblo Airport Generation #1-2</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w w:val="95"/>
              </w:rPr>
              <w:t>2011</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Pueblo Airport Generation CT #6</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AIP Diesel</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rPr>
              <w:t>Oil</w:t>
            </w:r>
          </w:p>
        </w:tc>
        <w:tc>
          <w:tcPr>
            <w:tcW w:w="24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Diesel #1 and #3-5</w:t>
            </w:r>
          </w:p>
        </w:tc>
        <w:tc>
          <w:tcPr>
            <w:tcW w:w="148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Oil</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Diesel #1-5</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rPr>
              <w:t>Oil</w:t>
            </w:r>
          </w:p>
        </w:tc>
        <w:tc>
          <w:tcPr>
            <w:tcW w:w="2440" w:type="dxa"/>
            <w:vAlign w:val="bottom"/>
          </w:tcPr>
          <w:p>
            <w:pPr>
              <w:jc w:val="center"/>
              <w:spacing w:after="0"/>
              <w:rPr>
                <w:sz w:val="20"/>
                <w:szCs w:val="20"/>
                <w:color w:val="auto"/>
              </w:rPr>
            </w:pPr>
            <w:r>
              <w:rPr>
                <w:rFonts w:ascii="Arial" w:cs="Arial" w:eastAsia="Arial" w:hAnsi="Arial"/>
                <w:sz w:val="16"/>
                <w:szCs w:val="16"/>
                <w:color w:val="auto"/>
              </w:rPr>
              <w:t>Rocky Ford,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South Dakota Electric:</w:t>
            </w:r>
          </w:p>
        </w:tc>
        <w:tc>
          <w:tcPr>
            <w:tcW w:w="148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Cheyenne Prairie</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58%</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48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62%</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Wygen III</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Coal</w:t>
            </w:r>
          </w:p>
        </w:tc>
        <w:tc>
          <w:tcPr>
            <w:tcW w:w="24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Neil Simpson II</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Coal</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Wyodak Plant</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Coal</w:t>
            </w:r>
          </w:p>
        </w:tc>
        <w:tc>
          <w:tcPr>
            <w:tcW w:w="24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1978</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Neil Simpson CT</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Lange CT</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Ben French Diesel #1-5</w:t>
            </w:r>
          </w:p>
        </w:tc>
        <w:tc>
          <w:tcPr>
            <w:tcW w:w="148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Oil</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Ben French CTs #1-4</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Gas/Oil</w:t>
            </w:r>
          </w:p>
        </w:tc>
        <w:tc>
          <w:tcPr>
            <w:tcW w:w="24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1977-1979</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48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Cheyenne Prairie</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42%</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Cheyenne Prairie CT</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Wygen II</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Coal</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5"/>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Integrated Generation:</w:t>
            </w:r>
          </w:p>
        </w:tc>
        <w:tc>
          <w:tcPr>
            <w:tcW w:w="1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Wygen I</w:t>
            </w:r>
          </w:p>
        </w:tc>
        <w:tc>
          <w:tcPr>
            <w:tcW w:w="14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Coal</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76.5%</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68.9</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2003</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0"/>
              <w:spacing w:after="0"/>
              <w:rPr>
                <w:sz w:val="20"/>
                <w:szCs w:val="20"/>
                <w:color w:val="auto"/>
              </w:rPr>
            </w:pPr>
            <w:r>
              <w:rPr>
                <w:rFonts w:ascii="Arial" w:cs="Arial" w:eastAsia="Arial" w:hAnsi="Arial"/>
                <w:sz w:val="16"/>
                <w:szCs w:val="16"/>
                <w:color w:val="auto"/>
              </w:rPr>
              <w:t>Pueblo Airport Generation #4-5</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rPr>
              <w:t>Gas</w:t>
            </w:r>
          </w:p>
        </w:tc>
        <w:tc>
          <w:tcPr>
            <w:tcW w:w="24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line="216" w:lineRule="exact"/>
              <w:rPr>
                <w:sz w:val="20"/>
                <w:szCs w:val="20"/>
                <w:color w:val="auto"/>
              </w:rPr>
            </w:pPr>
            <w:r>
              <w:rPr>
                <w:rFonts w:ascii="Arial" w:cs="Arial" w:eastAsia="Arial" w:hAnsi="Arial"/>
                <w:sz w:val="16"/>
                <w:szCs w:val="16"/>
                <w:color w:val="auto"/>
                <w:w w:val="95"/>
              </w:rPr>
              <w:t xml:space="preserve">50.1% </w:t>
            </w:r>
            <w:r>
              <w:rPr>
                <w:rFonts w:ascii="Arial" w:cs="Arial" w:eastAsia="Arial" w:hAnsi="Arial"/>
                <w:sz w:val="21"/>
                <w:szCs w:val="21"/>
                <w:color w:val="auto"/>
                <w:w w:val="95"/>
                <w:vertAlign w:val="superscript"/>
              </w:rPr>
              <w:t>(e)</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148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50%</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w:t>
            </w:r>
          </w:p>
        </w:tc>
        <w:tc>
          <w:tcPr>
            <w:tcW w:w="12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6"/>
        </w:trPr>
        <w:tc>
          <w:tcPr>
            <w:tcW w:w="314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(c)</w:t>
            </w:r>
          </w:p>
        </w:tc>
        <w:tc>
          <w:tcPr>
            <w:tcW w:w="1480" w:type="dxa"/>
            <w:vAlign w:val="bottom"/>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5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260" w:type="dxa"/>
            <w:vAlign w:val="bottom"/>
          </w:tcPr>
          <w:p>
            <w:pPr>
              <w:jc w:val="center"/>
              <w:ind w:left="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FF0FC"/>
            </w:tcBorders>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Northern Iowa Windpower </w:t>
            </w:r>
            <w:r>
              <w:rPr>
                <w:rFonts w:ascii="Arial" w:cs="Arial" w:eastAsia="Arial" w:hAnsi="Arial"/>
                <w:sz w:val="21"/>
                <w:szCs w:val="21"/>
                <w:color w:val="auto"/>
                <w:vertAlign w:val="superscript"/>
              </w:rPr>
              <w:t>(c)</w:t>
            </w:r>
          </w:p>
        </w:tc>
        <w:tc>
          <w:tcPr>
            <w:tcW w:w="1480" w:type="dxa"/>
            <w:vAlign w:val="bottom"/>
            <w:tcBorders>
              <w:bottom w:val="single" w:sz="8" w:color="CFF0FC"/>
            </w:tcBorders>
            <w:shd w:val="clear" w:color="auto" w:fill="CFF0FC"/>
          </w:tcPr>
          <w:p>
            <w:pPr>
              <w:jc w:val="center"/>
              <w:ind w:left="159"/>
              <w:spacing w:after="0"/>
              <w:rPr>
                <w:sz w:val="20"/>
                <w:szCs w:val="20"/>
                <w:color w:val="auto"/>
              </w:rPr>
            </w:pPr>
            <w:r>
              <w:rPr>
                <w:rFonts w:ascii="Arial" w:cs="Arial" w:eastAsia="Arial" w:hAnsi="Arial"/>
                <w:sz w:val="16"/>
                <w:szCs w:val="16"/>
                <w:color w:val="auto"/>
                <w:w w:val="98"/>
              </w:rPr>
              <w:t>Wind</w:t>
            </w:r>
          </w:p>
        </w:tc>
        <w:tc>
          <w:tcPr>
            <w:tcW w:w="2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9"/>
              </w:rPr>
              <w:t>Joice, Iowa</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87.1</w:t>
            </w:r>
          </w:p>
        </w:tc>
        <w:tc>
          <w:tcPr>
            <w:tcW w:w="1260" w:type="dxa"/>
            <w:vAlign w:val="bottom"/>
            <w:tcBorders>
              <w:bottom w:val="single" w:sz="8" w:color="CFF0FC"/>
            </w:tcBorders>
            <w:shd w:val="clear" w:color="auto" w:fill="CFF0FC"/>
          </w:tcPr>
          <w:p>
            <w:pPr>
              <w:jc w:val="center"/>
              <w:ind w:left="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8"/>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Total MW Capacity</w:t>
            </w:r>
          </w:p>
        </w:tc>
        <w:tc>
          <w:tcPr>
            <w:tcW w:w="1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____________________</w:t>
            </w:r>
          </w:p>
        </w:tc>
        <w:tc>
          <w:tcPr>
            <w:tcW w:w="1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-297815</wp:posOffset>
            </wp:positionV>
            <wp:extent cx="1200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ind w:left="520" w:right="260" w:hanging="512"/>
        <w:spacing w:after="0" w:line="25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2013, Busch Ranch I was awarded a one-time cash grant in lieu of ITCs under the Section 1603 program created under the American Recovery and Reinvestment Act.</w:t>
      </w:r>
    </w:p>
    <w:p>
      <w:pPr>
        <w:spacing w:after="0" w:line="169"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PTCs for Peak View flow back to customers through a rider mechanism as a reduction to Colorado Electric’s margins.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facility qualifies for PTCs at $26/MWh under IRC 45 during the 10-year period beginning on the date the facility was originally placed in service.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right="480" w:hanging="512"/>
        <w:spacing w:after="0" w:line="264"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 2016, Black Hills Electric Generation sold a 49.9% non-controlling interest in Black Hills Colorado IPP to a third party. See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-235585</wp:posOffset>
            </wp:positionV>
            <wp:extent cx="269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240"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-132715</wp:posOffset>
            </wp:positionV>
            <wp:extent cx="3200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080" w:type="dxa"/>
            <w:vAlign w:val="bottom"/>
          </w:tcPr>
          <w:p>
            <w:pPr>
              <w:spacing w:after="0"/>
              <w:rPr>
                <w:sz w:val="20"/>
                <w:szCs w:val="20"/>
                <w:color w:val="auto"/>
              </w:rPr>
            </w:pPr>
            <w:r>
              <w:rPr>
                <w:rFonts w:ascii="Arial" w:cs="Arial" w:eastAsia="Arial" w:hAnsi="Arial"/>
                <w:sz w:val="16"/>
                <w:szCs w:val="16"/>
                <w:b w:val="1"/>
                <w:bCs w:val="1"/>
                <w:color w:val="auto"/>
              </w:rPr>
              <w:t>Power Supply</w:t>
            </w:r>
          </w:p>
        </w:tc>
        <w:tc>
          <w:tcPr>
            <w:tcW w:w="39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5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Coal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(a)</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Wind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Generated</w:t>
      </w:r>
    </w:p>
    <w:p>
      <w:pPr>
        <w:spacing w:after="0" w:line="46" w:lineRule="exact"/>
        <w:rPr>
          <w:sz w:val="20"/>
          <w:szCs w:val="20"/>
          <w:color w:val="auto"/>
        </w:rPr>
      </w:pPr>
    </w:p>
    <w:p>
      <w:pPr>
        <w:ind w:left="20" w:right="2140"/>
        <w:spacing w:after="0" w:line="290" w:lineRule="auto"/>
        <w:rPr>
          <w:sz w:val="20"/>
          <w:szCs w:val="20"/>
          <w:color w:val="auto"/>
        </w:rPr>
      </w:pPr>
      <w:r>
        <w:rPr>
          <w:rFonts w:ascii="Arial" w:cs="Arial" w:eastAsia="Arial" w:hAnsi="Arial"/>
          <w:sz w:val="16"/>
          <w:szCs w:val="16"/>
          <w:color w:val="auto"/>
        </w:rPr>
        <w:t>Coal, Natural Gas, Oil and Other Market Purchases Wind Purchases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Purchased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35.1 %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34.2 %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40.3 %</w:t>
            </w:r>
          </w:p>
        </w:tc>
      </w:tr>
      <w:tr>
        <w:trPr>
          <w:trHeight w:val="216"/>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18.8 %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24.4 %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25.0 %</w:t>
            </w:r>
          </w:p>
        </w:tc>
      </w:tr>
      <w:tr>
        <w:trPr>
          <w:trHeight w:val="217"/>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11.4 %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11.3 %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0"/>
        </w:trPr>
        <w:tc>
          <w:tcPr>
            <w:tcW w:w="20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65.3 %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69.9 %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74.1 %</w:t>
            </w:r>
          </w:p>
        </w:tc>
      </w:tr>
      <w:tr>
        <w:trPr>
          <w:trHeight w:val="20"/>
        </w:trPr>
        <w:tc>
          <w:tcPr>
            <w:tcW w:w="20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29.6 %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25.1 %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21.1 %</w:t>
            </w:r>
          </w:p>
        </w:tc>
      </w:tr>
      <w:tr>
        <w:trPr>
          <w:trHeight w:val="216"/>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5.1 %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5.0 %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0"/>
        </w:trPr>
        <w:tc>
          <w:tcPr>
            <w:tcW w:w="20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34.7 %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30.1 %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25.9 %</w:t>
            </w:r>
          </w:p>
        </w:tc>
      </w:tr>
      <w:tr>
        <w:trPr>
          <w:trHeight w:val="20"/>
        </w:trPr>
        <w:tc>
          <w:tcPr>
            <w:tcW w:w="20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60" w:type="dxa"/>
            <w:vAlign w:val="bottom"/>
          </w:tcPr>
          <w:p>
            <w:pPr>
              <w:jc w:val="right"/>
              <w:ind w:right="419"/>
              <w:spacing w:after="0"/>
              <w:rPr>
                <w:sz w:val="20"/>
                <w:szCs w:val="20"/>
                <w:color w:val="auto"/>
              </w:rPr>
            </w:pPr>
            <w:r>
              <w:rPr>
                <w:rFonts w:ascii="Arial" w:cs="Arial" w:eastAsia="Arial" w:hAnsi="Arial"/>
                <w:sz w:val="16"/>
                <w:szCs w:val="16"/>
                <w:color w:val="auto"/>
              </w:rPr>
              <w:t>100.0 %</w:t>
            </w:r>
          </w:p>
        </w:tc>
        <w:tc>
          <w:tcPr>
            <w:tcW w:w="1580" w:type="dxa"/>
            <w:vAlign w:val="bottom"/>
          </w:tcPr>
          <w:p>
            <w:pPr>
              <w:jc w:val="right"/>
              <w:ind w:right="419"/>
              <w:spacing w:after="0"/>
              <w:rPr>
                <w:sz w:val="20"/>
                <w:szCs w:val="20"/>
                <w:color w:val="auto"/>
              </w:rPr>
            </w:pPr>
            <w:r>
              <w:rPr>
                <w:rFonts w:ascii="Arial" w:cs="Arial" w:eastAsia="Arial" w:hAnsi="Arial"/>
                <w:sz w:val="16"/>
                <w:szCs w:val="16"/>
                <w:color w:val="auto"/>
              </w:rPr>
              <w:t>100.0 %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0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-1156335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-882650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-590550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-307975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860" w:space="720"/>
            <w:col w:w="4700"/>
          </w:cols>
          <w:pgMar w:left="320" w:top="118" w:right="299" w:bottom="1440" w:gutter="0" w:footer="0" w:header="0"/>
          <w:type w:val="continuous"/>
        </w:sectPr>
      </w:pPr>
    </w:p>
    <w:p>
      <w:pPr>
        <w:ind w:left="520" w:right="360" w:hanging="512"/>
        <w:spacing w:after="0" w:line="285"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diesel-fueled generating units are generally used as supplemental peaking units. Power generated from these units, as a percentage of total power supply, was 0.0% for each of the years presented.</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Fuel and Purchased Power (dollars per MWh)</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Coal</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12.76</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11.55</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11.38</w:t>
            </w:r>
          </w:p>
        </w:tc>
      </w:tr>
      <w:tr>
        <w:trPr>
          <w:trHeight w:val="215"/>
        </w:trPr>
        <w:tc>
          <w:tcPr>
            <w:tcW w:w="660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37.09</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33.65</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8.59</w:t>
            </w:r>
          </w:p>
        </w:tc>
      </w:tr>
      <w:tr>
        <w:trPr>
          <w:trHeight w:val="20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Generated Weighted Average Fuel Cost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17.57</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17.40</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9.09</w:t>
            </w: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Coal, Natural Gas, Oil and Other Market Purchases</w:t>
            </w:r>
          </w:p>
        </w:tc>
        <w:tc>
          <w:tcPr>
            <w:tcW w:w="3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66.35</w:t>
            </w:r>
          </w:p>
        </w:tc>
        <w:tc>
          <w:tcPr>
            <w:tcW w:w="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64.85</w:t>
            </w:r>
          </w:p>
        </w:tc>
        <w:tc>
          <w:tcPr>
            <w:tcW w:w="4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40.80</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Wind Purchases</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33.78</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34.69</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42.06</w:t>
            </w:r>
          </w:p>
        </w:tc>
      </w:tr>
      <w:tr>
        <w:trPr>
          <w:trHeight w:val="209"/>
        </w:trPr>
        <w:tc>
          <w:tcPr>
            <w:tcW w:w="6600" w:type="dxa"/>
            <w:vAlign w:val="bottom"/>
          </w:tcPr>
          <w:p>
            <w:pPr>
              <w:ind w:left="200"/>
              <w:spacing w:after="0"/>
              <w:rPr>
                <w:sz w:val="20"/>
                <w:szCs w:val="20"/>
                <w:color w:val="auto"/>
              </w:rPr>
            </w:pPr>
            <w:r>
              <w:rPr>
                <w:rFonts w:ascii="Arial" w:cs="Arial" w:eastAsia="Arial" w:hAnsi="Arial"/>
                <w:sz w:val="16"/>
                <w:szCs w:val="16"/>
                <w:color w:val="auto"/>
              </w:rPr>
              <w:t>Total Purchased Power Weighted Average Cost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61.56</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59.84</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41.03</w:t>
            </w:r>
          </w:p>
        </w:tc>
      </w:tr>
      <w:tr>
        <w:trPr>
          <w:trHeight w:val="24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Weighted Average Fuel and Purchased Power Cost</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32.82</w:t>
            </w:r>
          </w:p>
        </w:tc>
        <w:tc>
          <w:tcPr>
            <w:tcW w:w="4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30.17</w:t>
            </w:r>
          </w:p>
        </w:tc>
        <w:tc>
          <w:tcPr>
            <w:tcW w:w="4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17.36</w:t>
            </w:r>
          </w:p>
        </w:tc>
      </w:tr>
    </w:tbl>
    <w:p>
      <w:pPr>
        <w:spacing w:after="0" w:line="33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 xml:space="preserve">Purchased Power. </w:t>
      </w:r>
      <w:r>
        <w:rPr>
          <w:rFonts w:ascii="Arial" w:cs="Arial" w:eastAsia="Arial" w:hAnsi="Arial"/>
          <w:sz w:val="16"/>
          <w:szCs w:val="16"/>
          <w:color w:val="auto"/>
        </w:rPr>
        <w:t>We have executed various PPAs to support our Electric Utilities’ capacity and energy needs beyond our regulated power plants’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which include long-term related party agreements with our non-regulated power generation businesses.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6604000</wp:posOffset>
            </wp:positionH>
            <wp:positionV relativeFrom="paragraph">
              <wp:posOffset>-156210</wp:posOffset>
            </wp:positionV>
            <wp:extent cx="302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Coal Mining. </w:t>
      </w:r>
      <w:r>
        <w:rPr>
          <w:rFonts w:ascii="Arial" w:cs="Arial" w:eastAsia="Arial" w:hAnsi="Arial"/>
          <w:sz w:val="16"/>
          <w:szCs w:val="16"/>
          <w:color w:val="auto"/>
        </w:rPr>
        <w:t>We own and operate a single coal mine through our WRDC subsidiary which is reported within our Electric Utilities segment. We surface 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sell low-sulfur sub-bituminous coal at our mine located immediately adjacent to our Gillette energy complex in the Powder River Basin in northeastern Wyoming, where our five coal-fired power plants are located. We produced approximately 3.7 million tons of coal in 2022.</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mine provides low-sulfur coal directly to these five power plants via a conveyor belt system, minimizing transportation costs. The fuel can be delivered to our adjacent power plants at very cost competitive prices (i.e., $1.09 per MMBtu for year ended December 31, 2022) when compared to alternatives. Nearly all of the mine’s production is sold to our on-site generation facilities under long-term supply contracts.</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December 31, 2022, we estimated our recoverable reserves to be approximately 174 million tons, based on a life-of-mine engineering study utilizing currently available drilling data and geological information prepared by internal engineering analyses. The recoverable reserve life is equal to approximately 47 years at the current production levels.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-27940</wp:posOffset>
            </wp:positionV>
            <wp:extent cx="302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our Electric Utilities owned the electric transmission and distribution lines shown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0" w:type="dxa"/>
            <w:vAlign w:val="bottom"/>
          </w:tcPr>
          <w:p>
            <w:pPr>
              <w:jc w:val="right"/>
              <w:ind w:right="439"/>
              <w:spacing w:after="0"/>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21"/>
                <w:szCs w:val="21"/>
                <w:b w:val="1"/>
                <w:bCs w:val="1"/>
                <w:color w:val="auto"/>
                <w:vertAlign w:val="superscript"/>
              </w:rPr>
              <w:t>(a)</w:t>
            </w:r>
          </w:p>
        </w:tc>
        <w:tc>
          <w:tcPr>
            <w:tcW w:w="1800" w:type="dxa"/>
            <w:vAlign w:val="bottom"/>
          </w:tcPr>
          <w:p>
            <w:pPr>
              <w:jc w:val="right"/>
              <w:ind w:right="439"/>
              <w:spacing w:after="0"/>
              <w:rPr>
                <w:sz w:val="20"/>
                <w:szCs w:val="20"/>
                <w:color w:val="auto"/>
              </w:rPr>
            </w:pPr>
            <w:r>
              <w:rPr>
                <w:rFonts w:ascii="Arial" w:cs="Arial" w:eastAsia="Arial" w:hAnsi="Arial"/>
                <w:sz w:val="16"/>
                <w:szCs w:val="16"/>
                <w:b w:val="1"/>
                <w:bCs w:val="1"/>
                <w:color w:val="auto"/>
              </w:rPr>
              <w:t>Distribution</w:t>
            </w:r>
          </w:p>
        </w:tc>
        <w:tc>
          <w:tcPr>
            <w:tcW w:w="0" w:type="dxa"/>
            <w:vAlign w:val="bottom"/>
          </w:tcPr>
          <w:p>
            <w:pPr>
              <w:spacing w:after="0"/>
              <w:rPr>
                <w:sz w:val="1"/>
                <w:szCs w:val="1"/>
                <w:color w:val="auto"/>
              </w:rPr>
            </w:pPr>
          </w:p>
        </w:tc>
      </w:tr>
      <w:tr>
        <w:trPr>
          <w:trHeight w:val="217"/>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Utility</w:t>
            </w:r>
          </w:p>
        </w:tc>
        <w:tc>
          <w:tcPr>
            <w:tcW w:w="392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b w:val="1"/>
                <w:bCs w:val="1"/>
                <w:color w:val="auto"/>
              </w:rPr>
              <w:t>State</w:t>
            </w:r>
          </w:p>
        </w:tc>
        <w:tc>
          <w:tcPr>
            <w:tcW w:w="2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(in Line Miles)</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 Line Miles)</w:t>
            </w:r>
          </w:p>
        </w:tc>
        <w:tc>
          <w:tcPr>
            <w:tcW w:w="0" w:type="dxa"/>
            <w:vAlign w:val="bottom"/>
          </w:tcPr>
          <w:p>
            <w:pPr>
              <w:spacing w:after="0"/>
              <w:rPr>
                <w:sz w:val="1"/>
                <w:szCs w:val="1"/>
                <w:color w:val="auto"/>
              </w:rPr>
            </w:pPr>
          </w:p>
        </w:tc>
      </w:tr>
      <w:tr>
        <w:trPr>
          <w:trHeight w:val="210"/>
        </w:trPr>
        <w:tc>
          <w:tcPr>
            <w:tcW w:w="3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3920" w:type="dxa"/>
            <w:vAlign w:val="bottom"/>
            <w:shd w:val="clear" w:color="auto" w:fill="CFF0FC"/>
          </w:tcPr>
          <w:p>
            <w:pPr>
              <w:jc w:val="center"/>
              <w:ind w:left="1179"/>
              <w:spacing w:after="0"/>
              <w:rPr>
                <w:sz w:val="20"/>
                <w:szCs w:val="20"/>
                <w:color w:val="auto"/>
              </w:rPr>
            </w:pPr>
            <w:r>
              <w:rPr>
                <w:rFonts w:ascii="Arial" w:cs="Arial" w:eastAsia="Arial" w:hAnsi="Arial"/>
                <w:sz w:val="16"/>
                <w:szCs w:val="16"/>
                <w:color w:val="auto"/>
              </w:rPr>
              <w:t>Colorado</w:t>
            </w:r>
          </w:p>
        </w:tc>
        <w:tc>
          <w:tcPr>
            <w:tcW w:w="200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598</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3920" w:type="dxa"/>
            <w:vAlign w:val="bottom"/>
          </w:tcPr>
          <w:p>
            <w:pPr>
              <w:jc w:val="center"/>
              <w:ind w:left="1179"/>
              <w:spacing w:after="0"/>
              <w:rPr>
                <w:sz w:val="20"/>
                <w:szCs w:val="20"/>
                <w:color w:val="auto"/>
              </w:rPr>
            </w:pPr>
            <w:r>
              <w:rPr>
                <w:rFonts w:ascii="Arial" w:cs="Arial" w:eastAsia="Arial" w:hAnsi="Arial"/>
                <w:sz w:val="16"/>
                <w:szCs w:val="16"/>
                <w:color w:val="auto"/>
              </w:rPr>
              <w:t>South Dakota, Wyoming</w:t>
            </w: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1,235</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3920" w:type="dxa"/>
            <w:vAlign w:val="bottom"/>
            <w:tcBorders>
              <w:bottom w:val="single" w:sz="8" w:color="CFF0FC"/>
            </w:tcBorders>
            <w:shd w:val="clear" w:color="auto" w:fill="CFF0FC"/>
          </w:tcPr>
          <w:p>
            <w:pPr>
              <w:jc w:val="center"/>
              <w:ind w:left="1159"/>
              <w:spacing w:after="0"/>
              <w:rPr>
                <w:sz w:val="20"/>
                <w:szCs w:val="20"/>
                <w:color w:val="auto"/>
              </w:rPr>
            </w:pPr>
            <w:r>
              <w:rPr>
                <w:rFonts w:ascii="Arial" w:cs="Arial" w:eastAsia="Arial" w:hAnsi="Arial"/>
                <w:sz w:val="16"/>
                <w:szCs w:val="16"/>
                <w:color w:val="auto"/>
              </w:rPr>
              <w:t>Wyoming</w:t>
            </w:r>
          </w:p>
        </w:tc>
        <w:tc>
          <w:tcPr>
            <w:tcW w:w="2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59</w:t>
            </w: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1,892</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7,132</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9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vMerge w:val="continue"/>
          </w:tcPr>
          <w:p>
            <w:pPr>
              <w:spacing w:after="0"/>
              <w:rPr>
                <w:sz w:val="15"/>
                <w:szCs w:val="15"/>
                <w:color w:val="auto"/>
              </w:rPr>
            </w:pPr>
          </w:p>
        </w:tc>
        <w:tc>
          <w:tcPr>
            <w:tcW w:w="3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South Dakota Electric transmission line miles include 43 miles within the Common Use System.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Material transmission services agreements are disclosed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-4445</wp:posOffset>
            </wp:positionV>
            <wp:extent cx="302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performance.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electricity is sensitive to seasonal cooling, heating and industrial load requirements, as well as market price. In particular, cooling demand is often greater in the summer and heating demand is often greater in the winter.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IPPs for the right to supply electric energy and capacity for Colorado Electric when resource plans require additional resources. Additionally, electrification initiatives in our service territories could increase demand for electricity and increase customer growth.</w:t>
      </w:r>
    </w:p>
    <w:p>
      <w:pPr>
        <w:spacing w:after="0" w:line="15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independent power industry consists of many strong and capable competitors, some of which may have more extensive operations or greater financial resources than we possess. With respect to the merchant power sector, FERC has taken steps to increase access to the national transmission grid by utility and non-utility purchasers and sellers of electricity to foster competition within the wholesale electricity markets. Our non-regulated power generation businesses could face greater competition if utilities are permitted to robustly invest in power generation assets. Conversely, state regulations requiring utilities to competitively bid generation resources may provide opportunity for IPPs in some regions. To date, these initiatives have not had a material impact on our non-regulated power generation businesses.</w:t>
      </w:r>
    </w:p>
    <w:p>
      <w:pPr>
        <w:spacing w:after="0" w:line="15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mining business strategy is to sell nearly all of our production to on-site generation facilities under long-term supply contracts. Historically, any off-site sales have been to consumers within close proximity to the WRDC mine. Rail transport market opportunities for WRDC are limited due to the lower heating value (Btu) of the coal, combined with the fact that the WRDC mine is served by only one railroad, resulting in less competitive transportation rates. Additionally, coal competes with other energy sources, such as natural gas, wind, solar and hydropower. Costs and other factors relating to these alternative fuels, such as safety, environmental and availability considerations affect the overall demand for coal as a fuel.</w:t>
      </w:r>
    </w:p>
    <w:p>
      <w:pPr>
        <w:spacing w:after="0" w:line="153"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697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7230" cy="8890"/>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-45720</wp:posOffset>
            </wp:positionV>
            <wp:extent cx="285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approximately 1,107,000 customers. Additionally, we sell contractual pipeline capacity and gas commodities to other utilities and marketing companies, including our affiliates, on an as-available basis.</w:t>
      </w:r>
    </w:p>
    <w:p>
      <w:pPr>
        <w:spacing w:after="0" w:line="14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52,600 retail distribution customers under the Choice Gas Program in Nebraska and Wyoming. Additionally, we provide services under the Service Guard Comfort Plan, Tech Services and HomeServe.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Pr>
          <w:p>
            <w:pPr>
              <w:spacing w:after="0"/>
              <w:rPr>
                <w:sz w:val="18"/>
                <w:szCs w:val="18"/>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864,038</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853,908</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844,999</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380" w:type="dxa"/>
            <w:vAlign w:val="bottom"/>
          </w:tcPr>
          <w:p>
            <w:pPr>
              <w:jc w:val="right"/>
              <w:spacing w:after="0"/>
              <w:rPr>
                <w:sz w:val="20"/>
                <w:szCs w:val="20"/>
                <w:color w:val="auto"/>
              </w:rPr>
            </w:pPr>
            <w:r>
              <w:rPr>
                <w:rFonts w:ascii="Arial" w:cs="Arial" w:eastAsia="Arial" w:hAnsi="Arial"/>
                <w:sz w:val="16"/>
                <w:szCs w:val="16"/>
                <w:color w:val="auto"/>
              </w:rPr>
              <w:t>85,203</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84,234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83,135</w:t>
            </w:r>
          </w:p>
        </w:tc>
      </w:tr>
      <w:tr>
        <w:trPr>
          <w:trHeight w:val="217"/>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2,158</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2,235</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155,685</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153,929</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152,568</w:t>
            </w:r>
          </w:p>
        </w:tc>
      </w:tr>
      <w:tr>
        <w:trPr>
          <w:trHeight w:val="250"/>
        </w:trPr>
        <w:tc>
          <w:tcPr>
            <w:tcW w:w="6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Natural Gas Retail Customers at End of Year</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1,107,115</w:t>
            </w:r>
          </w:p>
        </w:tc>
        <w:tc>
          <w:tcPr>
            <w:tcW w:w="19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1,094,229</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1,082,937</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Pr>
          <w:p>
            <w:pPr>
              <w:spacing w:after="0"/>
              <w:rPr>
                <w:sz w:val="18"/>
                <w:szCs w:val="18"/>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9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183,270</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180,216</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178,281</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380" w:type="dxa"/>
            <w:vAlign w:val="bottom"/>
          </w:tcPr>
          <w:p>
            <w:pPr>
              <w:jc w:val="right"/>
              <w:spacing w:after="0"/>
              <w:rPr>
                <w:sz w:val="20"/>
                <w:szCs w:val="20"/>
                <w:color w:val="auto"/>
              </w:rPr>
            </w:pPr>
            <w:r>
              <w:rPr>
                <w:rFonts w:ascii="Arial" w:cs="Arial" w:eastAsia="Arial" w:hAnsi="Arial"/>
                <w:sz w:val="16"/>
                <w:szCs w:val="16"/>
                <w:color w:val="auto"/>
              </w:rPr>
              <w:t>208,060</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202,747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197,817</w:t>
            </w:r>
          </w:p>
        </w:tc>
      </w:tr>
      <w:tr>
        <w:trPr>
          <w:trHeight w:val="217"/>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162,801</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161,905</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160,952</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1380" w:type="dxa"/>
            <w:vAlign w:val="bottom"/>
          </w:tcPr>
          <w:p>
            <w:pPr>
              <w:jc w:val="right"/>
              <w:spacing w:after="0"/>
              <w:rPr>
                <w:sz w:val="20"/>
                <w:szCs w:val="20"/>
                <w:color w:val="auto"/>
              </w:rPr>
            </w:pPr>
            <w:r>
              <w:rPr>
                <w:rFonts w:ascii="Arial" w:cs="Arial" w:eastAsia="Arial" w:hAnsi="Arial"/>
                <w:sz w:val="16"/>
                <w:szCs w:val="16"/>
                <w:color w:val="auto"/>
              </w:rPr>
              <w:t>118,599</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117,862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116,973</w:t>
            </w:r>
          </w:p>
        </w:tc>
      </w:tr>
      <w:tr>
        <w:trPr>
          <w:trHeight w:val="217"/>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301,007</w:t>
            </w:r>
          </w:p>
        </w:tc>
        <w:tc>
          <w:tcPr>
            <w:tcW w:w="19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298,832</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296,778</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133,378</w:t>
            </w:r>
          </w:p>
        </w:tc>
        <w:tc>
          <w:tcPr>
            <w:tcW w:w="1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132,667</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132,136</w:t>
            </w:r>
          </w:p>
        </w:tc>
      </w:tr>
      <w:tr>
        <w:trPr>
          <w:trHeight w:val="250"/>
        </w:trPr>
        <w:tc>
          <w:tcPr>
            <w:tcW w:w="6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Natural Gas Retail Customers at End of Year</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1,107,115</w:t>
            </w:r>
          </w:p>
        </w:tc>
        <w:tc>
          <w:tcPr>
            <w:tcW w:w="19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1,094,229</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1,082,937</w:t>
            </w:r>
          </w:p>
        </w:tc>
      </w:tr>
    </w:tbl>
    <w:p>
      <w:pPr>
        <w:spacing w:after="0" w:line="17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addition to company-owned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company-owned regulated underground gas storage facilities as of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w:t>
            </w:r>
          </w:p>
        </w:tc>
      </w:tr>
      <w:tr>
        <w:trPr>
          <w:trHeight w:val="189"/>
        </w:trPr>
        <w:tc>
          <w:tcPr>
            <w:tcW w:w="5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Daily</w:t>
            </w:r>
          </w:p>
        </w:tc>
      </w:tr>
      <w:tr>
        <w:trPr>
          <w:trHeight w:val="189"/>
        </w:trPr>
        <w:tc>
          <w:tcPr>
            <w:tcW w:w="584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Working</w:t>
            </w:r>
          </w:p>
        </w:tc>
        <w:tc>
          <w:tcPr>
            <w:tcW w:w="1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rPr>
              <w:t>Withdrawal</w:t>
            </w:r>
          </w:p>
        </w:tc>
      </w:tr>
      <w:tr>
        <w:trPr>
          <w:trHeight w:val="189"/>
        </w:trPr>
        <w:tc>
          <w:tcPr>
            <w:tcW w:w="58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Capacity</w:t>
            </w: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Cushion Gas</w:t>
            </w: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Capacity</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Capability</w:t>
            </w:r>
          </w:p>
        </w:tc>
      </w:tr>
      <w:tr>
        <w:trPr>
          <w:trHeight w:val="217"/>
        </w:trPr>
        <w:tc>
          <w:tcPr>
            <w:tcW w:w="5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(Mcf)</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(Mcf)</w:t>
            </w: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(Mcf)</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(Mcfd)</w:t>
            </w: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9,273,700</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13,433,040</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22,706,740</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196,000</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2,361,495</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6,164,715</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8,526,210</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30,000</w:t>
            </w:r>
          </w:p>
        </w:tc>
      </w:tr>
      <w:tr>
        <w:trPr>
          <w:trHeight w:val="21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5,733,900</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17,545,600</w:t>
            </w:r>
          </w:p>
        </w:tc>
        <w:tc>
          <w:tcPr>
            <w:tcW w:w="14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23,279,500</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36,000</w:t>
            </w:r>
          </w:p>
        </w:tc>
      </w:tr>
      <w:tr>
        <w:trPr>
          <w:trHeight w:val="209"/>
        </w:trPr>
        <w:tc>
          <w:tcPr>
            <w:tcW w:w="5840" w:type="dxa"/>
            <w:vAlign w:val="bottom"/>
          </w:tcPr>
          <w:p>
            <w:pPr>
              <w:ind w:left="20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17,369,095</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37,143,355</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54,512,450</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262,000</w:t>
            </w:r>
          </w:p>
        </w:tc>
      </w:tr>
      <w:tr>
        <w:trPr>
          <w:trHeight w:val="20"/>
        </w:trPr>
        <w:tc>
          <w:tcPr>
            <w:tcW w:w="5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900" w:type="dxa"/>
            <w:vAlign w:val="bottom"/>
          </w:tcPr>
          <w:p>
            <w:pPr>
              <w:jc w:val="center"/>
              <w:ind w:right="179"/>
              <w:spacing w:after="0"/>
              <w:rPr>
                <w:sz w:val="20"/>
                <w:szCs w:val="20"/>
                <w:color w:val="auto"/>
              </w:rPr>
            </w:pPr>
            <w:r>
              <w:rPr>
                <w:rFonts w:ascii="Arial" w:cs="Arial" w:eastAsia="Arial" w:hAnsi="Arial"/>
                <w:sz w:val="16"/>
                <w:szCs w:val="16"/>
                <w:b w:val="1"/>
                <w:bCs w:val="1"/>
                <w:color w:val="auto"/>
              </w:rPr>
              <w:t>Intrastate Gas</w:t>
            </w:r>
          </w:p>
        </w:tc>
        <w:tc>
          <w:tcPr>
            <w:tcW w:w="18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5780" w:type="dxa"/>
            <w:vAlign w:val="bottom"/>
          </w:tcPr>
          <w:p>
            <w:pPr>
              <w:spacing w:after="0"/>
              <w:rPr>
                <w:sz w:val="16"/>
                <w:szCs w:val="16"/>
                <w:color w:val="auto"/>
              </w:rPr>
            </w:pPr>
          </w:p>
        </w:tc>
        <w:tc>
          <w:tcPr>
            <w:tcW w:w="190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Transmission</w:t>
            </w:r>
          </w:p>
        </w:tc>
        <w:tc>
          <w:tcPr>
            <w:tcW w:w="1840" w:type="dxa"/>
            <w:vAlign w:val="bottom"/>
          </w:tcPr>
          <w:p>
            <w:pPr>
              <w:jc w:val="center"/>
              <w:ind w:right="59"/>
              <w:spacing w:after="0"/>
              <w:rPr>
                <w:sz w:val="20"/>
                <w:szCs w:val="20"/>
                <w:color w:val="auto"/>
              </w:rPr>
            </w:pPr>
            <w:r>
              <w:rPr>
                <w:rFonts w:ascii="Arial" w:cs="Arial" w:eastAsia="Arial" w:hAnsi="Arial"/>
                <w:sz w:val="16"/>
                <w:szCs w:val="16"/>
                <w:b w:val="1"/>
                <w:bCs w:val="1"/>
                <w:color w:val="auto"/>
              </w:rPr>
              <w:t>Gas Distribution</w:t>
            </w: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Gas Distribution</w:t>
            </w:r>
          </w:p>
        </w:tc>
      </w:tr>
      <w:tr>
        <w:trPr>
          <w:trHeight w:val="189"/>
        </w:trPr>
        <w:tc>
          <w:tcPr>
            <w:tcW w:w="5780" w:type="dxa"/>
            <w:vAlign w:val="bottom"/>
          </w:tcPr>
          <w:p>
            <w:pPr>
              <w:spacing w:after="0"/>
              <w:rPr>
                <w:sz w:val="16"/>
                <w:szCs w:val="16"/>
                <w:color w:val="auto"/>
              </w:rPr>
            </w:pPr>
          </w:p>
        </w:tc>
        <w:tc>
          <w:tcPr>
            <w:tcW w:w="190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Pipelines</w:t>
            </w:r>
          </w:p>
        </w:tc>
        <w:tc>
          <w:tcPr>
            <w:tcW w:w="1840" w:type="dxa"/>
            <w:vAlign w:val="bottom"/>
          </w:tcPr>
          <w:p>
            <w:pPr>
              <w:jc w:val="center"/>
              <w:ind w:right="59"/>
              <w:spacing w:after="0"/>
              <w:rPr>
                <w:sz w:val="20"/>
                <w:szCs w:val="20"/>
                <w:color w:val="auto"/>
              </w:rPr>
            </w:pPr>
            <w:r>
              <w:rPr>
                <w:rFonts w:ascii="Arial" w:cs="Arial" w:eastAsia="Arial" w:hAnsi="Arial"/>
                <w:sz w:val="16"/>
                <w:szCs w:val="16"/>
                <w:b w:val="1"/>
                <w:bCs w:val="1"/>
                <w:color w:val="auto"/>
              </w:rPr>
              <w:t>Mains</w:t>
            </w: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Service Lines</w:t>
            </w:r>
          </w:p>
        </w:tc>
      </w:tr>
      <w:tr>
        <w:trPr>
          <w:trHeight w:val="217"/>
        </w:trPr>
        <w:tc>
          <w:tcPr>
            <w:tcW w:w="57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 line miles)</w:t>
            </w:r>
          </w:p>
        </w:tc>
        <w:tc>
          <w:tcPr>
            <w:tcW w:w="1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line miles)</w:t>
            </w: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 line miles)</w:t>
            </w: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19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877</w:t>
            </w:r>
          </w:p>
        </w:tc>
        <w:tc>
          <w:tcPr>
            <w:tcW w:w="1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5,070</w:t>
            </w: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1,330</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699</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7,088</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2,372</w:t>
            </w:r>
          </w:p>
        </w:tc>
      </w:tr>
      <w:tr>
        <w:trPr>
          <w:trHeight w:val="217"/>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9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173</w:t>
            </w:r>
          </w:p>
        </w:tc>
        <w:tc>
          <w:tcPr>
            <w:tcW w:w="1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2,879</w:t>
            </w: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2,503</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3,004</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1,388</w:t>
            </w:r>
          </w:p>
        </w:tc>
      </w:tr>
      <w:tr>
        <w:trPr>
          <w:trHeight w:val="217"/>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9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1,317</w:t>
            </w:r>
          </w:p>
        </w:tc>
        <w:tc>
          <w:tcPr>
            <w:tcW w:w="1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8,558</w:t>
            </w: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2,796</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1,316</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3,563</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1,671</w:t>
            </w: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4,713</w:t>
            </w:r>
          </w:p>
        </w:tc>
        <w:tc>
          <w:tcPr>
            <w:tcW w:w="18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30,162</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12,060</w:t>
            </w:r>
          </w:p>
        </w:tc>
      </w:tr>
    </w:tbl>
    <w:p>
      <w:pPr>
        <w:spacing w:after="0" w:line="17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performance.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natural gas is sensitive to seasonal heating and industrial load requirements, as well as market price. In particular, demand is often greater in the winter months for heating. Natural gas is used primarily for residential and commercial heating, and demand for this product can depend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for irrigation.</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fees for transporting the gas through our distribution network.</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-165735</wp:posOffset>
            </wp:positionV>
            <wp:extent cx="548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-45720</wp:posOffset>
            </wp:positionV>
            <wp:extent cx="285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Utilities are subject to regulation by a number of federal, state and other organizations, including, but not limited to, the following:</w:t>
      </w:r>
    </w:p>
    <w:p>
      <w:pPr>
        <w:spacing w:after="0" w:line="113" w:lineRule="exact"/>
        <w:rPr>
          <w:sz w:val="20"/>
          <w:szCs w:val="20"/>
          <w:color w:val="auto"/>
        </w:rPr>
      </w:pPr>
    </w:p>
    <w:p>
      <w:pPr>
        <w:ind w:left="1020" w:right="4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State public utility commissions, which have jurisdiction over services and facilities, rates and charges, accounting, valuation of property, depreciation rates and various other matters;</w:t>
      </w:r>
    </w:p>
    <w:p>
      <w:pPr>
        <w:spacing w:after="0" w:line="48" w:lineRule="exact"/>
        <w:rPr>
          <w:rFonts w:ascii="Times New Roman" w:cs="Times New Roman" w:eastAsia="Times New Roman" w:hAnsi="Times New Roman"/>
          <w:sz w:val="16"/>
          <w:szCs w:val="16"/>
          <w:color w:val="auto"/>
        </w:rPr>
      </w:pPr>
    </w:p>
    <w:p>
      <w:pPr>
        <w:jc w:val="both"/>
        <w:ind w:left="1020" w:right="54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FERC, which oversees the acquisition and disposition of generation, transmission and other facilities, transmission of electricity and natural gas in interstate commerce, proposals to build and operate interstate natural gas pipelines and storage facilities, and wholesale purchases and sales of electric energy, among other things;</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NERC, which, through its regional entities, establishes and enforces mandatory reliability standards, subject to approval by the FERC, to ensure the reliability of the U.S. electric transmission and generation system and to prevent major system blackouts;</w:t>
      </w:r>
    </w:p>
    <w:p>
      <w:pPr>
        <w:spacing w:after="0" w:line="48" w:lineRule="exact"/>
        <w:rPr>
          <w:rFonts w:ascii="Times New Roman" w:cs="Times New Roman" w:eastAsia="Times New Roman" w:hAnsi="Times New Roman"/>
          <w:sz w:val="16"/>
          <w:szCs w:val="16"/>
          <w:color w:val="auto"/>
        </w:rPr>
      </w:pPr>
    </w:p>
    <w:p>
      <w:pPr>
        <w:ind w:left="1020" w:right="60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EPA, which has the responsibility to maintain and enforce national standards under a variety of environmental laws, in some cases delegating authority to state agencies. The EPA also works with industries and all levels of government, including federal and state governments, in a wide variety of voluntary pollution prevention programs and energy conservation efforts;</w:t>
      </w:r>
    </w:p>
    <w:p>
      <w:pPr>
        <w:spacing w:after="0" w:line="62"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TSA, which regulates certain activities related to the safety and security of natural gas pipelines. In May and July 2021 the TSA issued security directives that included several new cybersecurity requirements for critical pipeline owners and operators; and</w:t>
      </w:r>
    </w:p>
    <w:p>
      <w:pPr>
        <w:spacing w:after="0" w:line="48" w:lineRule="exact"/>
        <w:rPr>
          <w:rFonts w:ascii="Times New Roman" w:cs="Times New Roman" w:eastAsia="Times New Roman" w:hAnsi="Times New Roman"/>
          <w:sz w:val="16"/>
          <w:szCs w:val="16"/>
          <w:color w:val="auto"/>
        </w:rPr>
      </w:pPr>
    </w:p>
    <w:p>
      <w:pPr>
        <w:ind w:left="1020" w:right="60" w:hanging="503"/>
        <w:spacing w:after="0" w:line="259"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PHMSA, which is responsible for administering the federal regulatory program to help ensure the safe transportation of natural gas, petroleum and other hazardous materials by pipelines, including pipelines associated with natural gas storage, and develops regulations and other approaches to risk management to help ensure safety in design, construction, testing, operation, maintenance and emergency response of pipeline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Rates and Regulation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Utilities are subject to the jurisdiction of the public utility commissions in the states where they operate and the FERC for certain assets and transactions. These commissions oversee services and facilities, rates and charges, accounting, valuation of property, depreciation rates and various other matters.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regulatory provisions for recovering the costs of service vary by jurisdiction. Our Utilities have cost recovery mechanisms that allow us to pass the prudently-incurred cost of natural gas,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jurisdictions allow us to recover certain costs or earn a return on capital investments placed in service between base rate reviews through approved rider tariffs, such as energy efficiency plan costs and system safety and integrity investments. These tariffs allow the utility a return on the investment.</w:t>
      </w: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Percentage of</w:t>
            </w: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Rate of</w:t>
            </w: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jc w:val="center"/>
              <w:spacing w:after="0"/>
              <w:rPr>
                <w:sz w:val="20"/>
                <w:szCs w:val="20"/>
                <w:color w:val="auto"/>
              </w:rPr>
            </w:pPr>
            <w:r>
              <w:rPr>
                <w:rFonts w:ascii="Arial" w:cs="Arial" w:eastAsia="Arial" w:hAnsi="Arial"/>
                <w:sz w:val="14"/>
                <w:szCs w:val="14"/>
                <w:color w:val="auto"/>
              </w:rPr>
              <w:t>Capital</w:t>
            </w:r>
          </w:p>
        </w:tc>
        <w:tc>
          <w:tcPr>
            <w:tcW w:w="10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Power Marketing</w:t>
            </w: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Structure</w:t>
            </w:r>
          </w:p>
        </w:tc>
        <w:tc>
          <w:tcPr>
            <w:tcW w:w="1080" w:type="dxa"/>
            <w:vAlign w:val="bottom"/>
          </w:tcPr>
          <w:p>
            <w:pPr>
              <w:jc w:val="center"/>
              <w:spacing w:after="0"/>
              <w:rPr>
                <w:sz w:val="20"/>
                <w:szCs w:val="20"/>
                <w:color w:val="auto"/>
              </w:rPr>
            </w:pPr>
            <w:r>
              <w:rPr>
                <w:rFonts w:ascii="Arial" w:cs="Arial" w:eastAsia="Arial" w:hAnsi="Arial"/>
                <w:sz w:val="14"/>
                <w:szCs w:val="14"/>
                <w:color w:val="auto"/>
              </w:rPr>
              <w:t>Rate Base (in</w:t>
            </w:r>
          </w:p>
        </w:tc>
        <w:tc>
          <w:tcPr>
            <w:tcW w:w="76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120" w:type="dxa"/>
            <w:vAlign w:val="bottom"/>
          </w:tcPr>
          <w:p>
            <w:pPr>
              <w:jc w:val="center"/>
              <w:spacing w:after="0"/>
              <w:rPr>
                <w:sz w:val="20"/>
                <w:szCs w:val="20"/>
                <w:color w:val="auto"/>
              </w:rPr>
            </w:pPr>
            <w:r>
              <w:rPr>
                <w:rFonts w:ascii="Arial" w:cs="Arial" w:eastAsia="Arial" w:hAnsi="Arial"/>
                <w:sz w:val="14"/>
                <w:szCs w:val="14"/>
                <w:color w:val="auto"/>
              </w:rPr>
              <w:t>Additional Regulatory</w:t>
            </w:r>
          </w:p>
        </w:tc>
        <w:tc>
          <w:tcPr>
            <w:tcW w:w="1360" w:type="dxa"/>
            <w:vAlign w:val="bottom"/>
          </w:tcPr>
          <w:p>
            <w:pPr>
              <w:jc w:val="center"/>
              <w:spacing w:after="0"/>
              <w:rPr>
                <w:sz w:val="20"/>
                <w:szCs w:val="20"/>
                <w:color w:val="auto"/>
              </w:rPr>
            </w:pPr>
            <w:r>
              <w:rPr>
                <w:rFonts w:ascii="Arial" w:cs="Arial" w:eastAsia="Arial" w:hAnsi="Arial"/>
                <w:sz w:val="14"/>
                <w:szCs w:val="14"/>
                <w:color w:val="auto"/>
              </w:rPr>
              <w:t>Profit Shared with</w:t>
            </w:r>
          </w:p>
        </w:tc>
      </w:tr>
      <w:tr>
        <w:trPr>
          <w:trHeight w:val="185"/>
        </w:trPr>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Subsidiary</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Jurisdiction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Rate 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Mechanisms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r>
      <w:tr>
        <w:trPr>
          <w:trHeight w:val="169"/>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3"/>
        </w:trPr>
        <w:tc>
          <w:tcPr>
            <w:tcW w:w="1700" w:type="dxa"/>
            <w:vAlign w:val="bottom"/>
            <w:shd w:val="clear" w:color="auto" w:fill="CFF0FC"/>
          </w:tcPr>
          <w:p>
            <w:pPr>
              <w:ind w:left="20"/>
              <w:spacing w:after="0" w:line="153" w:lineRule="exact"/>
              <w:rPr>
                <w:sz w:val="20"/>
                <w:szCs w:val="20"/>
                <w:color w:val="auto"/>
              </w:rPr>
            </w:pPr>
            <w:r>
              <w:rPr>
                <w:rFonts w:ascii="Arial" w:cs="Arial" w:eastAsia="Arial" w:hAnsi="Arial"/>
                <w:sz w:val="13"/>
                <w:szCs w:val="13"/>
                <w:color w:val="auto"/>
              </w:rPr>
              <w:t xml:space="preserve">Colorado Electric </w:t>
            </w:r>
            <w:r>
              <w:rPr>
                <w:rFonts w:ascii="Arial" w:cs="Arial" w:eastAsia="Arial" w:hAnsi="Arial"/>
                <w:sz w:val="17"/>
                <w:szCs w:val="17"/>
                <w:color w:val="auto"/>
                <w:vertAlign w:val="superscript"/>
              </w:rPr>
              <w:t>(a)</w:t>
            </w:r>
          </w:p>
        </w:tc>
        <w:tc>
          <w:tcPr>
            <w:tcW w:w="1140" w:type="dxa"/>
            <w:vAlign w:val="bottom"/>
            <w:shd w:val="clear" w:color="auto" w:fill="CFF0FC"/>
          </w:tcPr>
          <w:p>
            <w:pPr>
              <w:jc w:val="center"/>
              <w:ind w:left="48"/>
              <w:spacing w:after="0" w:line="153" w:lineRule="exact"/>
              <w:rPr>
                <w:sz w:val="20"/>
                <w:szCs w:val="20"/>
                <w:color w:val="auto"/>
              </w:rPr>
            </w:pPr>
            <w:r>
              <w:rPr>
                <w:rFonts w:ascii="Arial" w:cs="Arial" w:eastAsia="Arial" w:hAnsi="Arial"/>
                <w:sz w:val="14"/>
                <w:szCs w:val="14"/>
                <w:color w:val="auto"/>
              </w:rPr>
              <w:t>CO</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9.37%</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7.43%</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$539.6</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1/2017</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TCA, PCCA,</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90%</w:t>
            </w:r>
          </w:p>
        </w:tc>
      </w:tr>
      <w:tr>
        <w:trPr>
          <w:trHeight w:val="185"/>
        </w:trPr>
        <w:tc>
          <w:tcPr>
            <w:tcW w:w="17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EECR/DSM, RESA</w:t>
            </w:r>
          </w:p>
        </w:tc>
        <w:tc>
          <w:tcPr>
            <w:tcW w:w="1360" w:type="dxa"/>
            <w:vAlign w:val="bottom"/>
            <w:shd w:val="clear" w:color="auto" w:fill="CFF0FC"/>
          </w:tcPr>
          <w:p>
            <w:pPr>
              <w:spacing w:after="0"/>
              <w:rPr>
                <w:sz w:val="16"/>
                <w:szCs w:val="16"/>
                <w:color w:val="auto"/>
              </w:rPr>
            </w:pPr>
          </w:p>
        </w:tc>
      </w:tr>
      <w:tr>
        <w:trPr>
          <w:trHeight w:val="176"/>
        </w:trPr>
        <w:tc>
          <w:tcPr>
            <w:tcW w:w="1700" w:type="dxa"/>
            <w:vAlign w:val="bottom"/>
          </w:tcPr>
          <w:p>
            <w:pPr>
              <w:spacing w:after="0"/>
              <w:rPr>
                <w:sz w:val="15"/>
                <w:szCs w:val="15"/>
                <w:color w:val="auto"/>
              </w:rPr>
            </w:pP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CO</w:t>
            </w:r>
          </w:p>
        </w:tc>
        <w:tc>
          <w:tcPr>
            <w:tcW w:w="1000" w:type="dxa"/>
            <w:vAlign w:val="bottom"/>
          </w:tcPr>
          <w:p>
            <w:pPr>
              <w:jc w:val="center"/>
              <w:spacing w:after="0"/>
              <w:rPr>
                <w:sz w:val="20"/>
                <w:szCs w:val="20"/>
                <w:color w:val="auto"/>
              </w:rPr>
            </w:pPr>
            <w:r>
              <w:rPr>
                <w:rFonts w:ascii="Arial" w:cs="Arial" w:eastAsia="Arial" w:hAnsi="Arial"/>
                <w:sz w:val="14"/>
                <w:szCs w:val="14"/>
                <w:color w:val="auto"/>
              </w:rPr>
              <w:t>9.37%</w:t>
            </w:r>
          </w:p>
        </w:tc>
        <w:tc>
          <w:tcPr>
            <w:tcW w:w="1040" w:type="dxa"/>
            <w:vAlign w:val="bottom"/>
          </w:tcPr>
          <w:p>
            <w:pPr>
              <w:jc w:val="center"/>
              <w:spacing w:after="0"/>
              <w:rPr>
                <w:sz w:val="20"/>
                <w:szCs w:val="20"/>
                <w:color w:val="auto"/>
              </w:rPr>
            </w:pPr>
            <w:r>
              <w:rPr>
                <w:rFonts w:ascii="Arial" w:cs="Arial" w:eastAsia="Arial" w:hAnsi="Arial"/>
                <w:sz w:val="14"/>
                <w:szCs w:val="14"/>
                <w:color w:val="auto"/>
              </w:rPr>
              <w:t>6.02%</w:t>
            </w:r>
          </w:p>
        </w:tc>
        <w:tc>
          <w:tcPr>
            <w:tcW w:w="1040" w:type="dxa"/>
            <w:vAlign w:val="bottom"/>
          </w:tcPr>
          <w:p>
            <w:pPr>
              <w:jc w:val="center"/>
              <w:spacing w:after="0"/>
              <w:rPr>
                <w:sz w:val="20"/>
                <w:szCs w:val="20"/>
                <w:color w:val="auto"/>
              </w:rPr>
            </w:pPr>
            <w:r>
              <w:rPr>
                <w:rFonts w:ascii="Arial" w:cs="Arial" w:eastAsia="Arial" w:hAnsi="Arial"/>
                <w:sz w:val="14"/>
                <w:szCs w:val="14"/>
                <w:color w:val="auto"/>
              </w:rPr>
              <w:t>67%/33%</w:t>
            </w:r>
          </w:p>
        </w:tc>
        <w:tc>
          <w:tcPr>
            <w:tcW w:w="1080" w:type="dxa"/>
            <w:vAlign w:val="bottom"/>
          </w:tcPr>
          <w:p>
            <w:pPr>
              <w:jc w:val="center"/>
              <w:spacing w:after="0"/>
              <w:rPr>
                <w:sz w:val="20"/>
                <w:szCs w:val="20"/>
                <w:color w:val="auto"/>
              </w:rPr>
            </w:pPr>
            <w:r>
              <w:rPr>
                <w:rFonts w:ascii="Arial" w:cs="Arial" w:eastAsia="Arial" w:hAnsi="Arial"/>
                <w:sz w:val="14"/>
                <w:szCs w:val="14"/>
                <w:color w:val="auto"/>
              </w:rPr>
              <w:t>$57.9</w:t>
            </w:r>
          </w:p>
        </w:tc>
        <w:tc>
          <w:tcPr>
            <w:tcW w:w="760" w:type="dxa"/>
            <w:vAlign w:val="bottom"/>
          </w:tcPr>
          <w:p>
            <w:pPr>
              <w:jc w:val="center"/>
              <w:spacing w:after="0"/>
              <w:rPr>
                <w:sz w:val="20"/>
                <w:szCs w:val="20"/>
                <w:color w:val="auto"/>
              </w:rPr>
            </w:pPr>
            <w:r>
              <w:rPr>
                <w:rFonts w:ascii="Arial" w:cs="Arial" w:eastAsia="Arial" w:hAnsi="Arial"/>
                <w:sz w:val="14"/>
                <w:szCs w:val="14"/>
                <w:color w:val="auto"/>
              </w:rPr>
              <w:t>1/2017</w:t>
            </w:r>
          </w:p>
        </w:tc>
        <w:tc>
          <w:tcPr>
            <w:tcW w:w="2120" w:type="dxa"/>
            <w:vAlign w:val="bottom"/>
          </w:tcPr>
          <w:p>
            <w:pPr>
              <w:jc w:val="center"/>
              <w:spacing w:after="0"/>
              <w:rPr>
                <w:sz w:val="20"/>
                <w:szCs w:val="20"/>
                <w:color w:val="auto"/>
              </w:rPr>
            </w:pPr>
            <w:r>
              <w:rPr>
                <w:rFonts w:ascii="Arial" w:cs="Arial" w:eastAsia="Arial" w:hAnsi="Arial"/>
                <w:sz w:val="14"/>
                <w:szCs w:val="14"/>
                <w:color w:val="auto"/>
              </w:rPr>
              <w:t>CACJA Adjustment Rider</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175"/>
        </w:trPr>
        <w:tc>
          <w:tcPr>
            <w:tcW w:w="1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 Dakota Electric</w:t>
            </w:r>
          </w:p>
        </w:tc>
        <w:tc>
          <w:tcPr>
            <w:tcW w:w="114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WY</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9.90%</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8.13%</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47%/53%</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$46.8</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10/2014</w:t>
            </w: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ECA</w:t>
            </w: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65%</w:t>
            </w:r>
          </w:p>
        </w:tc>
      </w:tr>
      <w:tr>
        <w:trPr>
          <w:trHeight w:val="153"/>
        </w:trPr>
        <w:tc>
          <w:tcPr>
            <w:tcW w:w="1700" w:type="dxa"/>
            <w:vAlign w:val="bottom"/>
          </w:tcPr>
          <w:p>
            <w:pPr>
              <w:spacing w:after="0"/>
              <w:rPr>
                <w:sz w:val="13"/>
                <w:szCs w:val="13"/>
                <w:color w:val="auto"/>
              </w:rPr>
            </w:pPr>
          </w:p>
        </w:tc>
        <w:tc>
          <w:tcPr>
            <w:tcW w:w="1140" w:type="dxa"/>
            <w:vAlign w:val="bottom"/>
          </w:tcPr>
          <w:p>
            <w:pPr>
              <w:jc w:val="center"/>
              <w:ind w:left="28"/>
              <w:spacing w:after="0" w:line="153" w:lineRule="exact"/>
              <w:rPr>
                <w:sz w:val="20"/>
                <w:szCs w:val="20"/>
                <w:color w:val="auto"/>
              </w:rPr>
            </w:pPr>
            <w:r>
              <w:rPr>
                <w:rFonts w:ascii="Arial" w:cs="Arial" w:eastAsia="Arial" w:hAnsi="Arial"/>
                <w:sz w:val="14"/>
                <w:szCs w:val="14"/>
                <w:color w:val="auto"/>
              </w:rPr>
              <w:t>SD</w:t>
            </w:r>
          </w:p>
        </w:tc>
        <w:tc>
          <w:tcPr>
            <w:tcW w:w="1000" w:type="dxa"/>
            <w:vAlign w:val="bottom"/>
          </w:tcPr>
          <w:p>
            <w:pPr>
              <w:jc w:val="center"/>
              <w:spacing w:after="0" w:line="153" w:lineRule="exact"/>
              <w:rPr>
                <w:sz w:val="20"/>
                <w:szCs w:val="20"/>
                <w:color w:val="auto"/>
              </w:rPr>
            </w:pPr>
            <w:r>
              <w:rPr>
                <w:rFonts w:ascii="Arial" w:cs="Arial" w:eastAsia="Arial" w:hAnsi="Arial"/>
                <w:sz w:val="14"/>
                <w:szCs w:val="14"/>
                <w:color w:val="auto"/>
              </w:rPr>
              <w:t>Global</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7.76%</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w w:val="98"/>
              </w:rPr>
              <w:t>Global</w:t>
            </w:r>
          </w:p>
        </w:tc>
        <w:tc>
          <w:tcPr>
            <w:tcW w:w="1080" w:type="dxa"/>
            <w:vAlign w:val="bottom"/>
          </w:tcPr>
          <w:p>
            <w:pPr>
              <w:jc w:val="center"/>
              <w:spacing w:after="0" w:line="153" w:lineRule="exact"/>
              <w:rPr>
                <w:sz w:val="20"/>
                <w:szCs w:val="20"/>
                <w:color w:val="auto"/>
              </w:rPr>
            </w:pPr>
            <w:r>
              <w:rPr>
                <w:rFonts w:ascii="Arial" w:cs="Arial" w:eastAsia="Arial" w:hAnsi="Arial"/>
                <w:sz w:val="14"/>
                <w:szCs w:val="14"/>
                <w:color w:val="auto"/>
              </w:rPr>
              <w:t>$543.9</w:t>
            </w:r>
          </w:p>
        </w:tc>
        <w:tc>
          <w:tcPr>
            <w:tcW w:w="760" w:type="dxa"/>
            <w:vAlign w:val="bottom"/>
          </w:tcPr>
          <w:p>
            <w:pPr>
              <w:jc w:val="center"/>
              <w:spacing w:after="0" w:line="153" w:lineRule="exact"/>
              <w:rPr>
                <w:sz w:val="20"/>
                <w:szCs w:val="20"/>
                <w:color w:val="auto"/>
              </w:rPr>
            </w:pPr>
            <w:r>
              <w:rPr>
                <w:rFonts w:ascii="Arial" w:cs="Arial" w:eastAsia="Arial" w:hAnsi="Arial"/>
                <w:sz w:val="14"/>
                <w:szCs w:val="14"/>
                <w:color w:val="auto"/>
              </w:rPr>
              <w:t>10/2014</w:t>
            </w:r>
          </w:p>
        </w:tc>
        <w:tc>
          <w:tcPr>
            <w:tcW w:w="2120" w:type="dxa"/>
            <w:vAlign w:val="bottom"/>
          </w:tcPr>
          <w:p>
            <w:pPr>
              <w:jc w:val="center"/>
              <w:spacing w:after="0" w:line="153" w:lineRule="exact"/>
              <w:rPr>
                <w:sz w:val="20"/>
                <w:szCs w:val="20"/>
                <w:color w:val="auto"/>
              </w:rPr>
            </w:pPr>
            <w:r>
              <w:rPr>
                <w:rFonts w:ascii="Arial" w:cs="Arial" w:eastAsia="Arial" w:hAnsi="Arial"/>
                <w:sz w:val="14"/>
                <w:szCs w:val="14"/>
                <w:color w:val="auto"/>
              </w:rPr>
              <w:t>ECA, TFA, EIA</w:t>
            </w:r>
          </w:p>
        </w:tc>
        <w:tc>
          <w:tcPr>
            <w:tcW w:w="1360" w:type="dxa"/>
            <w:vAlign w:val="bottom"/>
          </w:tcPr>
          <w:p>
            <w:pPr>
              <w:jc w:val="center"/>
              <w:spacing w:after="0" w:line="153" w:lineRule="exact"/>
              <w:rPr>
                <w:sz w:val="20"/>
                <w:szCs w:val="20"/>
                <w:color w:val="auto"/>
              </w:rPr>
            </w:pPr>
            <w:r>
              <w:rPr>
                <w:rFonts w:ascii="Arial" w:cs="Arial" w:eastAsia="Arial" w:hAnsi="Arial"/>
                <w:sz w:val="14"/>
                <w:szCs w:val="14"/>
                <w:color w:val="auto"/>
              </w:rPr>
              <w:t>70%</w:t>
            </w:r>
          </w:p>
        </w:tc>
      </w:tr>
      <w:tr>
        <w:trPr>
          <w:trHeight w:val="185"/>
        </w:trPr>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Settlement</w:t>
            </w:r>
          </w:p>
        </w:tc>
        <w:tc>
          <w:tcPr>
            <w:tcW w:w="10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Settlement</w:t>
            </w: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76"/>
        </w:trPr>
        <w:tc>
          <w:tcPr>
            <w:tcW w:w="1700" w:type="dxa"/>
            <w:vAlign w:val="bottom"/>
            <w:shd w:val="clear" w:color="auto" w:fill="CFF0FC"/>
          </w:tcPr>
          <w:p>
            <w:pPr>
              <w:spacing w:after="0"/>
              <w:rPr>
                <w:sz w:val="15"/>
                <w:szCs w:val="15"/>
                <w:color w:val="auto"/>
              </w:rPr>
            </w:pPr>
          </w:p>
        </w:tc>
        <w:tc>
          <w:tcPr>
            <w:tcW w:w="114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FERC</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10.80%</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8.76%</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43%/57%</w:t>
            </w:r>
          </w:p>
        </w:tc>
        <w:tc>
          <w:tcPr>
            <w:tcW w:w="1080" w:type="dxa"/>
            <w:vAlign w:val="bottom"/>
            <w:shd w:val="clear" w:color="auto" w:fill="CFF0FC"/>
          </w:tcPr>
          <w:p>
            <w:pPr>
              <w:ind w:left="340"/>
              <w:spacing w:after="0" w:line="175" w:lineRule="exact"/>
              <w:rPr>
                <w:sz w:val="20"/>
                <w:szCs w:val="20"/>
                <w:color w:val="auto"/>
              </w:rPr>
            </w:pPr>
            <w:r>
              <w:rPr>
                <w:rFonts w:ascii="Arial" w:cs="Arial" w:eastAsia="Arial" w:hAnsi="Arial"/>
                <w:sz w:val="14"/>
                <w:szCs w:val="14"/>
                <w:color w:val="auto"/>
              </w:rPr>
              <w:t xml:space="preserve">$177.8 </w:t>
            </w:r>
            <w:r>
              <w:rPr>
                <w:rFonts w:ascii="Arial" w:cs="Arial" w:eastAsia="Arial" w:hAnsi="Arial"/>
                <w:sz w:val="19"/>
                <w:szCs w:val="19"/>
                <w:color w:val="auto"/>
                <w:vertAlign w:val="superscript"/>
              </w:rPr>
              <w:t>(b)</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2/2009</w:t>
            </w: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53"/>
        </w:trPr>
        <w:tc>
          <w:tcPr>
            <w:tcW w:w="1700" w:type="dxa"/>
            <w:vAlign w:val="bottom"/>
          </w:tcPr>
          <w:p>
            <w:pPr>
              <w:ind w:left="20"/>
              <w:spacing w:after="0" w:line="153" w:lineRule="exact"/>
              <w:rPr>
                <w:sz w:val="20"/>
                <w:szCs w:val="20"/>
                <w:color w:val="auto"/>
              </w:rPr>
            </w:pPr>
            <w:r>
              <w:rPr>
                <w:rFonts w:ascii="Arial" w:cs="Arial" w:eastAsia="Arial" w:hAnsi="Arial"/>
                <w:sz w:val="13"/>
                <w:szCs w:val="13"/>
                <w:color w:val="auto"/>
              </w:rPr>
              <w:t xml:space="preserve">Wyoming Electric </w:t>
            </w:r>
            <w:r>
              <w:rPr>
                <w:rFonts w:ascii="Arial" w:cs="Arial" w:eastAsia="Arial" w:hAnsi="Arial"/>
                <w:sz w:val="17"/>
                <w:szCs w:val="17"/>
                <w:color w:val="auto"/>
                <w:vertAlign w:val="superscript"/>
              </w:rPr>
              <w:t>(a) (c)</w:t>
            </w:r>
          </w:p>
        </w:tc>
        <w:tc>
          <w:tcPr>
            <w:tcW w:w="1140" w:type="dxa"/>
            <w:vAlign w:val="bottom"/>
          </w:tcPr>
          <w:p>
            <w:pPr>
              <w:jc w:val="center"/>
              <w:ind w:left="28"/>
              <w:spacing w:after="0" w:line="153" w:lineRule="exact"/>
              <w:rPr>
                <w:sz w:val="20"/>
                <w:szCs w:val="20"/>
                <w:color w:val="auto"/>
              </w:rPr>
            </w:pPr>
            <w:r>
              <w:rPr>
                <w:rFonts w:ascii="Arial" w:cs="Arial" w:eastAsia="Arial" w:hAnsi="Arial"/>
                <w:sz w:val="14"/>
                <w:szCs w:val="14"/>
                <w:color w:val="auto"/>
              </w:rPr>
              <w:t>WY</w:t>
            </w:r>
          </w:p>
        </w:tc>
        <w:tc>
          <w:tcPr>
            <w:tcW w:w="1000" w:type="dxa"/>
            <w:vAlign w:val="bottom"/>
          </w:tcPr>
          <w:p>
            <w:pPr>
              <w:jc w:val="center"/>
              <w:spacing w:after="0" w:line="153" w:lineRule="exact"/>
              <w:rPr>
                <w:sz w:val="20"/>
                <w:szCs w:val="20"/>
                <w:color w:val="auto"/>
              </w:rPr>
            </w:pPr>
            <w:r>
              <w:rPr>
                <w:rFonts w:ascii="Arial" w:cs="Arial" w:eastAsia="Arial" w:hAnsi="Arial"/>
                <w:sz w:val="14"/>
                <w:szCs w:val="14"/>
                <w:color w:val="auto"/>
              </w:rPr>
              <w:t>9.75%</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7.48%</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tcPr>
          <w:p>
            <w:pPr>
              <w:ind w:left="360"/>
              <w:spacing w:after="0" w:line="153" w:lineRule="exact"/>
              <w:rPr>
                <w:sz w:val="20"/>
                <w:szCs w:val="20"/>
                <w:color w:val="auto"/>
              </w:rPr>
            </w:pPr>
            <w:r>
              <w:rPr>
                <w:rFonts w:ascii="Arial" w:cs="Arial" w:eastAsia="Arial" w:hAnsi="Arial"/>
                <w:sz w:val="14"/>
                <w:szCs w:val="14"/>
                <w:color w:val="auto"/>
              </w:rPr>
              <w:t>$506.4</w:t>
            </w:r>
          </w:p>
        </w:tc>
        <w:tc>
          <w:tcPr>
            <w:tcW w:w="760" w:type="dxa"/>
            <w:vAlign w:val="bottom"/>
          </w:tcPr>
          <w:p>
            <w:pPr>
              <w:jc w:val="center"/>
              <w:spacing w:after="0" w:line="153" w:lineRule="exact"/>
              <w:rPr>
                <w:sz w:val="20"/>
                <w:szCs w:val="20"/>
                <w:color w:val="auto"/>
              </w:rPr>
            </w:pPr>
            <w:r>
              <w:rPr>
                <w:rFonts w:ascii="Arial" w:cs="Arial" w:eastAsia="Arial" w:hAnsi="Arial"/>
                <w:sz w:val="14"/>
                <w:szCs w:val="14"/>
                <w:color w:val="auto"/>
              </w:rPr>
              <w:t>3/2023</w:t>
            </w:r>
          </w:p>
        </w:tc>
        <w:tc>
          <w:tcPr>
            <w:tcW w:w="2120" w:type="dxa"/>
            <w:vAlign w:val="bottom"/>
          </w:tcPr>
          <w:p>
            <w:pPr>
              <w:jc w:val="center"/>
              <w:spacing w:after="0" w:line="153" w:lineRule="exact"/>
              <w:rPr>
                <w:sz w:val="20"/>
                <w:szCs w:val="20"/>
                <w:color w:val="auto"/>
              </w:rPr>
            </w:pPr>
            <w:r>
              <w:rPr>
                <w:rFonts w:ascii="Arial" w:cs="Arial" w:eastAsia="Arial" w:hAnsi="Arial"/>
                <w:sz w:val="14"/>
                <w:szCs w:val="14"/>
                <w:color w:val="auto"/>
              </w:rPr>
              <w:t>PCA, EECR/DSM, Rate Base</w:t>
            </w:r>
          </w:p>
        </w:tc>
        <w:tc>
          <w:tcPr>
            <w:tcW w:w="136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Recovery on Acquisition</w:t>
            </w:r>
          </w:p>
        </w:tc>
        <w:tc>
          <w:tcPr>
            <w:tcW w:w="1360" w:type="dxa"/>
            <w:vAlign w:val="bottom"/>
          </w:tcPr>
          <w:p>
            <w:pPr>
              <w:spacing w:after="0"/>
              <w:rPr>
                <w:sz w:val="14"/>
                <w:szCs w:val="14"/>
                <w:color w:val="auto"/>
              </w:rPr>
            </w:pPr>
          </w:p>
        </w:tc>
      </w:tr>
      <w:tr>
        <w:trPr>
          <w:trHeight w:val="187"/>
        </w:trPr>
        <w:tc>
          <w:tcPr>
            <w:tcW w:w="1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auto"/>
              </w:rPr>
              <w:t>Adjustment, TCAM</w:t>
            </w:r>
          </w:p>
        </w:tc>
        <w:tc>
          <w:tcPr>
            <w:tcW w:w="136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48" w:lineRule="exact"/>
        <w:rPr>
          <w:sz w:val="20"/>
          <w:szCs w:val="20"/>
          <w:color w:val="auto"/>
        </w:rPr>
      </w:pPr>
    </w:p>
    <w:p>
      <w:pPr>
        <w:ind w:left="520" w:right="660" w:hanging="512"/>
        <w:spacing w:after="0" w:line="25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both Colorado Electric and Wyoming Electric, transmission investments are recovered through retail rates rather than FERC Transmission Tariffs. Effective September 1, 2022, a formulaic approach determines the revenue component of Colorado Electric's open access transmission tariff.</w:t>
      </w:r>
    </w:p>
    <w:p>
      <w:pPr>
        <w:spacing w:after="0" w:line="1" w:lineRule="exact"/>
        <w:rPr>
          <w:rFonts w:ascii="Arial" w:cs="Arial" w:eastAsia="Arial" w:hAnsi="Arial"/>
          <w:sz w:val="14"/>
          <w:szCs w:val="14"/>
          <w:color w:val="auto"/>
        </w:rPr>
      </w:pPr>
    </w:p>
    <w:p>
      <w:pPr>
        <w:ind w:left="520" w:right="480" w:hanging="512"/>
        <w:spacing w:after="0" w:line="24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$160.7 million in 2022 rate base for the 2022 Projected Common Use System formula rate that is updated annually and $17.1 million in rate base for the Transmission Tie that is based on the approved stated rate from 2005.</w:t>
      </w:r>
    </w:p>
    <w:p>
      <w:pPr>
        <w:ind w:left="520" w:hanging="51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-10160</wp:posOffset>
            </wp:positionV>
            <wp:extent cx="269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rPr>
              <w:t>Cost Recovery Mechanisms</w:t>
            </w: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46"/>
        </w:trPr>
        <w:tc>
          <w:tcPr>
            <w:tcW w:w="2940" w:type="dxa"/>
            <w:vAlign w:val="bottom"/>
          </w:tcPr>
          <w:p>
            <w:pPr>
              <w:spacing w:after="0"/>
              <w:rPr>
                <w:sz w:val="12"/>
                <w:szCs w:val="12"/>
                <w:color w:val="auto"/>
              </w:rPr>
            </w:pPr>
          </w:p>
        </w:tc>
        <w:tc>
          <w:tcPr>
            <w:tcW w:w="1340" w:type="dxa"/>
            <w:vAlign w:val="bottom"/>
          </w:tcPr>
          <w:p>
            <w:pPr>
              <w:jc w:val="center"/>
              <w:ind w:right="28"/>
              <w:spacing w:after="0" w:line="147" w:lineRule="exact"/>
              <w:rPr>
                <w:sz w:val="20"/>
                <w:szCs w:val="20"/>
                <w:color w:val="auto"/>
              </w:rPr>
            </w:pPr>
            <w:r>
              <w:rPr>
                <w:rFonts w:ascii="Arial" w:cs="Arial" w:eastAsia="Arial" w:hAnsi="Arial"/>
                <w:sz w:val="14"/>
                <w:szCs w:val="14"/>
                <w:color w:val="auto"/>
              </w:rPr>
              <w:t>Environmental</w:t>
            </w:r>
          </w:p>
        </w:tc>
        <w:tc>
          <w:tcPr>
            <w:tcW w:w="1320" w:type="dxa"/>
            <w:vAlign w:val="bottom"/>
          </w:tcPr>
          <w:p>
            <w:pPr>
              <w:spacing w:after="0"/>
              <w:rPr>
                <w:sz w:val="12"/>
                <w:szCs w:val="12"/>
                <w:color w:val="auto"/>
              </w:rPr>
            </w:pPr>
          </w:p>
        </w:tc>
        <w:tc>
          <w:tcPr>
            <w:tcW w:w="1500" w:type="dxa"/>
            <w:vAlign w:val="bottom"/>
          </w:tcPr>
          <w:p>
            <w:pPr>
              <w:jc w:val="center"/>
              <w:spacing w:after="0" w:line="147" w:lineRule="exact"/>
              <w:rPr>
                <w:sz w:val="20"/>
                <w:szCs w:val="20"/>
                <w:color w:val="auto"/>
              </w:rPr>
            </w:pPr>
            <w:r>
              <w:rPr>
                <w:rFonts w:ascii="Arial" w:cs="Arial" w:eastAsia="Arial" w:hAnsi="Arial"/>
                <w:sz w:val="14"/>
                <w:szCs w:val="14"/>
                <w:color w:val="auto"/>
              </w:rPr>
              <w:t>Transmission</w:t>
            </w:r>
          </w:p>
        </w:tc>
        <w:tc>
          <w:tcPr>
            <w:tcW w:w="1040" w:type="dxa"/>
            <w:vAlign w:val="bottom"/>
          </w:tcPr>
          <w:p>
            <w:pPr>
              <w:jc w:val="center"/>
              <w:ind w:right="8"/>
              <w:spacing w:after="0" w:line="147" w:lineRule="exact"/>
              <w:rPr>
                <w:sz w:val="20"/>
                <w:szCs w:val="20"/>
                <w:color w:val="auto"/>
              </w:rPr>
            </w:pPr>
            <w:r>
              <w:rPr>
                <w:rFonts w:ascii="Arial" w:cs="Arial" w:eastAsia="Arial" w:hAnsi="Arial"/>
                <w:sz w:val="14"/>
                <w:szCs w:val="14"/>
                <w:color w:val="auto"/>
              </w:rPr>
              <w:t>Fuel</w:t>
            </w:r>
          </w:p>
        </w:tc>
        <w:tc>
          <w:tcPr>
            <w:tcW w:w="1180" w:type="dxa"/>
            <w:vAlign w:val="bottom"/>
          </w:tcPr>
          <w:p>
            <w:pPr>
              <w:jc w:val="center"/>
              <w:spacing w:after="0" w:line="147" w:lineRule="exact"/>
              <w:rPr>
                <w:sz w:val="20"/>
                <w:szCs w:val="20"/>
                <w:color w:val="auto"/>
              </w:rPr>
            </w:pPr>
            <w:r>
              <w:rPr>
                <w:rFonts w:ascii="Arial" w:cs="Arial" w:eastAsia="Arial" w:hAnsi="Arial"/>
                <w:sz w:val="14"/>
                <w:szCs w:val="14"/>
                <w:color w:val="auto"/>
              </w:rPr>
              <w:t>Transmission</w:t>
            </w:r>
          </w:p>
        </w:tc>
        <w:tc>
          <w:tcPr>
            <w:tcW w:w="1080" w:type="dxa"/>
            <w:vAlign w:val="bottom"/>
          </w:tcPr>
          <w:p>
            <w:pPr>
              <w:jc w:val="center"/>
              <w:spacing w:after="0" w:line="147" w:lineRule="exact"/>
              <w:rPr>
                <w:sz w:val="20"/>
                <w:szCs w:val="20"/>
                <w:color w:val="auto"/>
              </w:rPr>
            </w:pPr>
            <w:r>
              <w:rPr>
                <w:rFonts w:ascii="Arial" w:cs="Arial" w:eastAsia="Arial" w:hAnsi="Arial"/>
                <w:sz w:val="14"/>
                <w:szCs w:val="14"/>
                <w:color w:val="auto"/>
              </w:rPr>
              <w:t>Purchased</w:t>
            </w:r>
          </w:p>
        </w:tc>
        <w:tc>
          <w:tcPr>
            <w:tcW w:w="840" w:type="dxa"/>
            <w:vAlign w:val="bottom"/>
          </w:tcPr>
          <w:p>
            <w:pPr>
              <w:spacing w:after="0"/>
              <w:rPr>
                <w:sz w:val="12"/>
                <w:szCs w:val="12"/>
                <w:color w:val="auto"/>
              </w:rPr>
            </w:pPr>
          </w:p>
        </w:tc>
      </w:tr>
      <w:tr>
        <w:trPr>
          <w:trHeight w:val="18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Electric Utility Jurisdiction</w:t>
            </w: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7"/>
              </w:rPr>
              <w:t>Cost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EECR/DSM</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0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7"/>
              </w:rPr>
              <w:t>Cost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Capital</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Power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RESA</w:t>
            </w:r>
          </w:p>
        </w:tc>
      </w:tr>
      <w:tr>
        <w:trPr>
          <w:trHeight w:val="183"/>
        </w:trPr>
        <w:tc>
          <w:tcPr>
            <w:tcW w:w="2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Colorado Electric</w:t>
            </w:r>
          </w:p>
        </w:tc>
        <w:tc>
          <w:tcPr>
            <w:tcW w:w="1340" w:type="dxa"/>
            <w:vAlign w:val="bottom"/>
            <w:shd w:val="clear" w:color="auto" w:fill="CFF0FC"/>
          </w:tcPr>
          <w:p>
            <w:pPr>
              <w:spacing w:after="0"/>
              <w:rPr>
                <w:sz w:val="15"/>
                <w:szCs w:val="15"/>
                <w:color w:val="auto"/>
              </w:rPr>
            </w:pPr>
          </w:p>
        </w:tc>
        <w:tc>
          <w:tcPr>
            <w:tcW w:w="132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shd w:val="clear" w:color="auto" w:fill="CFF0FC"/>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4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South Dakota Electric (SD) </w:t>
            </w:r>
            <w:r>
              <w:rPr>
                <w:rFonts w:ascii="Arial" w:cs="Arial" w:eastAsia="Arial" w:hAnsi="Arial"/>
                <w:sz w:val="19"/>
                <w:szCs w:val="19"/>
                <w:color w:val="auto"/>
                <w:vertAlign w:val="superscript"/>
              </w:rPr>
              <w:t>(a)</w:t>
            </w:r>
          </w:p>
        </w:tc>
        <w:tc>
          <w:tcPr>
            <w:tcW w:w="134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1320" w:type="dxa"/>
            <w:vAlign w:val="bottom"/>
          </w:tcPr>
          <w:p>
            <w:pPr>
              <w:spacing w:after="0"/>
              <w:rPr>
                <w:sz w:val="16"/>
                <w:szCs w:val="16"/>
                <w:color w:val="auto"/>
              </w:rPr>
            </w:pPr>
          </w:p>
        </w:tc>
        <w:tc>
          <w:tcPr>
            <w:tcW w:w="1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4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South Dakota Electric (WY) </w:t>
            </w:r>
            <w:r>
              <w:rPr>
                <w:rFonts w:ascii="Arial" w:cs="Arial" w:eastAsia="Arial" w:hAnsi="Arial"/>
                <w:sz w:val="19"/>
                <w:szCs w:val="19"/>
                <w:color w:val="auto"/>
                <w:vertAlign w:val="superscript"/>
              </w:rPr>
              <w:t>(b)</w:t>
            </w:r>
          </w:p>
        </w:tc>
        <w:tc>
          <w:tcPr>
            <w:tcW w:w="134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shd w:val="clear" w:color="auto" w:fill="CFF0FC"/>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shd w:val="clear" w:color="auto" w:fill="CFF0FC"/>
          </w:tcPr>
          <w:p>
            <w:pPr>
              <w:spacing w:after="0"/>
              <w:rPr>
                <w:sz w:val="16"/>
                <w:szCs w:val="16"/>
                <w:color w:val="auto"/>
              </w:rPr>
            </w:pPr>
          </w:p>
        </w:tc>
        <w:tc>
          <w:tcPr>
            <w:tcW w:w="10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40" w:type="dxa"/>
            <w:vAlign w:val="bottom"/>
            <w:shd w:val="clear" w:color="auto" w:fill="CFF0FC"/>
          </w:tcPr>
          <w:p>
            <w:pPr>
              <w:spacing w:after="0"/>
              <w:rPr>
                <w:sz w:val="16"/>
                <w:szCs w:val="16"/>
                <w:color w:val="auto"/>
              </w:rPr>
            </w:pP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South Dakota Electric (FERC) </w:t>
            </w:r>
            <w:r>
              <w:rPr>
                <w:rFonts w:ascii="Arial" w:cs="Arial" w:eastAsia="Arial" w:hAnsi="Arial"/>
                <w:sz w:val="19"/>
                <w:szCs w:val="19"/>
                <w:color w:val="auto"/>
                <w:vertAlign w:val="superscript"/>
              </w:rPr>
              <w:t>(c)</w:t>
            </w: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294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Wyoming Electric </w:t>
            </w:r>
            <w:r>
              <w:rPr>
                <w:rFonts w:ascii="Arial" w:cs="Arial" w:eastAsia="Arial" w:hAnsi="Arial"/>
                <w:sz w:val="19"/>
                <w:szCs w:val="19"/>
                <w:color w:val="auto"/>
                <w:vertAlign w:val="superscript"/>
              </w:rPr>
              <w:t>(d)</w:t>
            </w:r>
          </w:p>
        </w:tc>
        <w:tc>
          <w:tcPr>
            <w:tcW w:w="134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shd w:val="clear" w:color="auto" w:fill="CFF0FC"/>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0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40" w:type="dxa"/>
            <w:vAlign w:val="bottom"/>
            <w:shd w:val="clear" w:color="auto" w:fill="CFF0FC"/>
          </w:tcPr>
          <w:p>
            <w:pPr>
              <w:spacing w:after="0"/>
              <w:rPr>
                <w:sz w:val="16"/>
                <w:szCs w:val="16"/>
                <w:color w:val="auto"/>
              </w:rPr>
            </w:pPr>
          </w:p>
        </w:tc>
      </w:tr>
    </w:tbl>
    <w:p>
      <w:pPr>
        <w:spacing w:after="0"/>
        <w:rPr>
          <w:sz w:val="20"/>
          <w:szCs w:val="20"/>
          <w:color w:val="auto"/>
        </w:rPr>
      </w:pPr>
      <w:r>
        <w:rPr>
          <w:rFonts w:ascii="Arial" w:cs="Arial" w:eastAsia="Arial" w:hAnsi="Arial"/>
          <w:sz w:val="16"/>
          <w:szCs w:val="16"/>
          <w:color w:val="auto"/>
        </w:rPr>
        <w:t>____________________</w:t>
      </w:r>
    </w:p>
    <w:p>
      <w:pPr>
        <w:spacing w:after="0" w:line="50" w:lineRule="exact"/>
        <w:rPr>
          <w:sz w:val="20"/>
          <w:szCs w:val="20"/>
          <w:color w:val="auto"/>
        </w:rPr>
      </w:pPr>
    </w:p>
    <w:p>
      <w:pPr>
        <w:ind w:left="520" w:right="40" w:hanging="512"/>
        <w:spacing w:after="0" w:line="25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Electric’s EIA and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w:t>
      </w:r>
    </w:p>
    <w:p>
      <w:pPr>
        <w:spacing w:after="0" w:line="156" w:lineRule="exact"/>
        <w:rPr>
          <w:rFonts w:ascii="Arial" w:cs="Arial" w:eastAsia="Arial" w:hAnsi="Arial"/>
          <w:sz w:val="14"/>
          <w:szCs w:val="14"/>
          <w:color w:val="auto"/>
        </w:rPr>
      </w:pPr>
    </w:p>
    <w:p>
      <w:pPr>
        <w:ind w:left="520" w:right="40" w:hanging="512"/>
        <w:spacing w:after="0" w:line="24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 has WPSC authorization to accumulate certain Energy Efficiency costs in a regulatory asset with determination of recovery to be made in the next rate review.</w:t>
      </w:r>
    </w:p>
    <w:p>
      <w:pPr>
        <w:ind w:left="520" w:right="280" w:hanging="512"/>
        <w:spacing w:after="0" w:line="24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 has an approved FERC Transmission Tariff based on a formulaic approach that determines the revenue component of South Dakota Electric’s open access transmission tariff.</w:t>
      </w: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Wyoming Electric has a WPSC-approved transmission tariff based on a formulaic approach that determines the recovery of Wyoming Electric's transmission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Gas Utilities: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Authorized</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Authorized Rate</w:t>
            </w:r>
          </w:p>
        </w:tc>
        <w:tc>
          <w:tcPr>
            <w:tcW w:w="1160" w:type="dxa"/>
            <w:vAlign w:val="bottom"/>
          </w:tcPr>
          <w:p>
            <w:pPr>
              <w:jc w:val="center"/>
              <w:ind w:right="25"/>
              <w:spacing w:after="0" w:line="162" w:lineRule="exact"/>
              <w:rPr>
                <w:sz w:val="20"/>
                <w:szCs w:val="20"/>
                <w:color w:val="auto"/>
              </w:rPr>
            </w:pPr>
            <w:r>
              <w:rPr>
                <w:rFonts w:ascii="Arial" w:cs="Arial" w:eastAsia="Arial" w:hAnsi="Arial"/>
                <w:sz w:val="15"/>
                <w:szCs w:val="15"/>
                <w:color w:val="auto"/>
              </w:rPr>
              <w:t>Authorized</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Capital</w:t>
            </w: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rPr>
              <w:t>Authorized</w:t>
            </w:r>
          </w:p>
        </w:tc>
        <w:tc>
          <w:tcPr>
            <w:tcW w:w="104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color w:val="auto"/>
              </w:rPr>
              <w:t>of Return on</w:t>
            </w:r>
          </w:p>
        </w:tc>
        <w:tc>
          <w:tcPr>
            <w:tcW w:w="1160" w:type="dxa"/>
            <w:vAlign w:val="bottom"/>
          </w:tcPr>
          <w:p>
            <w:pPr>
              <w:jc w:val="center"/>
              <w:ind w:right="5"/>
              <w:spacing w:after="0" w:line="162" w:lineRule="exact"/>
              <w:rPr>
                <w:sz w:val="20"/>
                <w:szCs w:val="20"/>
                <w:color w:val="auto"/>
              </w:rPr>
            </w:pPr>
            <w:r>
              <w:rPr>
                <w:rFonts w:ascii="Arial" w:cs="Arial" w:eastAsia="Arial" w:hAnsi="Arial"/>
                <w:sz w:val="15"/>
                <w:szCs w:val="15"/>
                <w:color w:val="auto"/>
              </w:rPr>
              <w:t>Return on Rate</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Structure</w:t>
            </w:r>
          </w:p>
        </w:tc>
        <w:tc>
          <w:tcPr>
            <w:tcW w:w="1120" w:type="dxa"/>
            <w:vAlign w:val="bottom"/>
          </w:tcPr>
          <w:p>
            <w:pPr>
              <w:jc w:val="center"/>
              <w:spacing w:after="0" w:line="162" w:lineRule="exact"/>
              <w:rPr>
                <w:sz w:val="20"/>
                <w:szCs w:val="20"/>
                <w:color w:val="auto"/>
              </w:rPr>
            </w:pPr>
            <w:r>
              <w:rPr>
                <w:rFonts w:ascii="Arial" w:cs="Arial" w:eastAsia="Arial" w:hAnsi="Arial"/>
                <w:sz w:val="15"/>
                <w:szCs w:val="15"/>
                <w:color w:val="auto"/>
              </w:rPr>
              <w:t>Rate Base (in</w:t>
            </w:r>
          </w:p>
        </w:tc>
        <w:tc>
          <w:tcPr>
            <w:tcW w:w="104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193"/>
        </w:trPr>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Subsidiary</w:t>
            </w:r>
          </w:p>
        </w:tc>
        <w:tc>
          <w:tcPr>
            <w:tcW w:w="1100" w:type="dxa"/>
            <w:vAlign w:val="bottom"/>
            <w:tcBorders>
              <w:bottom w:val="single" w:sz="8" w:color="auto"/>
            </w:tcBorders>
          </w:tcPr>
          <w:p>
            <w:pPr>
              <w:jc w:val="center"/>
              <w:ind w:left="64"/>
              <w:spacing w:after="0"/>
              <w:rPr>
                <w:sz w:val="20"/>
                <w:szCs w:val="20"/>
                <w:color w:val="auto"/>
              </w:rPr>
            </w:pPr>
            <w:r>
              <w:rPr>
                <w:rFonts w:ascii="Arial" w:cs="Arial" w:eastAsia="Arial" w:hAnsi="Arial"/>
                <w:sz w:val="15"/>
                <w:szCs w:val="15"/>
                <w:color w:val="auto"/>
              </w:rPr>
              <w:t>Jurisdiction</w:t>
            </w:r>
          </w:p>
        </w:tc>
        <w:tc>
          <w:tcPr>
            <w:tcW w:w="13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Equity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Debt/Equity</w:t>
            </w:r>
          </w:p>
        </w:tc>
        <w:tc>
          <w:tcPr>
            <w:tcW w:w="112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color w:val="auto"/>
              </w:rPr>
              <w:t>millions)</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Effective Date</w:t>
            </w:r>
          </w:p>
        </w:tc>
        <w:tc>
          <w:tcPr>
            <w:tcW w:w="302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Additional Regulatory Mechanisms</w:t>
            </w:r>
          </w:p>
        </w:tc>
      </w:tr>
      <w:tr>
        <w:trPr>
          <w:trHeight w:val="138"/>
        </w:trPr>
        <w:tc>
          <w:tcPr>
            <w:tcW w:w="1420" w:type="dxa"/>
            <w:vAlign w:val="bottom"/>
            <w:shd w:val="clear" w:color="auto" w:fill="CFF0FC"/>
          </w:tcPr>
          <w:p>
            <w:pPr>
              <w:ind w:left="20"/>
              <w:spacing w:after="0" w:line="138" w:lineRule="exact"/>
              <w:rPr>
                <w:sz w:val="20"/>
                <w:szCs w:val="20"/>
                <w:color w:val="auto"/>
              </w:rPr>
            </w:pPr>
            <w:r>
              <w:rPr>
                <w:rFonts w:ascii="Arial" w:cs="Arial" w:eastAsia="Arial" w:hAnsi="Arial"/>
                <w:sz w:val="12"/>
                <w:szCs w:val="12"/>
                <w:color w:val="auto"/>
              </w:rPr>
              <w:t xml:space="preserve">Arkansas Gas </w:t>
            </w:r>
            <w:r>
              <w:rPr>
                <w:rFonts w:ascii="Arial" w:cs="Arial" w:eastAsia="Arial" w:hAnsi="Arial"/>
                <w:sz w:val="16"/>
                <w:szCs w:val="16"/>
                <w:color w:val="auto"/>
                <w:vertAlign w:val="superscript"/>
              </w:rPr>
              <w:t>(a)</w:t>
            </w:r>
          </w:p>
        </w:tc>
        <w:tc>
          <w:tcPr>
            <w:tcW w:w="1100" w:type="dxa"/>
            <w:vAlign w:val="bottom"/>
            <w:shd w:val="clear" w:color="auto" w:fill="CFF0FC"/>
          </w:tcPr>
          <w:p>
            <w:pPr>
              <w:jc w:val="center"/>
              <w:ind w:left="84"/>
              <w:spacing w:after="0" w:line="138" w:lineRule="exact"/>
              <w:rPr>
                <w:sz w:val="20"/>
                <w:szCs w:val="20"/>
                <w:color w:val="auto"/>
              </w:rPr>
            </w:pPr>
            <w:r>
              <w:rPr>
                <w:rFonts w:ascii="Arial" w:cs="Arial" w:eastAsia="Arial" w:hAnsi="Arial"/>
                <w:sz w:val="15"/>
                <w:szCs w:val="15"/>
                <w:color w:val="auto"/>
              </w:rPr>
              <w:t>AR</w:t>
            </w:r>
          </w:p>
        </w:tc>
        <w:tc>
          <w:tcPr>
            <w:tcW w:w="1340" w:type="dxa"/>
            <w:vAlign w:val="bottom"/>
            <w:shd w:val="clear" w:color="auto" w:fill="CFF0FC"/>
          </w:tcPr>
          <w:p>
            <w:pPr>
              <w:jc w:val="center"/>
              <w:ind w:left="24"/>
              <w:spacing w:after="0" w:line="138" w:lineRule="exact"/>
              <w:rPr>
                <w:sz w:val="20"/>
                <w:szCs w:val="20"/>
                <w:color w:val="auto"/>
              </w:rPr>
            </w:pPr>
            <w:r>
              <w:rPr>
                <w:rFonts w:ascii="Arial" w:cs="Arial" w:eastAsia="Arial" w:hAnsi="Arial"/>
                <w:sz w:val="15"/>
                <w:szCs w:val="15"/>
                <w:color w:val="auto"/>
              </w:rPr>
              <w:t>9.60%</w:t>
            </w:r>
          </w:p>
        </w:tc>
        <w:tc>
          <w:tcPr>
            <w:tcW w:w="116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6.20% </w:t>
            </w:r>
            <w:r>
              <w:rPr>
                <w:rFonts w:ascii="Arial" w:cs="Arial" w:eastAsia="Arial" w:hAnsi="Arial"/>
                <w:sz w:val="16"/>
                <w:szCs w:val="16"/>
                <w:color w:val="auto"/>
                <w:vertAlign w:val="superscript"/>
              </w:rPr>
              <w:t>(b)</w:t>
            </w:r>
          </w:p>
        </w:tc>
        <w:tc>
          <w:tcPr>
            <w:tcW w:w="104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55%/45%</w:t>
            </w:r>
          </w:p>
        </w:tc>
        <w:tc>
          <w:tcPr>
            <w:tcW w:w="1120" w:type="dxa"/>
            <w:vAlign w:val="bottom"/>
            <w:shd w:val="clear" w:color="auto" w:fill="CFF0FC"/>
          </w:tcPr>
          <w:p>
            <w:pPr>
              <w:jc w:val="center"/>
              <w:ind w:left="5"/>
              <w:spacing w:after="0" w:line="138" w:lineRule="exact"/>
              <w:rPr>
                <w:sz w:val="20"/>
                <w:szCs w:val="20"/>
                <w:color w:val="auto"/>
              </w:rPr>
            </w:pPr>
            <w:r>
              <w:rPr>
                <w:rFonts w:ascii="Arial" w:cs="Arial" w:eastAsia="Arial" w:hAnsi="Arial"/>
                <w:sz w:val="12"/>
                <w:szCs w:val="12"/>
                <w:color w:val="auto"/>
              </w:rPr>
              <w:t xml:space="preserve">$674.6 </w:t>
            </w:r>
            <w:r>
              <w:rPr>
                <w:rFonts w:ascii="Arial" w:cs="Arial" w:eastAsia="Arial" w:hAnsi="Arial"/>
                <w:sz w:val="16"/>
                <w:szCs w:val="16"/>
                <w:color w:val="auto"/>
                <w:vertAlign w:val="superscript"/>
              </w:rPr>
              <w:t>(c)</w:t>
            </w:r>
          </w:p>
        </w:tc>
        <w:tc>
          <w:tcPr>
            <w:tcW w:w="104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10/2022</w:t>
            </w:r>
          </w:p>
        </w:tc>
        <w:tc>
          <w:tcPr>
            <w:tcW w:w="3020" w:type="dxa"/>
            <w:vAlign w:val="bottom"/>
            <w:shd w:val="clear" w:color="auto" w:fill="CFF0FC"/>
          </w:tcPr>
          <w:p>
            <w:pPr>
              <w:spacing w:after="0" w:line="138" w:lineRule="exact"/>
              <w:rPr>
                <w:sz w:val="20"/>
                <w:szCs w:val="20"/>
                <w:color w:val="auto"/>
              </w:rPr>
            </w:pPr>
            <w:r>
              <w:rPr>
                <w:rFonts w:ascii="Arial" w:cs="Arial" w:eastAsia="Arial" w:hAnsi="Arial"/>
                <w:sz w:val="15"/>
                <w:szCs w:val="15"/>
                <w:color w:val="auto"/>
              </w:rPr>
              <w:t>GCA, Safety and Integrity Rider, EECR,</w:t>
            </w:r>
          </w:p>
        </w:tc>
      </w:tr>
      <w:tr>
        <w:trPr>
          <w:trHeight w:val="162"/>
        </w:trPr>
        <w:tc>
          <w:tcPr>
            <w:tcW w:w="14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Weather Normalization Adjustment, Billing</w:t>
            </w:r>
          </w:p>
        </w:tc>
      </w:tr>
      <w:tr>
        <w:trPr>
          <w:trHeight w:val="193"/>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5"/>
                <w:szCs w:val="15"/>
                <w:color w:val="auto"/>
              </w:rPr>
              <w:t>Determinant Adjustment</w:t>
            </w:r>
          </w:p>
        </w:tc>
      </w:t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5"/>
                <w:szCs w:val="15"/>
                <w:color w:val="auto"/>
              </w:rPr>
              <w:t xml:space="preserve">Colorado Gas </w:t>
            </w:r>
            <w:r>
              <w:rPr>
                <w:rFonts w:ascii="Arial" w:cs="Arial" w:eastAsia="Arial" w:hAnsi="Arial"/>
                <w:sz w:val="20"/>
                <w:szCs w:val="20"/>
                <w:color w:val="auto"/>
                <w:vertAlign w:val="superscript"/>
              </w:rPr>
              <w:t>(a)</w:t>
            </w:r>
          </w:p>
        </w:tc>
        <w:tc>
          <w:tcPr>
            <w:tcW w:w="1100" w:type="dxa"/>
            <w:vAlign w:val="bottom"/>
          </w:tcPr>
          <w:p>
            <w:pPr>
              <w:jc w:val="center"/>
              <w:ind w:left="84"/>
              <w:spacing w:after="0"/>
              <w:rPr>
                <w:sz w:val="20"/>
                <w:szCs w:val="20"/>
                <w:color w:val="auto"/>
              </w:rPr>
            </w:pPr>
            <w:r>
              <w:rPr>
                <w:rFonts w:ascii="Arial" w:cs="Arial" w:eastAsia="Arial" w:hAnsi="Arial"/>
                <w:sz w:val="15"/>
                <w:szCs w:val="15"/>
                <w:color w:val="auto"/>
                <w:w w:val="97"/>
              </w:rPr>
              <w:t>CO</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rPr>
              <w:t>9.20%</w:t>
            </w:r>
          </w:p>
        </w:tc>
        <w:tc>
          <w:tcPr>
            <w:tcW w:w="1160" w:type="dxa"/>
            <w:vAlign w:val="bottom"/>
          </w:tcPr>
          <w:p>
            <w:pPr>
              <w:jc w:val="center"/>
              <w:spacing w:after="0"/>
              <w:rPr>
                <w:sz w:val="20"/>
                <w:szCs w:val="20"/>
                <w:color w:val="auto"/>
              </w:rPr>
            </w:pPr>
            <w:r>
              <w:rPr>
                <w:rFonts w:ascii="Arial" w:cs="Arial" w:eastAsia="Arial" w:hAnsi="Arial"/>
                <w:sz w:val="15"/>
                <w:szCs w:val="15"/>
                <w:color w:val="auto"/>
              </w:rPr>
              <w:t>6.56%</w:t>
            </w:r>
          </w:p>
        </w:tc>
        <w:tc>
          <w:tcPr>
            <w:tcW w:w="1040" w:type="dxa"/>
            <w:vAlign w:val="bottom"/>
          </w:tcPr>
          <w:p>
            <w:pPr>
              <w:jc w:val="center"/>
              <w:spacing w:after="0"/>
              <w:rPr>
                <w:sz w:val="20"/>
                <w:szCs w:val="20"/>
                <w:color w:val="auto"/>
              </w:rPr>
            </w:pPr>
            <w:r>
              <w:rPr>
                <w:rFonts w:ascii="Arial" w:cs="Arial" w:eastAsia="Arial" w:hAnsi="Arial"/>
                <w:sz w:val="15"/>
                <w:szCs w:val="15"/>
                <w:color w:val="auto"/>
              </w:rPr>
              <w:t>50%/50%</w:t>
            </w:r>
          </w:p>
        </w:tc>
        <w:tc>
          <w:tcPr>
            <w:tcW w:w="1120" w:type="dxa"/>
            <w:vAlign w:val="bottom"/>
          </w:tcPr>
          <w:p>
            <w:pPr>
              <w:jc w:val="center"/>
              <w:ind w:left="5"/>
              <w:spacing w:after="0"/>
              <w:rPr>
                <w:sz w:val="20"/>
                <w:szCs w:val="20"/>
                <w:color w:val="auto"/>
              </w:rPr>
            </w:pPr>
            <w:r>
              <w:rPr>
                <w:rFonts w:ascii="Arial" w:cs="Arial" w:eastAsia="Arial" w:hAnsi="Arial"/>
                <w:sz w:val="15"/>
                <w:szCs w:val="15"/>
                <w:color w:val="auto"/>
              </w:rPr>
              <w:t>$303.20</w:t>
            </w:r>
          </w:p>
        </w:tc>
        <w:tc>
          <w:tcPr>
            <w:tcW w:w="1040" w:type="dxa"/>
            <w:vAlign w:val="bottom"/>
          </w:tcPr>
          <w:p>
            <w:pPr>
              <w:jc w:val="center"/>
              <w:spacing w:after="0"/>
              <w:rPr>
                <w:sz w:val="20"/>
                <w:szCs w:val="20"/>
                <w:color w:val="auto"/>
              </w:rPr>
            </w:pPr>
            <w:r>
              <w:rPr>
                <w:rFonts w:ascii="Arial" w:cs="Arial" w:eastAsia="Arial" w:hAnsi="Arial"/>
                <w:sz w:val="15"/>
                <w:szCs w:val="15"/>
                <w:color w:val="auto"/>
              </w:rPr>
              <w:t>1/2022</w:t>
            </w:r>
          </w:p>
        </w:tc>
        <w:tc>
          <w:tcPr>
            <w:tcW w:w="3020" w:type="dxa"/>
            <w:vAlign w:val="bottom"/>
          </w:tcPr>
          <w:p>
            <w:pPr>
              <w:spacing w:after="0"/>
              <w:rPr>
                <w:sz w:val="20"/>
                <w:szCs w:val="20"/>
                <w:color w:val="auto"/>
              </w:rPr>
            </w:pPr>
            <w:r>
              <w:rPr>
                <w:rFonts w:ascii="Arial" w:cs="Arial" w:eastAsia="Arial" w:hAnsi="Arial"/>
                <w:sz w:val="15"/>
                <w:szCs w:val="15"/>
                <w:color w:val="auto"/>
              </w:rPr>
              <w:t>GCA, SSIR, EECR/DSM</w:t>
            </w:r>
          </w:p>
        </w:tc>
      </w:tr>
      <w:tr>
        <w:trPr>
          <w:trHeight w:val="145"/>
        </w:trPr>
        <w:tc>
          <w:tcPr>
            <w:tcW w:w="1420" w:type="dxa"/>
            <w:vAlign w:val="bottom"/>
            <w:shd w:val="clear" w:color="auto" w:fill="CFF0FC"/>
          </w:tcPr>
          <w:p>
            <w:pPr>
              <w:ind w:left="20"/>
              <w:spacing w:after="0" w:line="145" w:lineRule="exact"/>
              <w:rPr>
                <w:sz w:val="20"/>
                <w:szCs w:val="20"/>
                <w:color w:val="auto"/>
              </w:rPr>
            </w:pPr>
            <w:r>
              <w:rPr>
                <w:rFonts w:ascii="Arial" w:cs="Arial" w:eastAsia="Arial" w:hAnsi="Arial"/>
                <w:sz w:val="15"/>
                <w:szCs w:val="15"/>
                <w:color w:val="auto"/>
              </w:rPr>
              <w:t>RMNG</w:t>
            </w:r>
          </w:p>
        </w:tc>
        <w:tc>
          <w:tcPr>
            <w:tcW w:w="1100" w:type="dxa"/>
            <w:vAlign w:val="bottom"/>
            <w:shd w:val="clear" w:color="auto" w:fill="CFF0FC"/>
          </w:tcPr>
          <w:p>
            <w:pPr>
              <w:jc w:val="center"/>
              <w:ind w:left="84"/>
              <w:spacing w:after="0" w:line="145" w:lineRule="exact"/>
              <w:rPr>
                <w:sz w:val="20"/>
                <w:szCs w:val="20"/>
                <w:color w:val="auto"/>
              </w:rPr>
            </w:pPr>
            <w:r>
              <w:rPr>
                <w:rFonts w:ascii="Arial" w:cs="Arial" w:eastAsia="Arial" w:hAnsi="Arial"/>
                <w:sz w:val="15"/>
                <w:szCs w:val="15"/>
                <w:color w:val="auto"/>
                <w:w w:val="97"/>
              </w:rPr>
              <w:t>CO</w:t>
            </w:r>
          </w:p>
        </w:tc>
        <w:tc>
          <w:tcPr>
            <w:tcW w:w="1340" w:type="dxa"/>
            <w:vAlign w:val="bottom"/>
            <w:shd w:val="clear" w:color="auto" w:fill="CFF0FC"/>
          </w:tcPr>
          <w:p>
            <w:pPr>
              <w:jc w:val="center"/>
              <w:ind w:left="24"/>
              <w:spacing w:after="0" w:line="145" w:lineRule="exact"/>
              <w:rPr>
                <w:sz w:val="20"/>
                <w:szCs w:val="20"/>
                <w:color w:val="auto"/>
              </w:rPr>
            </w:pPr>
            <w:r>
              <w:rPr>
                <w:rFonts w:ascii="Arial" w:cs="Arial" w:eastAsia="Arial" w:hAnsi="Arial"/>
                <w:sz w:val="15"/>
                <w:szCs w:val="15"/>
                <w:color w:val="auto"/>
              </w:rPr>
              <w:t>9.90%</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6.71%</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53%/47%</w:t>
            </w:r>
          </w:p>
        </w:tc>
        <w:tc>
          <w:tcPr>
            <w:tcW w:w="11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w w:val="99"/>
              </w:rPr>
              <w:t>$118.70</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6/2018</w:t>
            </w:r>
          </w:p>
        </w:tc>
        <w:tc>
          <w:tcPr>
            <w:tcW w:w="302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SSIR, Liquids/Off-system/Market Center</w:t>
            </w:r>
          </w:p>
        </w:tc>
      </w:tr>
      <w:tr>
        <w:trPr>
          <w:trHeight w:val="193"/>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5"/>
                <w:szCs w:val="15"/>
                <w:color w:val="auto"/>
              </w:rPr>
              <w:t>Services Revenue Sharing</w:t>
            </w:r>
          </w:p>
        </w:tc>
      </w:tr>
      <w:tr>
        <w:trPr>
          <w:trHeight w:val="175"/>
        </w:trPr>
        <w:tc>
          <w:tcPr>
            <w:tcW w:w="1420" w:type="dxa"/>
            <w:vAlign w:val="bottom"/>
          </w:tcPr>
          <w:p>
            <w:pPr>
              <w:ind w:left="20"/>
              <w:spacing w:after="0" w:line="175" w:lineRule="exact"/>
              <w:rPr>
                <w:sz w:val="20"/>
                <w:szCs w:val="20"/>
                <w:color w:val="auto"/>
              </w:rPr>
            </w:pPr>
            <w:r>
              <w:rPr>
                <w:rFonts w:ascii="Arial" w:cs="Arial" w:eastAsia="Arial" w:hAnsi="Arial"/>
                <w:sz w:val="15"/>
                <w:szCs w:val="15"/>
                <w:color w:val="auto"/>
              </w:rPr>
              <w:t xml:space="preserve">Iowa Gas </w:t>
            </w:r>
            <w:r>
              <w:rPr>
                <w:rFonts w:ascii="Arial" w:cs="Arial" w:eastAsia="Arial" w:hAnsi="Arial"/>
                <w:sz w:val="20"/>
                <w:szCs w:val="20"/>
                <w:color w:val="auto"/>
                <w:vertAlign w:val="superscript"/>
              </w:rPr>
              <w:t>(a)</w:t>
            </w:r>
          </w:p>
        </w:tc>
        <w:tc>
          <w:tcPr>
            <w:tcW w:w="1100" w:type="dxa"/>
            <w:vAlign w:val="bottom"/>
          </w:tcPr>
          <w:p>
            <w:pPr>
              <w:jc w:val="center"/>
              <w:ind w:left="84"/>
              <w:spacing w:after="0"/>
              <w:rPr>
                <w:sz w:val="20"/>
                <w:szCs w:val="20"/>
                <w:color w:val="auto"/>
              </w:rPr>
            </w:pPr>
            <w:r>
              <w:rPr>
                <w:rFonts w:ascii="Arial" w:cs="Arial" w:eastAsia="Arial" w:hAnsi="Arial"/>
                <w:sz w:val="15"/>
                <w:szCs w:val="15"/>
                <w:color w:val="auto"/>
                <w:w w:val="98"/>
              </w:rPr>
              <w:t>IA</w:t>
            </w:r>
          </w:p>
        </w:tc>
        <w:tc>
          <w:tcPr>
            <w:tcW w:w="1340" w:type="dxa"/>
            <w:vAlign w:val="bottom"/>
          </w:tcPr>
          <w:p>
            <w:pPr>
              <w:jc w:val="center"/>
              <w:ind w:left="24"/>
              <w:spacing w:after="0"/>
              <w:rPr>
                <w:sz w:val="20"/>
                <w:szCs w:val="20"/>
                <w:color w:val="auto"/>
              </w:rPr>
            </w:pPr>
            <w:r>
              <w:rPr>
                <w:rFonts w:ascii="Arial" w:cs="Arial" w:eastAsia="Arial" w:hAnsi="Arial"/>
                <w:sz w:val="15"/>
                <w:szCs w:val="15"/>
                <w:color w:val="auto"/>
              </w:rPr>
              <w:t>9.60%</w:t>
            </w:r>
          </w:p>
        </w:tc>
        <w:tc>
          <w:tcPr>
            <w:tcW w:w="1160" w:type="dxa"/>
            <w:vAlign w:val="bottom"/>
          </w:tcPr>
          <w:p>
            <w:pPr>
              <w:jc w:val="center"/>
              <w:spacing w:after="0"/>
              <w:rPr>
                <w:sz w:val="20"/>
                <w:szCs w:val="20"/>
                <w:color w:val="auto"/>
              </w:rPr>
            </w:pPr>
            <w:r>
              <w:rPr>
                <w:rFonts w:ascii="Arial" w:cs="Arial" w:eastAsia="Arial" w:hAnsi="Arial"/>
                <w:sz w:val="15"/>
                <w:szCs w:val="15"/>
                <w:color w:val="auto"/>
              </w:rPr>
              <w:t>6.75%</w:t>
            </w:r>
          </w:p>
        </w:tc>
        <w:tc>
          <w:tcPr>
            <w:tcW w:w="1040" w:type="dxa"/>
            <w:vAlign w:val="bottom"/>
          </w:tcPr>
          <w:p>
            <w:pPr>
              <w:jc w:val="center"/>
              <w:spacing w:after="0"/>
              <w:rPr>
                <w:sz w:val="20"/>
                <w:szCs w:val="20"/>
                <w:color w:val="auto"/>
              </w:rPr>
            </w:pPr>
            <w:r>
              <w:rPr>
                <w:rFonts w:ascii="Arial" w:cs="Arial" w:eastAsia="Arial" w:hAnsi="Arial"/>
                <w:sz w:val="15"/>
                <w:szCs w:val="15"/>
                <w:color w:val="auto"/>
              </w:rPr>
              <w:t>50%/50%</w:t>
            </w:r>
          </w:p>
        </w:tc>
        <w:tc>
          <w:tcPr>
            <w:tcW w:w="1120" w:type="dxa"/>
            <w:vAlign w:val="bottom"/>
          </w:tcPr>
          <w:p>
            <w:pPr>
              <w:jc w:val="center"/>
              <w:ind w:left="5"/>
              <w:spacing w:after="0"/>
              <w:rPr>
                <w:sz w:val="20"/>
                <w:szCs w:val="20"/>
                <w:color w:val="auto"/>
              </w:rPr>
            </w:pPr>
            <w:r>
              <w:rPr>
                <w:rFonts w:ascii="Arial" w:cs="Arial" w:eastAsia="Arial" w:hAnsi="Arial"/>
                <w:sz w:val="15"/>
                <w:szCs w:val="15"/>
                <w:color w:val="auto"/>
              </w:rPr>
              <w:t>$300.90</w:t>
            </w:r>
          </w:p>
        </w:tc>
        <w:tc>
          <w:tcPr>
            <w:tcW w:w="1040" w:type="dxa"/>
            <w:vAlign w:val="bottom"/>
          </w:tcPr>
          <w:p>
            <w:pPr>
              <w:jc w:val="center"/>
              <w:spacing w:after="0"/>
              <w:rPr>
                <w:sz w:val="20"/>
                <w:szCs w:val="20"/>
                <w:color w:val="auto"/>
              </w:rPr>
            </w:pPr>
            <w:r>
              <w:rPr>
                <w:rFonts w:ascii="Arial" w:cs="Arial" w:eastAsia="Arial" w:hAnsi="Arial"/>
                <w:sz w:val="15"/>
                <w:szCs w:val="15"/>
                <w:color w:val="auto"/>
              </w:rPr>
              <w:t>1/2022</w:t>
            </w:r>
          </w:p>
        </w:tc>
        <w:tc>
          <w:tcPr>
            <w:tcW w:w="3020" w:type="dxa"/>
            <w:vAlign w:val="bottom"/>
          </w:tcPr>
          <w:p>
            <w:pPr>
              <w:spacing w:after="0" w:line="175" w:lineRule="exact"/>
              <w:rPr>
                <w:sz w:val="20"/>
                <w:szCs w:val="20"/>
                <w:color w:val="auto"/>
              </w:rPr>
            </w:pPr>
            <w:r>
              <w:rPr>
                <w:rFonts w:ascii="Arial" w:cs="Arial" w:eastAsia="Arial" w:hAnsi="Arial"/>
                <w:sz w:val="16"/>
                <w:szCs w:val="16"/>
                <w:color w:val="auto"/>
              </w:rPr>
              <w:t>GCA, EECR, System Safety and</w:t>
            </w:r>
          </w:p>
        </w:tc>
      </w:tr>
      <w:tr>
        <w:trPr>
          <w:trHeight w:val="189"/>
        </w:trPr>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Maintenance Adjustment Rider, Gas</w:t>
            </w:r>
          </w:p>
        </w:tc>
      </w:tr>
      <w:tr>
        <w:trPr>
          <w:trHeight w:val="216"/>
        </w:trPr>
        <w:tc>
          <w:tcPr>
            <w:tcW w:w="1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Supply Optimization revenue sharing</w:t>
            </w:r>
          </w:p>
        </w:tc>
      </w:tr>
      <w:tr>
        <w:trPr>
          <w:trHeight w:val="150"/>
        </w:trPr>
        <w:tc>
          <w:tcPr>
            <w:tcW w:w="1420" w:type="dxa"/>
            <w:vAlign w:val="bottom"/>
            <w:shd w:val="clear" w:color="auto" w:fill="CFF0FC"/>
          </w:tcPr>
          <w:p>
            <w:pPr>
              <w:ind w:left="20"/>
              <w:spacing w:after="0" w:line="150" w:lineRule="exact"/>
              <w:rPr>
                <w:sz w:val="20"/>
                <w:szCs w:val="20"/>
                <w:color w:val="auto"/>
              </w:rPr>
            </w:pPr>
            <w:r>
              <w:rPr>
                <w:rFonts w:ascii="Arial" w:cs="Arial" w:eastAsia="Arial" w:hAnsi="Arial"/>
                <w:sz w:val="13"/>
                <w:szCs w:val="13"/>
                <w:color w:val="auto"/>
              </w:rPr>
              <w:t xml:space="preserve">Kansas Gas </w:t>
            </w:r>
            <w:r>
              <w:rPr>
                <w:rFonts w:ascii="Arial" w:cs="Arial" w:eastAsia="Arial" w:hAnsi="Arial"/>
                <w:sz w:val="17"/>
                <w:szCs w:val="17"/>
                <w:color w:val="auto"/>
                <w:vertAlign w:val="superscript"/>
              </w:rPr>
              <w:t>(a)</w:t>
            </w:r>
          </w:p>
        </w:tc>
        <w:tc>
          <w:tcPr>
            <w:tcW w:w="1100" w:type="dxa"/>
            <w:vAlign w:val="bottom"/>
            <w:shd w:val="clear" w:color="auto" w:fill="CFF0FC"/>
          </w:tcPr>
          <w:p>
            <w:pPr>
              <w:jc w:val="center"/>
              <w:ind w:left="64"/>
              <w:spacing w:after="0" w:line="150" w:lineRule="exact"/>
              <w:rPr>
                <w:sz w:val="20"/>
                <w:szCs w:val="20"/>
                <w:color w:val="auto"/>
              </w:rPr>
            </w:pPr>
            <w:r>
              <w:rPr>
                <w:rFonts w:ascii="Arial" w:cs="Arial" w:eastAsia="Arial" w:hAnsi="Arial"/>
                <w:sz w:val="15"/>
                <w:szCs w:val="15"/>
                <w:color w:val="auto"/>
                <w:w w:val="99"/>
              </w:rPr>
              <w:t>KS</w:t>
            </w:r>
          </w:p>
        </w:tc>
        <w:tc>
          <w:tcPr>
            <w:tcW w:w="1340" w:type="dxa"/>
            <w:vAlign w:val="bottom"/>
            <w:shd w:val="clear" w:color="auto" w:fill="CFF0FC"/>
          </w:tcPr>
          <w:p>
            <w:pPr>
              <w:jc w:val="center"/>
              <w:ind w:left="4"/>
              <w:spacing w:after="0" w:line="150" w:lineRule="exact"/>
              <w:rPr>
                <w:sz w:val="20"/>
                <w:szCs w:val="20"/>
                <w:color w:val="auto"/>
              </w:rPr>
            </w:pPr>
            <w:r>
              <w:rPr>
                <w:rFonts w:ascii="Arial" w:cs="Arial" w:eastAsia="Arial" w:hAnsi="Arial"/>
                <w:sz w:val="15"/>
                <w:szCs w:val="15"/>
                <w:color w:val="auto"/>
              </w:rPr>
              <w:t>Global Settlement</w:t>
            </w:r>
          </w:p>
        </w:tc>
        <w:tc>
          <w:tcPr>
            <w:tcW w:w="1160" w:type="dxa"/>
            <w:vAlign w:val="bottom"/>
            <w:shd w:val="clear" w:color="auto" w:fill="CFF0FC"/>
          </w:tcPr>
          <w:p>
            <w:pPr>
              <w:jc w:val="center"/>
              <w:ind w:right="5"/>
              <w:spacing w:after="0" w:line="150" w:lineRule="exact"/>
              <w:rPr>
                <w:sz w:val="20"/>
                <w:szCs w:val="20"/>
                <w:color w:val="auto"/>
              </w:rPr>
            </w:pPr>
            <w:r>
              <w:rPr>
                <w:rFonts w:ascii="Arial" w:cs="Arial" w:eastAsia="Arial" w:hAnsi="Arial"/>
                <w:sz w:val="15"/>
                <w:szCs w:val="15"/>
                <w:color w:val="auto"/>
              </w:rPr>
              <w:t>Global</w:t>
            </w:r>
          </w:p>
        </w:tc>
        <w:tc>
          <w:tcPr>
            <w:tcW w:w="1040" w:type="dxa"/>
            <w:vAlign w:val="bottom"/>
            <w:shd w:val="clear" w:color="auto" w:fill="CFF0FC"/>
          </w:tcPr>
          <w:p>
            <w:pPr>
              <w:jc w:val="center"/>
              <w:spacing w:after="0" w:line="150" w:lineRule="exact"/>
              <w:rPr>
                <w:sz w:val="20"/>
                <w:szCs w:val="20"/>
                <w:color w:val="auto"/>
              </w:rPr>
            </w:pPr>
            <w:r>
              <w:rPr>
                <w:rFonts w:ascii="Arial" w:cs="Arial" w:eastAsia="Arial" w:hAnsi="Arial"/>
                <w:sz w:val="15"/>
                <w:szCs w:val="15"/>
                <w:color w:val="auto"/>
              </w:rPr>
              <w:t>Global</w:t>
            </w:r>
          </w:p>
        </w:tc>
        <w:tc>
          <w:tcPr>
            <w:tcW w:w="1120" w:type="dxa"/>
            <w:vAlign w:val="bottom"/>
            <w:shd w:val="clear" w:color="auto" w:fill="CFF0FC"/>
          </w:tcPr>
          <w:p>
            <w:pPr>
              <w:jc w:val="center"/>
              <w:spacing w:after="0" w:line="150" w:lineRule="exact"/>
              <w:rPr>
                <w:sz w:val="20"/>
                <w:szCs w:val="20"/>
                <w:color w:val="auto"/>
              </w:rPr>
            </w:pPr>
            <w:r>
              <w:rPr>
                <w:rFonts w:ascii="Arial" w:cs="Arial" w:eastAsia="Arial" w:hAnsi="Arial"/>
                <w:sz w:val="15"/>
                <w:szCs w:val="15"/>
                <w:color w:val="auto"/>
              </w:rPr>
              <w:t>Global</w:t>
            </w:r>
          </w:p>
        </w:tc>
        <w:tc>
          <w:tcPr>
            <w:tcW w:w="1040" w:type="dxa"/>
            <w:vAlign w:val="bottom"/>
            <w:shd w:val="clear" w:color="auto" w:fill="CFF0FC"/>
          </w:tcPr>
          <w:p>
            <w:pPr>
              <w:jc w:val="center"/>
              <w:spacing w:after="0" w:line="150" w:lineRule="exact"/>
              <w:rPr>
                <w:sz w:val="20"/>
                <w:szCs w:val="20"/>
                <w:color w:val="auto"/>
              </w:rPr>
            </w:pPr>
            <w:r>
              <w:rPr>
                <w:rFonts w:ascii="Arial" w:cs="Arial" w:eastAsia="Arial" w:hAnsi="Arial"/>
                <w:sz w:val="15"/>
                <w:szCs w:val="15"/>
                <w:color w:val="auto"/>
              </w:rPr>
              <w:t>1/2022</w:t>
            </w:r>
          </w:p>
        </w:tc>
        <w:tc>
          <w:tcPr>
            <w:tcW w:w="3020" w:type="dxa"/>
            <w:vAlign w:val="bottom"/>
            <w:shd w:val="clear" w:color="auto" w:fill="CFF0FC"/>
          </w:tcPr>
          <w:p>
            <w:pPr>
              <w:spacing w:after="0" w:line="150" w:lineRule="exact"/>
              <w:rPr>
                <w:sz w:val="20"/>
                <w:szCs w:val="20"/>
                <w:color w:val="auto"/>
              </w:rPr>
            </w:pPr>
            <w:r>
              <w:rPr>
                <w:rFonts w:ascii="Arial" w:cs="Arial" w:eastAsia="Arial" w:hAnsi="Arial"/>
                <w:sz w:val="16"/>
                <w:szCs w:val="16"/>
                <w:color w:val="auto"/>
              </w:rPr>
              <w:t>GCA, Weather Normalization Tariff, Gas</w:t>
            </w:r>
          </w:p>
        </w:tc>
      </w:tr>
      <w:tr>
        <w:trPr>
          <w:trHeight w:val="215"/>
        </w:trPr>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Settlement</w:t>
            </w:r>
          </w:p>
        </w:tc>
        <w:tc>
          <w:tcPr>
            <w:tcW w:w="104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Settlement</w:t>
            </w:r>
          </w:p>
        </w:tc>
        <w:tc>
          <w:tcPr>
            <w:tcW w:w="1120" w:type="dxa"/>
            <w:vAlign w:val="bottom"/>
            <w:shd w:val="clear" w:color="auto" w:fill="CFF0FC"/>
          </w:tcPr>
          <w:p>
            <w:pPr>
              <w:jc w:val="center"/>
              <w:ind w:left="5"/>
              <w:spacing w:after="0"/>
              <w:rPr>
                <w:sz w:val="20"/>
                <w:szCs w:val="20"/>
                <w:color w:val="auto"/>
              </w:rPr>
            </w:pPr>
            <w:r>
              <w:rPr>
                <w:rFonts w:ascii="Arial" w:cs="Arial" w:eastAsia="Arial" w:hAnsi="Arial"/>
                <w:sz w:val="15"/>
                <w:szCs w:val="15"/>
                <w:color w:val="auto"/>
              </w:rPr>
              <w:t>Settlement</w:t>
            </w:r>
          </w:p>
        </w:tc>
        <w:tc>
          <w:tcPr>
            <w:tcW w:w="104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System Reliability Surcharge, Ad Valorem</w:t>
            </w:r>
          </w:p>
        </w:tc>
      </w:tr>
      <w:tr>
        <w:trPr>
          <w:trHeight w:val="189"/>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Tax Surcharge, Cost of Bad Debt</w:t>
            </w:r>
          </w:p>
        </w:tc>
      </w:tr>
      <w:tr>
        <w:trPr>
          <w:trHeight w:val="189"/>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Collected through GCA, Pension</w:t>
            </w:r>
          </w:p>
        </w:tc>
      </w:tr>
      <w:tr>
        <w:trPr>
          <w:trHeight w:val="189"/>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Levelized Adjustment, Tax Adjustment</w:t>
            </w:r>
          </w:p>
        </w:tc>
      </w:tr>
      <w:tr>
        <w:trPr>
          <w:trHeight w:val="189"/>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Rider, Gas Supply Optimization revenue</w:t>
            </w:r>
          </w:p>
        </w:tc>
      </w:tr>
      <w:tr>
        <w:trPr>
          <w:trHeight w:val="217"/>
        </w:trPr>
        <w:tc>
          <w:tcPr>
            <w:tcW w:w="1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6"/>
                <w:szCs w:val="16"/>
                <w:color w:val="auto"/>
              </w:rPr>
              <w:t>sharing</w:t>
            </w:r>
          </w:p>
        </w:tc>
      </w:tr>
      <w:tr>
        <w:trPr>
          <w:trHeight w:val="145"/>
        </w:trPr>
        <w:tc>
          <w:tcPr>
            <w:tcW w:w="1420" w:type="dxa"/>
            <w:vAlign w:val="bottom"/>
          </w:tcPr>
          <w:p>
            <w:pPr>
              <w:ind w:left="20"/>
              <w:spacing w:after="0" w:line="145" w:lineRule="exact"/>
              <w:rPr>
                <w:sz w:val="20"/>
                <w:szCs w:val="20"/>
                <w:color w:val="auto"/>
              </w:rPr>
            </w:pPr>
            <w:r>
              <w:rPr>
                <w:rFonts w:ascii="Arial" w:cs="Arial" w:eastAsia="Arial" w:hAnsi="Arial"/>
                <w:sz w:val="12"/>
                <w:szCs w:val="12"/>
                <w:color w:val="auto"/>
              </w:rPr>
              <w:t xml:space="preserve">Nebraska Gas </w:t>
            </w:r>
            <w:r>
              <w:rPr>
                <w:rFonts w:ascii="Arial" w:cs="Arial" w:eastAsia="Arial" w:hAnsi="Arial"/>
                <w:sz w:val="16"/>
                <w:szCs w:val="16"/>
                <w:color w:val="auto"/>
                <w:vertAlign w:val="superscript"/>
              </w:rPr>
              <w:t>(d)</w:t>
            </w:r>
          </w:p>
        </w:tc>
        <w:tc>
          <w:tcPr>
            <w:tcW w:w="1100" w:type="dxa"/>
            <w:vAlign w:val="bottom"/>
          </w:tcPr>
          <w:p>
            <w:pPr>
              <w:jc w:val="center"/>
              <w:ind w:left="84"/>
              <w:spacing w:after="0" w:line="145" w:lineRule="exact"/>
              <w:rPr>
                <w:sz w:val="20"/>
                <w:szCs w:val="20"/>
                <w:color w:val="auto"/>
              </w:rPr>
            </w:pPr>
            <w:r>
              <w:rPr>
                <w:rFonts w:ascii="Arial" w:cs="Arial" w:eastAsia="Arial" w:hAnsi="Arial"/>
                <w:sz w:val="15"/>
                <w:szCs w:val="15"/>
                <w:color w:val="auto"/>
              </w:rPr>
              <w:t>NE</w:t>
            </w:r>
          </w:p>
        </w:tc>
        <w:tc>
          <w:tcPr>
            <w:tcW w:w="1340" w:type="dxa"/>
            <w:vAlign w:val="bottom"/>
          </w:tcPr>
          <w:p>
            <w:pPr>
              <w:jc w:val="center"/>
              <w:ind w:left="24"/>
              <w:spacing w:after="0" w:line="145" w:lineRule="exact"/>
              <w:rPr>
                <w:sz w:val="20"/>
                <w:szCs w:val="20"/>
                <w:color w:val="auto"/>
              </w:rPr>
            </w:pPr>
            <w:r>
              <w:rPr>
                <w:rFonts w:ascii="Arial" w:cs="Arial" w:eastAsia="Arial" w:hAnsi="Arial"/>
                <w:sz w:val="15"/>
                <w:szCs w:val="15"/>
                <w:color w:val="auto"/>
              </w:rPr>
              <w:t>9.50%</w:t>
            </w:r>
          </w:p>
        </w:tc>
        <w:tc>
          <w:tcPr>
            <w:tcW w:w="1160" w:type="dxa"/>
            <w:vAlign w:val="bottom"/>
          </w:tcPr>
          <w:p>
            <w:pPr>
              <w:jc w:val="center"/>
              <w:spacing w:after="0" w:line="145" w:lineRule="exact"/>
              <w:rPr>
                <w:sz w:val="20"/>
                <w:szCs w:val="20"/>
                <w:color w:val="auto"/>
              </w:rPr>
            </w:pPr>
            <w:r>
              <w:rPr>
                <w:rFonts w:ascii="Arial" w:cs="Arial" w:eastAsia="Arial" w:hAnsi="Arial"/>
                <w:sz w:val="15"/>
                <w:szCs w:val="15"/>
                <w:color w:val="auto"/>
              </w:rPr>
              <w:t>6.71%</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50%/50%</w:t>
            </w:r>
          </w:p>
        </w:tc>
        <w:tc>
          <w:tcPr>
            <w:tcW w:w="1120" w:type="dxa"/>
            <w:vAlign w:val="bottom"/>
          </w:tcPr>
          <w:p>
            <w:pPr>
              <w:jc w:val="center"/>
              <w:ind w:left="5"/>
              <w:spacing w:after="0" w:line="145" w:lineRule="exact"/>
              <w:rPr>
                <w:sz w:val="20"/>
                <w:szCs w:val="20"/>
                <w:color w:val="auto"/>
              </w:rPr>
            </w:pPr>
            <w:r>
              <w:rPr>
                <w:rFonts w:ascii="Arial" w:cs="Arial" w:eastAsia="Arial" w:hAnsi="Arial"/>
                <w:sz w:val="15"/>
                <w:szCs w:val="15"/>
                <w:color w:val="auto"/>
              </w:rPr>
              <w:t>$504.20</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3/2021</w:t>
            </w:r>
          </w:p>
        </w:tc>
        <w:tc>
          <w:tcPr>
            <w:tcW w:w="3020" w:type="dxa"/>
            <w:vAlign w:val="bottom"/>
          </w:tcPr>
          <w:p>
            <w:pPr>
              <w:spacing w:after="0" w:line="145" w:lineRule="exact"/>
              <w:rPr>
                <w:sz w:val="20"/>
                <w:szCs w:val="20"/>
                <w:color w:val="auto"/>
              </w:rPr>
            </w:pPr>
            <w:r>
              <w:rPr>
                <w:rFonts w:ascii="Arial" w:cs="Arial" w:eastAsia="Arial" w:hAnsi="Arial"/>
                <w:sz w:val="15"/>
                <w:szCs w:val="15"/>
                <w:color w:val="auto"/>
              </w:rPr>
              <w:t>GCA, Cost of Bad Debt Collected through</w:t>
            </w: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line="162" w:lineRule="exact"/>
              <w:rPr>
                <w:sz w:val="20"/>
                <w:szCs w:val="20"/>
                <w:color w:val="auto"/>
              </w:rPr>
            </w:pPr>
            <w:r>
              <w:rPr>
                <w:rFonts w:ascii="Arial" w:cs="Arial" w:eastAsia="Arial" w:hAnsi="Arial"/>
                <w:sz w:val="15"/>
                <w:szCs w:val="15"/>
                <w:color w:val="auto"/>
              </w:rPr>
              <w:t>GCA, Infrastructure System Replacement</w:t>
            </w: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line="162" w:lineRule="exact"/>
              <w:rPr>
                <w:sz w:val="20"/>
                <w:szCs w:val="20"/>
                <w:color w:val="auto"/>
              </w:rPr>
            </w:pPr>
            <w:r>
              <w:rPr>
                <w:rFonts w:ascii="Arial" w:cs="Arial" w:eastAsia="Arial" w:hAnsi="Arial"/>
                <w:sz w:val="15"/>
                <w:szCs w:val="15"/>
                <w:color w:val="auto"/>
              </w:rPr>
              <w:t>Cost Recovery Surcharge, Choice Gas</w:t>
            </w: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line="162" w:lineRule="exact"/>
              <w:rPr>
                <w:sz w:val="20"/>
                <w:szCs w:val="20"/>
                <w:color w:val="auto"/>
              </w:rPr>
            </w:pPr>
            <w:r>
              <w:rPr>
                <w:rFonts w:ascii="Arial" w:cs="Arial" w:eastAsia="Arial" w:hAnsi="Arial"/>
                <w:sz w:val="15"/>
                <w:szCs w:val="15"/>
                <w:color w:val="auto"/>
              </w:rPr>
              <w:t>Program, SSIR, Bad Debt expense</w:t>
            </w:r>
          </w:p>
        </w:tc>
      </w:tr>
      <w:tr>
        <w:trPr>
          <w:trHeight w:val="162"/>
        </w:trPr>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tcPr>
          <w:p>
            <w:pPr>
              <w:spacing w:after="0" w:line="162" w:lineRule="exact"/>
              <w:rPr>
                <w:sz w:val="20"/>
                <w:szCs w:val="20"/>
                <w:color w:val="auto"/>
              </w:rPr>
            </w:pPr>
            <w:r>
              <w:rPr>
                <w:rFonts w:ascii="Arial" w:cs="Arial" w:eastAsia="Arial" w:hAnsi="Arial"/>
                <w:sz w:val="15"/>
                <w:szCs w:val="15"/>
                <w:color w:val="auto"/>
              </w:rPr>
              <w:t>recovered through Choice Supplier Fee,</w:t>
            </w:r>
          </w:p>
        </w:tc>
      </w:tr>
      <w:tr>
        <w:trPr>
          <w:trHeight w:val="193"/>
        </w:trPr>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Line Locate Surcharge, HEAT Program</w:t>
            </w:r>
          </w:p>
        </w:tc>
      </w:tr>
      <w:tr>
        <w:trPr>
          <w:trHeight w:val="145"/>
        </w:trPr>
        <w:tc>
          <w:tcPr>
            <w:tcW w:w="1420" w:type="dxa"/>
            <w:vAlign w:val="bottom"/>
            <w:shd w:val="clear" w:color="auto" w:fill="CFF0FC"/>
          </w:tcPr>
          <w:p>
            <w:pPr>
              <w:ind w:left="20"/>
              <w:spacing w:after="0" w:line="145" w:lineRule="exact"/>
              <w:rPr>
                <w:sz w:val="20"/>
                <w:szCs w:val="20"/>
                <w:color w:val="auto"/>
              </w:rPr>
            </w:pPr>
            <w:r>
              <w:rPr>
                <w:rFonts w:ascii="Arial" w:cs="Arial" w:eastAsia="Arial" w:hAnsi="Arial"/>
                <w:sz w:val="12"/>
                <w:szCs w:val="12"/>
                <w:color w:val="auto"/>
              </w:rPr>
              <w:t xml:space="preserve">Wyoming Gas </w:t>
            </w:r>
            <w:r>
              <w:rPr>
                <w:rFonts w:ascii="Arial" w:cs="Arial" w:eastAsia="Arial" w:hAnsi="Arial"/>
                <w:sz w:val="16"/>
                <w:szCs w:val="16"/>
                <w:color w:val="auto"/>
                <w:vertAlign w:val="superscript"/>
              </w:rPr>
              <w:t>(d)</w:t>
            </w:r>
          </w:p>
        </w:tc>
        <w:tc>
          <w:tcPr>
            <w:tcW w:w="1100" w:type="dxa"/>
            <w:vAlign w:val="bottom"/>
            <w:shd w:val="clear" w:color="auto" w:fill="CFF0FC"/>
          </w:tcPr>
          <w:p>
            <w:pPr>
              <w:jc w:val="center"/>
              <w:ind w:left="84"/>
              <w:spacing w:after="0" w:line="145" w:lineRule="exact"/>
              <w:rPr>
                <w:sz w:val="20"/>
                <w:szCs w:val="20"/>
                <w:color w:val="auto"/>
              </w:rPr>
            </w:pPr>
            <w:r>
              <w:rPr>
                <w:rFonts w:ascii="Arial" w:cs="Arial" w:eastAsia="Arial" w:hAnsi="Arial"/>
                <w:sz w:val="15"/>
                <w:szCs w:val="15"/>
                <w:color w:val="auto"/>
              </w:rPr>
              <w:t>WY</w:t>
            </w:r>
          </w:p>
        </w:tc>
        <w:tc>
          <w:tcPr>
            <w:tcW w:w="1340" w:type="dxa"/>
            <w:vAlign w:val="bottom"/>
            <w:shd w:val="clear" w:color="auto" w:fill="CFF0FC"/>
          </w:tcPr>
          <w:p>
            <w:pPr>
              <w:jc w:val="center"/>
              <w:ind w:left="24"/>
              <w:spacing w:after="0" w:line="145" w:lineRule="exact"/>
              <w:rPr>
                <w:sz w:val="20"/>
                <w:szCs w:val="20"/>
                <w:color w:val="auto"/>
              </w:rPr>
            </w:pPr>
            <w:r>
              <w:rPr>
                <w:rFonts w:ascii="Arial" w:cs="Arial" w:eastAsia="Arial" w:hAnsi="Arial"/>
                <w:sz w:val="15"/>
                <w:szCs w:val="15"/>
                <w:color w:val="auto"/>
              </w:rPr>
              <w:t>9.40%</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6.98%</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50%/50%</w:t>
            </w:r>
          </w:p>
        </w:tc>
        <w:tc>
          <w:tcPr>
            <w:tcW w:w="1120" w:type="dxa"/>
            <w:vAlign w:val="bottom"/>
            <w:shd w:val="clear" w:color="auto" w:fill="CFF0FC"/>
          </w:tcPr>
          <w:p>
            <w:pPr>
              <w:jc w:val="center"/>
              <w:ind w:left="5"/>
              <w:spacing w:after="0" w:line="145" w:lineRule="exact"/>
              <w:rPr>
                <w:sz w:val="20"/>
                <w:szCs w:val="20"/>
                <w:color w:val="auto"/>
              </w:rPr>
            </w:pPr>
            <w:r>
              <w:rPr>
                <w:rFonts w:ascii="Arial" w:cs="Arial" w:eastAsia="Arial" w:hAnsi="Arial"/>
                <w:sz w:val="15"/>
                <w:szCs w:val="15"/>
                <w:color w:val="auto"/>
              </w:rPr>
              <w:t>$354.40</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3/2020</w:t>
            </w:r>
          </w:p>
        </w:tc>
        <w:tc>
          <w:tcPr>
            <w:tcW w:w="302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GCA, EECR, Rate Base Recovery on</w:t>
            </w:r>
          </w:p>
        </w:tc>
      </w:tr>
      <w:tr>
        <w:trPr>
          <w:trHeight w:val="162"/>
        </w:trPr>
        <w:tc>
          <w:tcPr>
            <w:tcW w:w="14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Acquisition Adjustment, Wyoming Integrity</w:t>
            </w:r>
          </w:p>
        </w:tc>
      </w:tr>
      <w:tr>
        <w:trPr>
          <w:trHeight w:val="193"/>
        </w:trPr>
        <w:tc>
          <w:tcPr>
            <w:tcW w:w="14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5"/>
                <w:szCs w:val="15"/>
                <w:color w:val="auto"/>
              </w:rPr>
              <w:t>Rider, Choice Gas Program</w:t>
            </w:r>
          </w:p>
        </w:tc>
      </w:tr>
    </w:tbl>
    <w:p>
      <w:pPr>
        <w:spacing w:after="0"/>
        <w:rPr>
          <w:sz w:val="20"/>
          <w:szCs w:val="20"/>
          <w:color w:val="auto"/>
        </w:rPr>
      </w:pPr>
      <w:r>
        <w:rPr>
          <w:rFonts w:ascii="Arial" w:cs="Arial" w:eastAsia="Arial" w:hAnsi="Arial"/>
          <w:sz w:val="16"/>
          <w:szCs w:val="16"/>
          <w:color w:val="auto"/>
        </w:rPr>
        <w:t>____________________</w:t>
      </w:r>
    </w:p>
    <w:p>
      <w:pPr>
        <w:spacing w:after="0" w:line="1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certain liabilities from rate review capital structure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rate base is adjusted to include certain liabilities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-318770</wp:posOffset>
            </wp:positionV>
            <wp:extent cx="269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22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260" w:type="dxa"/>
            <w:vAlign w:val="bottom"/>
            <w:gridSpan w:val="6"/>
          </w:tcPr>
          <w:p>
            <w:pPr>
              <w:spacing w:after="0"/>
              <w:rPr>
                <w:sz w:val="20"/>
                <w:szCs w:val="20"/>
                <w:color w:val="auto"/>
              </w:rPr>
            </w:pPr>
            <w:r>
              <w:rPr>
                <w:rFonts w:ascii="Arial" w:cs="Arial" w:eastAsia="Arial" w:hAnsi="Arial"/>
                <w:sz w:val="16"/>
                <w:szCs w:val="16"/>
                <w:color w:val="auto"/>
              </w:rPr>
              <w:t>The following table summarizes the mechanisms we have in place for each of our Gas Utilities:</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260" w:type="dxa"/>
            <w:vAlign w:val="bottom"/>
            <w:gridSpan w:val="2"/>
            <w:vMerge w:val="restart"/>
          </w:tcPr>
          <w:p>
            <w:pPr>
              <w:ind w:left="120"/>
              <w:spacing w:after="0"/>
              <w:rPr>
                <w:sz w:val="20"/>
                <w:szCs w:val="20"/>
                <w:color w:val="auto"/>
              </w:rPr>
            </w:pPr>
            <w:r>
              <w:rPr>
                <w:rFonts w:ascii="Arial" w:cs="Arial" w:eastAsia="Arial" w:hAnsi="Arial"/>
                <w:sz w:val="16"/>
                <w:szCs w:val="16"/>
                <w:color w:val="auto"/>
              </w:rPr>
              <w:t>Gas Utility Jurisdiction</w:t>
            </w:r>
          </w:p>
        </w:tc>
        <w:tc>
          <w:tcPr>
            <w:tcW w:w="1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color w:val="auto"/>
              </w:rPr>
              <w:t>Cost Recovery Mechanisms</w:t>
            </w:r>
          </w:p>
        </w:tc>
        <w:tc>
          <w:tcPr>
            <w:tcW w:w="1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6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w w:val="98"/>
              </w:rPr>
              <w:t>Integrity</w:t>
            </w:r>
          </w:p>
        </w:tc>
        <w:tc>
          <w:tcPr>
            <w:tcW w:w="1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color w:val="auto"/>
              </w:rPr>
              <w:t>Weather</w:t>
            </w:r>
          </w:p>
        </w:tc>
        <w:tc>
          <w:tcPr>
            <w:tcW w:w="1220" w:type="dxa"/>
            <w:vAlign w:val="bottom"/>
          </w:tcPr>
          <w:p>
            <w:pPr>
              <w:jc w:val="center"/>
              <w:spacing w:after="0" w:line="183" w:lineRule="exact"/>
              <w:rPr>
                <w:sz w:val="20"/>
                <w:szCs w:val="20"/>
                <w:color w:val="auto"/>
              </w:rPr>
            </w:pPr>
            <w:r>
              <w:rPr>
                <w:rFonts w:ascii="Arial" w:cs="Arial" w:eastAsia="Arial" w:hAnsi="Arial"/>
                <w:sz w:val="16"/>
                <w:szCs w:val="16"/>
                <w:color w:val="auto"/>
              </w:rPr>
              <w:t>Pension</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Gas Cost </w:t>
            </w:r>
            <w:r>
              <w:rPr>
                <w:rFonts w:ascii="Arial" w:cs="Arial" w:eastAsia="Arial" w:hAnsi="Arial"/>
                <w:sz w:val="21"/>
                <w:szCs w:val="21"/>
                <w:color w:val="auto"/>
                <w:w w:val="97"/>
                <w:vertAlign w:val="superscript"/>
              </w:rPr>
              <w:t>(b)</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7"/>
        </w:trPr>
        <w:tc>
          <w:tcPr>
            <w:tcW w:w="1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EECR/DSM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Bad Debt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Recovery</w:t>
            </w:r>
          </w:p>
        </w:tc>
        <w:tc>
          <w:tcPr>
            <w:tcW w:w="1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Decoupling</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Arkansas Gas</w:t>
            </w:r>
          </w:p>
        </w:tc>
        <w:tc>
          <w:tcPr>
            <w:tcW w:w="14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Colorado Gas</w:t>
            </w:r>
          </w:p>
        </w:tc>
        <w:tc>
          <w:tcPr>
            <w:tcW w:w="1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16"/>
                <w:szCs w:val="16"/>
                <w:color w:val="auto"/>
              </w:rPr>
              <w:t xml:space="preserve">RMNG </w:t>
            </w:r>
            <w:r>
              <w:rPr>
                <w:rFonts w:ascii="Arial" w:cs="Arial" w:eastAsia="Arial" w:hAnsi="Arial"/>
                <w:sz w:val="21"/>
                <w:szCs w:val="21"/>
                <w:color w:val="auto"/>
                <w:vertAlign w:val="superscript"/>
              </w:rPr>
              <w:t>(a)</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Iowa Gas</w:t>
            </w:r>
          </w:p>
        </w:tc>
        <w:tc>
          <w:tcPr>
            <w:tcW w:w="1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Kansas Gas</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1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Nebraska Gas</w:t>
            </w:r>
          </w:p>
        </w:tc>
        <w:tc>
          <w:tcPr>
            <w:tcW w:w="1440" w:type="dxa"/>
            <w:vAlign w:val="bottom"/>
          </w:tcPr>
          <w:p>
            <w:pPr>
              <w:spacing w:after="0"/>
              <w:rPr>
                <w:sz w:val="18"/>
                <w:szCs w:val="18"/>
                <w:color w:val="auto"/>
              </w:rPr>
            </w:pP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Wyoming Gas</w:t>
            </w:r>
          </w:p>
        </w:tc>
        <w:tc>
          <w:tcPr>
            <w:tcW w:w="14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60" w:type="dxa"/>
            <w:vAlign w:val="bottom"/>
            <w:gridSpan w:val="2"/>
          </w:tcPr>
          <w:p>
            <w:pPr>
              <w:spacing w:after="0"/>
              <w:rPr>
                <w:sz w:val="20"/>
                <w:szCs w:val="20"/>
                <w:color w:val="auto"/>
              </w:rPr>
            </w:pPr>
            <w:r>
              <w:rPr>
                <w:rFonts w:ascii="Arial" w:cs="Arial" w:eastAsia="Arial" w:hAnsi="Arial"/>
                <w:sz w:val="16"/>
                <w:szCs w:val="16"/>
                <w:color w:val="auto"/>
              </w:rPr>
              <w:t>____________________</w:t>
            </w: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20" w:right="100" w:hanging="512"/>
        <w:spacing w:after="0" w:line="28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RMNG, which is an intrastate transmission pipeline that provides natural gas transmission and wholesale services in western Colorado, has an SSIR mechanism which allows recovery of investments through December 31, 2021. The other cost recovery mechanisms are not applicable to RMNG.</w:t>
      </w:r>
    </w:p>
    <w:p>
      <w:pPr>
        <w:spacing w:after="0" w:line="1" w:lineRule="exact"/>
        <w:rPr>
          <w:rFonts w:ascii="Arial" w:cs="Arial" w:eastAsia="Arial" w:hAnsi="Arial"/>
          <w:sz w:val="14"/>
          <w:szCs w:val="14"/>
          <w:color w:val="auto"/>
        </w:rPr>
      </w:pPr>
    </w:p>
    <w:p>
      <w:pPr>
        <w:ind w:left="520" w:right="20" w:hanging="512"/>
        <w:spacing w:after="0" w:line="285"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our Gas Utilities, except where the Choice Gas Program is the only option, have GCAs that allow us to pass the prudently-incurred cost of gas and certain services through to the customer between rate reviews.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Tariff Filings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information regarding current regulatory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FERC</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Federal Power Act gives FERC exclusive rate-making jurisdiction over wholesale sales of electricity and the transmission of 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Utility subsidiaries provide FERC-jurisdictional services subject to FERC’s oversight.</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Electric Utilities entities are authorized by FERC to make wholesale sales of electric capacity and energy at market-based rates under tariffs on file with FERC. As a condition of their market-based rate authority, Electric Quarterly Reports are filed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PUHCA 2005 provides FERC authority with respect to the books and records of a utility holding company. As a utility holding company whose assets consist primarily of investments in our subsidiaries, including subsidiaries that are public utilities and also a centralized service company subsidiary, BHSC, we are subject to FERC’s authority under PUHCA 2005.</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PUHCA 2005 reiterated the definition and benefits of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three EWGs, Wygen I, Pueblo Airport Generation (facilities #4-5) and Northern Iowa Windpower. Each of these three EWGs have been granted market-based rate authority.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NERC</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Energy Policy Act of 2005 included provisions to create an Electric Reliability Organization, which is required to promulgate 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can be subject to fines and can also be assessed non-monetary penalties, depending upon the nature and severity of the violation.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Pipeline Security</w:t>
      </w:r>
    </w:p>
    <w:p>
      <w:pPr>
        <w:spacing w:after="0" w:line="19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May and July 2021, the TSA issued security directives in response to a ransomware attack on the Colonial Pipeline that occurred earlier in 2021 that included several new cybersecurity requirements for critical pipeline owners and operators. Among these requirements is the implementation of specific mitigation measures to protect against ransomware attacks and other known threats to information and operational technology systems; development and implementation of a cybersecurity contingency and recovery plan; and performance of a cybersecurity architecture design review. We have implemented several of these directives and are evaluating the potential effect of several others on our operations and facilities, as well as the potential cost of implementation, and will continue to monitor for any clarifications or amendments to these directives.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Pipeline and Storage Integrity and Safety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subject to regulation by PHMSA, which requires the following for certain gas distribution and transmission pipelines and underground storage facilities: inspection and maintenance plans; integrity management programs, including the determination of pipeline integrity risks and periodic assessments on certain pipeline segments; an operator qualification program, which includes certain trainings; a public awareness program that provides certain information; and a control room management plan. If we fail to comply with applicable statutes and the PHMSA Office of Pipeline Safety’s rules and related regulations and orders, we could be subject to significant penalties and fines.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9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 xml:space="preserve">We have clean energy goals to reduce GHG emissions that are based on prudent and proven solutions while minimizing cost impacts to and ensuring safety of our customers. See more information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-156210</wp:posOffset>
            </wp:positionV>
            <wp:extent cx="17837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715" cy="8255"/>
                    </a:xfrm>
                    <a:prstGeom prst="rect">
                      <a:avLst/>
                    </a:prstGeom>
                    <a:noFill/>
                  </pic:spPr>
                </pic:pic>
              </a:graphicData>
            </a:graphic>
          </wp:anchor>
        </w:drawing>
        <w:drawing>
          <wp:anchor simplePos="0" relativeHeight="251657728" behindDoc="1" locked="0" layoutInCell="0" allowOverlap="1">
            <wp:simplePos x="0" y="0"/>
            <wp:positionH relativeFrom="column">
              <wp:posOffset>1131570</wp:posOffset>
            </wp:positionH>
            <wp:positionV relativeFrom="paragraph">
              <wp:posOffset>-36195</wp:posOffset>
            </wp:positionV>
            <wp:extent cx="285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2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are subject to significant state and federal environmental regulations that encourage the use of clean energy technologies and regulate emissions of GHGs. We have undertaken initiatives to meet current requirements and to prepare for anticipated future regulations, reduce GHG emissions, and respond to state renewable and energy efficiency goals. Compliance with future environmental regulations could result in substantial cost.</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July of 2019, the EPA adopted the Affordable Clean Energy rule, which requires states to develop plans by 2022 for GHG reductions from coal-fired power plants. In a January 2021 decision, the U.S. Court of Appeals for the D.C. Circuit issued a decision vacating and remanding the Affordable Clean Energy rule. Four petitions for review of the D.C. Circuit’s opinion were subsequently granted by the U.S. Supreme Court on October 29, 2021, consolidated under West Virginia v. EPA et al. On June 30, 2022, the U.S. Supreme Court released its opinion in favor of West Virginia and aligned parties. The decision clarifies that there are limits on how the EPA may regulate GHGs absent further direction from the U.S. Congress. The court concluded that emission caps that would cause generation shifting from fossil-fuel-fired power plants to renewable energy facilities would require specific congressional authorization and that such authorization had not been given under the Clean Air Act. The decision by the U.S. Supreme Court may affect the EPA’s development of any new regulations to address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emissions from coal- and natural gas-fired power plants; however, at this time, we cannot predict the impact of any such regulations or the</w:t>
      </w:r>
    </w:p>
    <w:p>
      <w:pPr>
        <w:ind w:right="40"/>
        <w:spacing w:after="0" w:line="252" w:lineRule="auto"/>
        <w:rPr>
          <w:sz w:val="20"/>
          <w:szCs w:val="20"/>
          <w:color w:val="auto"/>
        </w:rPr>
      </w:pPr>
      <w:r>
        <w:rPr>
          <w:rFonts w:ascii="Arial" w:cs="Arial" w:eastAsia="Arial" w:hAnsi="Arial"/>
          <w:sz w:val="16"/>
          <w:szCs w:val="16"/>
          <w:color w:val="auto"/>
        </w:rPr>
        <w:t>decision by the U.S. Supreme Court on the results of operations, financial position, and liquidity. The EPA has indicated that it intends to issue a proposed rule in early 2023 with a new set of emission guidelines for states to follow in submitting state plans to establish and implement standards of performance for GHG emissions from existing fossil fuel-fired electric generating units. We will continue to monitor any related guidelines and rulemakings issued by the EPA or state regulatory authorities.</w:t>
      </w:r>
    </w:p>
    <w:p>
      <w:pPr>
        <w:spacing w:after="0" w:line="183" w:lineRule="exact"/>
        <w:rPr>
          <w:sz w:val="20"/>
          <w:szCs w:val="20"/>
          <w:color w:val="auto"/>
        </w:rPr>
      </w:pPr>
    </w:p>
    <w:p>
      <w:pPr>
        <w:ind w:right="620"/>
        <w:spacing w:after="0" w:line="237" w:lineRule="auto"/>
        <w:rPr>
          <w:sz w:val="20"/>
          <w:szCs w:val="20"/>
          <w:color w:val="auto"/>
        </w:rPr>
      </w:pPr>
      <w:r>
        <w:rPr>
          <w:rFonts w:ascii="Arial" w:cs="Arial" w:eastAsia="Arial" w:hAnsi="Arial"/>
          <w:sz w:val="16"/>
          <w:szCs w:val="16"/>
          <w:color w:val="auto"/>
        </w:rPr>
        <w:t>In February 2022, the EPA proposed the Good Neighbor Rule Provisions, which are part of the CSAPR framework and is intended to address ozone transport for the 2015 ozone NAAQS. The rule focuses on reductions of NO</w:t>
      </w:r>
      <w:r>
        <w:rPr>
          <w:rFonts w:ascii="Arial" w:cs="Arial" w:eastAsia="Arial" w:hAnsi="Arial"/>
          <w:sz w:val="21"/>
          <w:szCs w:val="21"/>
          <w:color w:val="auto"/>
          <w:vertAlign w:val="subscript"/>
        </w:rPr>
        <w:t>x</w:t>
      </w:r>
      <w:r>
        <w:rPr>
          <w:rFonts w:ascii="Arial" w:cs="Arial" w:eastAsia="Arial" w:hAnsi="Arial"/>
          <w:sz w:val="16"/>
          <w:szCs w:val="16"/>
          <w:color w:val="auto"/>
        </w:rPr>
        <w:t>, which is a precursor to ozone formation, for states that do not have an</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approved State Implementation Plan (SIP). On January 31, 2023, the EPA finalized a notice which disapproved 19 SIPs, partially disapproved two other SIPs and deferred action until December 2023 on two SIPs, which included Wyoming. The EPA action on January 31, 2023 was a necessary prerequisite for the EPA to finalize a proposed Good Neighbor Rule by the March 15, 2023 deadline. The EPA also released a new air quality modeling that indicated two states (including Wyoming), which were previously within scope of the Good Neighbor Rule, no longer exceeded the cross-state ozone emissions threshold. It is likely that the EPA will rely on this new air quality modeling as part of the final Good Neighbor Rule. Based on the new air quality modeling, Wyoming will not be required to purchase additional NO</w:t>
      </w:r>
      <w:r>
        <w:rPr>
          <w:rFonts w:ascii="Arial" w:cs="Arial" w:eastAsia="Arial" w:hAnsi="Arial"/>
          <w:sz w:val="21"/>
          <w:szCs w:val="21"/>
          <w:color w:val="auto"/>
          <w:vertAlign w:val="subscript"/>
        </w:rPr>
        <w:t>x</w:t>
      </w:r>
      <w:r>
        <w:rPr>
          <w:rFonts w:ascii="Arial" w:cs="Arial" w:eastAsia="Arial" w:hAnsi="Arial"/>
          <w:sz w:val="16"/>
          <w:szCs w:val="16"/>
          <w:color w:val="auto"/>
        </w:rPr>
        <w:t xml:space="preserve"> allowances during the 2023 ozone season. Until the EPA takes action on Wyoming's SIP, which is anticipated in</w:t>
      </w:r>
    </w:p>
    <w:p>
      <w:pPr>
        <w:spacing w:after="0" w:line="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December 2023, we cannot determine our future CSAPR compliance costs or impacts on our operations, but they could be material. However, we anticipate that any costs incurred as a result of the proposed rule would be recoverable through our regulatory mechanisms.</w:t>
      </w:r>
    </w:p>
    <w:p>
      <w:pPr>
        <w:spacing w:after="0" w:line="14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Environmental risk changes constantly with the implementation of new or modified regulations, changing stakeholder interests and needs, and through the introduction of innovative work practices and technologies. We continually assess risk and develop mitigation strategies to manage and ensure compliance across the enterprise successfully and responsibly. For additional information on environmental matters, see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-151765</wp:posOffset>
            </wp:positionV>
            <wp:extent cx="886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committed to supporting operational excellence by attracting, motivating, retaining and encouraging the development of a highly qualified and diverse employee team. Our employees’ drive and dedication to their work, and their commitment to the safety of our customers and their fellow employees, allows us to successfully grow and manage our business year over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Borders>
              <w:bottom w:val="single" w:sz="8" w:color="auto"/>
            </w:tcBorders>
          </w:tcPr>
          <w:p>
            <w:pPr>
              <w:ind w:left="2880"/>
              <w:spacing w:after="0"/>
              <w:rPr>
                <w:sz w:val="20"/>
                <w:szCs w:val="20"/>
                <w:color w:val="auto"/>
              </w:rPr>
            </w:pPr>
            <w:r>
              <w:rPr>
                <w:rFonts w:ascii="Arial" w:cs="Arial" w:eastAsia="Arial" w:hAnsi="Arial"/>
                <w:sz w:val="16"/>
                <w:szCs w:val="16"/>
                <w:b w:val="1"/>
                <w:bCs w:val="1"/>
                <w:color w:val="auto"/>
              </w:rPr>
              <w:t>Our Team</w:t>
            </w:r>
          </w:p>
        </w:tc>
        <w:tc>
          <w:tcPr>
            <w:tcW w:w="362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As of December 31, 2022</w:t>
            </w:r>
          </w:p>
        </w:tc>
        <w:tc>
          <w:tcPr>
            <w:tcW w:w="226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As of December 31, 2021</w:t>
            </w:r>
          </w:p>
        </w:tc>
      </w:tr>
      <w:tr>
        <w:trPr>
          <w:trHeight w:val="209"/>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employees</w:t>
            </w:r>
          </w:p>
        </w:tc>
        <w:tc>
          <w:tcPr>
            <w:tcW w:w="3620" w:type="dxa"/>
            <w:vAlign w:val="bottom"/>
            <w:shd w:val="clear" w:color="auto" w:fill="CFF0FC"/>
          </w:tcPr>
          <w:p>
            <w:pPr>
              <w:jc w:val="center"/>
              <w:ind w:left="1159"/>
              <w:spacing w:after="0"/>
              <w:rPr>
                <w:sz w:val="20"/>
                <w:szCs w:val="20"/>
                <w:color w:val="auto"/>
              </w:rPr>
            </w:pPr>
            <w:r>
              <w:rPr>
                <w:rFonts w:ascii="Arial" w:cs="Arial" w:eastAsia="Arial" w:hAnsi="Arial"/>
                <w:sz w:val="16"/>
                <w:szCs w:val="16"/>
                <w:color w:val="auto"/>
              </w:rPr>
              <w:t>2,982</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2,884</w:t>
            </w:r>
          </w:p>
        </w:tc>
      </w:tr>
      <w:tr>
        <w:trPr>
          <w:trHeight w:val="216"/>
        </w:trPr>
        <w:tc>
          <w:tcPr>
            <w:tcW w:w="53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Women in executive leadership positions </w:t>
            </w:r>
            <w:r>
              <w:rPr>
                <w:rFonts w:ascii="Arial" w:cs="Arial" w:eastAsia="Arial" w:hAnsi="Arial"/>
                <w:sz w:val="21"/>
                <w:szCs w:val="21"/>
                <w:color w:val="auto"/>
                <w:vertAlign w:val="superscript"/>
              </w:rPr>
              <w:t>(a)</w:t>
            </w:r>
          </w:p>
        </w:tc>
        <w:tc>
          <w:tcPr>
            <w:tcW w:w="3620" w:type="dxa"/>
            <w:vAlign w:val="bottom"/>
          </w:tcPr>
          <w:p>
            <w:pPr>
              <w:jc w:val="center"/>
              <w:ind w:left="1159"/>
              <w:spacing w:after="0"/>
              <w:rPr>
                <w:sz w:val="20"/>
                <w:szCs w:val="20"/>
                <w:color w:val="auto"/>
              </w:rPr>
            </w:pPr>
            <w:r>
              <w:rPr>
                <w:rFonts w:ascii="Arial" w:cs="Arial" w:eastAsia="Arial" w:hAnsi="Arial"/>
                <w:sz w:val="16"/>
                <w:szCs w:val="16"/>
                <w:color w:val="auto"/>
              </w:rPr>
              <w:t>33%</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9"/>
              </w:rPr>
              <w:t>30%</w:t>
            </w:r>
          </w:p>
        </w:tc>
      </w:tr>
      <w:tr>
        <w:trPr>
          <w:trHeight w:val="216"/>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Gender diversity (women as a % of total employees)</w:t>
            </w:r>
          </w:p>
        </w:tc>
        <w:tc>
          <w:tcPr>
            <w:tcW w:w="3620" w:type="dxa"/>
            <w:vAlign w:val="bottom"/>
            <w:shd w:val="clear" w:color="auto" w:fill="CFF0FC"/>
          </w:tcPr>
          <w:p>
            <w:pPr>
              <w:jc w:val="center"/>
              <w:ind w:left="1159"/>
              <w:spacing w:after="0"/>
              <w:rPr>
                <w:sz w:val="20"/>
                <w:szCs w:val="20"/>
                <w:color w:val="auto"/>
              </w:rPr>
            </w:pPr>
            <w:r>
              <w:rPr>
                <w:rFonts w:ascii="Arial" w:cs="Arial" w:eastAsia="Arial" w:hAnsi="Arial"/>
                <w:sz w:val="16"/>
                <w:szCs w:val="16"/>
                <w:color w:val="auto"/>
              </w:rPr>
              <w:t>25%</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26%</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Represented by a union</w:t>
            </w:r>
          </w:p>
        </w:tc>
        <w:tc>
          <w:tcPr>
            <w:tcW w:w="3620" w:type="dxa"/>
            <w:vAlign w:val="bottom"/>
          </w:tcPr>
          <w:p>
            <w:pPr>
              <w:jc w:val="center"/>
              <w:ind w:left="1159"/>
              <w:spacing w:after="0"/>
              <w:rPr>
                <w:sz w:val="20"/>
                <w:szCs w:val="20"/>
                <w:color w:val="auto"/>
              </w:rPr>
            </w:pPr>
            <w:r>
              <w:rPr>
                <w:rFonts w:ascii="Arial" w:cs="Arial" w:eastAsia="Arial" w:hAnsi="Arial"/>
                <w:sz w:val="16"/>
                <w:szCs w:val="16"/>
                <w:color w:val="auto"/>
              </w:rPr>
              <w:t>25%</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9"/>
              </w:rPr>
              <w:t>25%</w:t>
            </w:r>
          </w:p>
        </w:tc>
      </w:tr>
      <w:tr>
        <w:trPr>
          <w:trHeight w:val="217"/>
        </w:trPr>
        <w:tc>
          <w:tcPr>
            <w:tcW w:w="5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Military veterans</w:t>
            </w:r>
          </w:p>
        </w:tc>
        <w:tc>
          <w:tcPr>
            <w:tcW w:w="3620" w:type="dxa"/>
            <w:vAlign w:val="bottom"/>
            <w:shd w:val="clear" w:color="auto" w:fill="CFF0FC"/>
          </w:tcPr>
          <w:p>
            <w:pPr>
              <w:jc w:val="center"/>
              <w:ind w:left="1159"/>
              <w:spacing w:after="0"/>
              <w:rPr>
                <w:sz w:val="20"/>
                <w:szCs w:val="20"/>
                <w:color w:val="auto"/>
              </w:rPr>
            </w:pPr>
            <w:r>
              <w:rPr>
                <w:rFonts w:ascii="Arial" w:cs="Arial" w:eastAsia="Arial" w:hAnsi="Arial"/>
                <w:sz w:val="16"/>
                <w:szCs w:val="16"/>
                <w:color w:val="auto"/>
                <w:w w:val="93"/>
              </w:rPr>
              <w:t>11%</w:t>
            </w:r>
          </w:p>
        </w:tc>
        <w:tc>
          <w:tcPr>
            <w:tcW w:w="226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14%</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Ethnic diversity (non-white employees as a % of total)</w:t>
            </w:r>
          </w:p>
        </w:tc>
        <w:tc>
          <w:tcPr>
            <w:tcW w:w="3620" w:type="dxa"/>
            <w:vAlign w:val="bottom"/>
          </w:tcPr>
          <w:p>
            <w:pPr>
              <w:jc w:val="center"/>
              <w:ind w:left="1159"/>
              <w:spacing w:after="0"/>
              <w:rPr>
                <w:sz w:val="20"/>
                <w:szCs w:val="20"/>
                <w:color w:val="auto"/>
              </w:rPr>
            </w:pPr>
            <w:r>
              <w:rPr>
                <w:rFonts w:ascii="Arial" w:cs="Arial" w:eastAsia="Arial" w:hAnsi="Arial"/>
                <w:sz w:val="16"/>
                <w:szCs w:val="16"/>
                <w:color w:val="auto"/>
              </w:rPr>
              <w:t>14%</w:t>
            </w:r>
          </w:p>
        </w:tc>
        <w:tc>
          <w:tcPr>
            <w:tcW w:w="2260" w:type="dxa"/>
            <w:vAlign w:val="bottom"/>
          </w:tcPr>
          <w:p>
            <w:pPr>
              <w:jc w:val="center"/>
              <w:ind w:left="19"/>
              <w:spacing w:after="0"/>
              <w:rPr>
                <w:sz w:val="20"/>
                <w:szCs w:val="20"/>
                <w:color w:val="auto"/>
              </w:rPr>
            </w:pPr>
            <w:r>
              <w:rPr>
                <w:rFonts w:ascii="Arial" w:cs="Arial" w:eastAsia="Arial" w:hAnsi="Arial"/>
                <w:sz w:val="16"/>
                <w:szCs w:val="16"/>
                <w:color w:val="auto"/>
                <w:w w:val="99"/>
              </w:rPr>
              <w:t>12%</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2260" w:type="dxa"/>
            <w:vAlign w:val="bottom"/>
          </w:tcPr>
          <w:p>
            <w:pPr>
              <w:ind w:left="340"/>
              <w:spacing w:after="0"/>
              <w:rPr>
                <w:sz w:val="20"/>
                <w:szCs w:val="20"/>
                <w:color w:val="auto"/>
              </w:rPr>
            </w:pPr>
            <w:r>
              <w:rPr>
                <w:rFonts w:ascii="Arial" w:cs="Arial" w:eastAsia="Arial" w:hAnsi="Arial"/>
                <w:sz w:val="16"/>
                <w:szCs w:val="16"/>
                <w:b w:val="1"/>
                <w:bCs w:val="1"/>
                <w:color w:val="auto"/>
              </w:rPr>
              <w:t>For the year ended</w:t>
            </w:r>
          </w:p>
        </w:tc>
        <w:tc>
          <w:tcPr>
            <w:tcW w:w="2280" w:type="dxa"/>
            <w:vAlign w:val="bottom"/>
          </w:tcPr>
          <w:p>
            <w:pPr>
              <w:ind w:left="440"/>
              <w:spacing w:after="0"/>
              <w:rPr>
                <w:sz w:val="20"/>
                <w:szCs w:val="20"/>
                <w:color w:val="auto"/>
              </w:rPr>
            </w:pPr>
            <w:r>
              <w:rPr>
                <w:rFonts w:ascii="Arial" w:cs="Arial" w:eastAsia="Arial" w:hAnsi="Arial"/>
                <w:sz w:val="16"/>
                <w:szCs w:val="16"/>
                <w:b w:val="1"/>
                <w:bCs w:val="1"/>
                <w:color w:val="auto"/>
              </w:rPr>
              <w:t>For the year ended</w:t>
            </w:r>
          </w:p>
        </w:tc>
      </w:tr>
      <w:tr>
        <w:trPr>
          <w:trHeight w:val="217"/>
        </w:trPr>
        <w:tc>
          <w:tcPr>
            <w:tcW w:w="6700" w:type="dxa"/>
            <w:vAlign w:val="bottom"/>
          </w:tcPr>
          <w:p>
            <w:pPr>
              <w:spacing w:after="0"/>
              <w:rPr>
                <w:sz w:val="18"/>
                <w:szCs w:val="18"/>
                <w:color w:val="auto"/>
              </w:rPr>
            </w:pPr>
          </w:p>
        </w:tc>
        <w:tc>
          <w:tcPr>
            <w:tcW w:w="22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December 31, 2022</w:t>
            </w:r>
          </w:p>
        </w:tc>
        <w:tc>
          <w:tcPr>
            <w:tcW w:w="22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external hires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487</w:t>
            </w:r>
          </w:p>
        </w:tc>
        <w:tc>
          <w:tcPr>
            <w:tcW w:w="22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7"/>
              </w:rPr>
              <w:t>214</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External hires gender diversity (as a % of total external hires)</w:t>
            </w:r>
          </w:p>
        </w:tc>
        <w:tc>
          <w:tcPr>
            <w:tcW w:w="2260" w:type="dxa"/>
            <w:vAlign w:val="bottom"/>
          </w:tcPr>
          <w:p>
            <w:pPr>
              <w:jc w:val="center"/>
              <w:spacing w:after="0"/>
              <w:rPr>
                <w:sz w:val="20"/>
                <w:szCs w:val="20"/>
                <w:color w:val="auto"/>
              </w:rPr>
            </w:pPr>
            <w:r>
              <w:rPr>
                <w:rFonts w:ascii="Arial" w:cs="Arial" w:eastAsia="Arial" w:hAnsi="Arial"/>
                <w:sz w:val="16"/>
                <w:szCs w:val="16"/>
                <w:color w:val="auto"/>
              </w:rPr>
              <w:t>30%</w:t>
            </w:r>
          </w:p>
        </w:tc>
        <w:tc>
          <w:tcPr>
            <w:tcW w:w="2280" w:type="dxa"/>
            <w:vAlign w:val="bottom"/>
          </w:tcPr>
          <w:p>
            <w:pPr>
              <w:jc w:val="center"/>
              <w:ind w:left="39"/>
              <w:spacing w:after="0"/>
              <w:rPr>
                <w:sz w:val="20"/>
                <w:szCs w:val="20"/>
                <w:color w:val="auto"/>
              </w:rPr>
            </w:pPr>
            <w:r>
              <w:rPr>
                <w:rFonts w:ascii="Arial" w:cs="Arial" w:eastAsia="Arial" w:hAnsi="Arial"/>
                <w:sz w:val="16"/>
                <w:szCs w:val="16"/>
                <w:color w:val="auto"/>
                <w:w w:val="99"/>
              </w:rPr>
              <w:t>25%</w:t>
            </w:r>
          </w:p>
        </w:tc>
      </w:tr>
      <w:tr>
        <w:trPr>
          <w:trHeight w:val="217"/>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hires ethnic diversity (as a % of total external hires)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23%</w:t>
            </w:r>
          </w:p>
        </w:tc>
        <w:tc>
          <w:tcPr>
            <w:tcW w:w="22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20%</w:t>
            </w:r>
          </w:p>
        </w:tc>
      </w:tr>
      <w:tr>
        <w:trPr>
          <w:trHeight w:val="216"/>
        </w:trPr>
        <w:tc>
          <w:tcPr>
            <w:tcW w:w="6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Turnover rate </w:t>
            </w:r>
            <w:r>
              <w:rPr>
                <w:rFonts w:ascii="Arial" w:cs="Arial" w:eastAsia="Arial" w:hAnsi="Arial"/>
                <w:sz w:val="21"/>
                <w:szCs w:val="21"/>
                <w:color w:val="auto"/>
                <w:vertAlign w:val="superscript"/>
              </w:rPr>
              <w:t>(b)</w:t>
            </w:r>
          </w:p>
        </w:tc>
        <w:tc>
          <w:tcPr>
            <w:tcW w:w="2260" w:type="dxa"/>
            <w:vAlign w:val="bottom"/>
          </w:tcPr>
          <w:p>
            <w:pPr>
              <w:jc w:val="center"/>
              <w:spacing w:after="0"/>
              <w:rPr>
                <w:sz w:val="20"/>
                <w:szCs w:val="20"/>
                <w:color w:val="auto"/>
              </w:rPr>
            </w:pPr>
            <w:r>
              <w:rPr>
                <w:rFonts w:ascii="Arial" w:cs="Arial" w:eastAsia="Arial" w:hAnsi="Arial"/>
                <w:sz w:val="16"/>
                <w:szCs w:val="16"/>
                <w:color w:val="auto"/>
              </w:rPr>
              <w:t>13%</w:t>
            </w:r>
          </w:p>
        </w:tc>
        <w:tc>
          <w:tcPr>
            <w:tcW w:w="2280" w:type="dxa"/>
            <w:vAlign w:val="bottom"/>
          </w:tcPr>
          <w:p>
            <w:pPr>
              <w:jc w:val="center"/>
              <w:ind w:left="19"/>
              <w:spacing w:after="0"/>
              <w:rPr>
                <w:sz w:val="20"/>
                <w:szCs w:val="20"/>
                <w:color w:val="auto"/>
              </w:rPr>
            </w:pPr>
            <w:r>
              <w:rPr>
                <w:rFonts w:ascii="Arial" w:cs="Arial" w:eastAsia="Arial" w:hAnsi="Arial"/>
                <w:sz w:val="16"/>
                <w:szCs w:val="16"/>
                <w:color w:val="auto"/>
                <w:w w:val="93"/>
              </w:rPr>
              <w:t>11%</w:t>
            </w:r>
          </w:p>
        </w:tc>
      </w:tr>
      <w:tr>
        <w:trPr>
          <w:trHeight w:val="216"/>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Retirement rate</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w:t>
            </w:r>
          </w:p>
        </w:tc>
        <w:tc>
          <w:tcPr>
            <w:tcW w:w="22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3%</w:t>
            </w: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____________________</w:t>
            </w:r>
          </w:p>
        </w:tc>
        <w:tc>
          <w:tcPr>
            <w:tcW w:w="2260" w:type="dxa"/>
            <w:vAlign w:val="bottom"/>
          </w:tcPr>
          <w:p>
            <w:pPr>
              <w:spacing w:after="0"/>
              <w:rPr>
                <w:sz w:val="18"/>
                <w:szCs w:val="18"/>
                <w:color w:val="auto"/>
              </w:rPr>
            </w:pPr>
          </w:p>
        </w:tc>
        <w:tc>
          <w:tcPr>
            <w:tcW w:w="2280" w:type="dxa"/>
            <w:vAlign w:val="bottom"/>
          </w:tcPr>
          <w:p>
            <w:pPr>
              <w:spacing w:after="0"/>
              <w:rPr>
                <w:sz w:val="18"/>
                <w:szCs w:val="18"/>
                <w:color w:val="auto"/>
              </w:rPr>
            </w:pPr>
          </w:p>
        </w:tc>
      </w:tr>
    </w:tbl>
    <w:p>
      <w:pPr>
        <w:spacing w:after="0" w:line="1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Executive leadership positions are defined as positions with Vice President, Senior Vice President or Chief in their title.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voluntary and involuntary separations but excludes internships.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20"/>
                <w:szCs w:val="20"/>
                <w:color w:val="auto"/>
              </w:rPr>
            </w:pPr>
            <w:r>
              <w:rPr>
                <w:rFonts w:ascii="Arial" w:cs="Arial" w:eastAsia="Arial" w:hAnsi="Arial"/>
                <w:sz w:val="16"/>
                <w:szCs w:val="16"/>
                <w:i w:val="1"/>
                <w:iCs w:val="1"/>
                <w:color w:val="auto"/>
              </w:rPr>
              <w:t>Total Employees</w:t>
            </w:r>
          </w:p>
        </w:tc>
        <w:tc>
          <w:tcPr>
            <w:tcW w:w="25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Number of Employees</w:t>
            </w:r>
          </w:p>
        </w:tc>
        <w:tc>
          <w:tcPr>
            <w:tcW w:w="0" w:type="dxa"/>
            <w:vAlign w:val="bottom"/>
          </w:tcPr>
          <w:p>
            <w:pPr>
              <w:spacing w:after="0"/>
              <w:rPr>
                <w:sz w:val="1"/>
                <w:szCs w:val="1"/>
                <w:color w:val="auto"/>
              </w:rPr>
            </w:pPr>
          </w:p>
        </w:tc>
      </w:tr>
      <w:tr>
        <w:trPr>
          <w:trHeight w:val="204"/>
        </w:trPr>
        <w:tc>
          <w:tcPr>
            <w:tcW w:w="87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20" w:type="dxa"/>
            <w:vAlign w:val="bottom"/>
          </w:tcPr>
          <w:p>
            <w:pPr>
              <w:spacing w:after="0"/>
              <w:rPr>
                <w:sz w:val="18"/>
                <w:szCs w:val="18"/>
                <w:color w:val="auto"/>
              </w:rPr>
            </w:pPr>
          </w:p>
        </w:tc>
        <w:tc>
          <w:tcPr>
            <w:tcW w:w="2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210"/>
        </w:trPr>
        <w:tc>
          <w:tcPr>
            <w:tcW w:w="8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2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2520" w:type="dxa"/>
            <w:vAlign w:val="bottom"/>
          </w:tcPr>
          <w:p>
            <w:pPr>
              <w:jc w:val="right"/>
              <w:ind w:right="3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2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09"/>
        </w:trPr>
        <w:tc>
          <w:tcPr>
            <w:tcW w:w="8720" w:type="dxa"/>
            <w:vAlign w:val="bottom"/>
          </w:tcPr>
          <w:p>
            <w:pPr>
              <w:ind w:left="200"/>
              <w:spacing w:after="0"/>
              <w:rPr>
                <w:sz w:val="20"/>
                <w:szCs w:val="20"/>
                <w:color w:val="auto"/>
              </w:rPr>
            </w:pPr>
            <w:r>
              <w:rPr>
                <w:rFonts w:ascii="Arial" w:cs="Arial" w:eastAsia="Arial" w:hAnsi="Arial"/>
                <w:sz w:val="16"/>
                <w:szCs w:val="16"/>
                <w:color w:val="auto"/>
              </w:rPr>
              <w:t>Total</w:t>
            </w:r>
          </w:p>
        </w:tc>
        <w:tc>
          <w:tcPr>
            <w:tcW w:w="2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 December 31, 2022, approximately 19% of our total employees and 21% of our Electric and Gas Utilities employees were eligible for retirement (age 55 with at least 5 years of service).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2022, certain employees of our Electric Utilities and Gas Utilities were covered by the collective bargaining agreements as shown in the table below. We have not experienced any labor stoppages in decades.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Expiration Date of Collective</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Utility</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Employees</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Union Affiliation</w:t>
            </w:r>
          </w:p>
        </w:tc>
        <w:tc>
          <w:tcPr>
            <w:tcW w:w="16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Bargaining Agreement</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IBEW Local 667</w:t>
            </w:r>
          </w:p>
        </w:tc>
        <w:tc>
          <w:tcPr>
            <w:tcW w:w="16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April 15, 2023</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IBEW Local 1250</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March 31, 2027</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9"/>
              </w:rPr>
              <w:t>IBEW Local 111</w:t>
            </w:r>
          </w:p>
        </w:tc>
        <w:tc>
          <w:tcPr>
            <w:tcW w:w="160" w:type="dxa"/>
            <w:vAlign w:val="bottom"/>
            <w:tcBorders>
              <w:bottom w:val="single" w:sz="8" w:color="CFF0FC"/>
            </w:tcBorders>
            <w:shd w:val="clear" w:color="auto" w:fill="CFF0FC"/>
          </w:tcPr>
          <w:p>
            <w:pPr>
              <w:spacing w:after="0"/>
              <w:rPr>
                <w:sz w:val="18"/>
                <w:szCs w:val="18"/>
                <w:color w:val="auto"/>
              </w:rPr>
            </w:pPr>
          </w:p>
        </w:tc>
        <w:tc>
          <w:tcPr>
            <w:tcW w:w="2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0"/>
        </w:trPr>
        <w:tc>
          <w:tcPr>
            <w:tcW w:w="4200" w:type="dxa"/>
            <w:vAlign w:val="bottom"/>
          </w:tcPr>
          <w:p>
            <w:pPr>
              <w:ind w:left="200"/>
              <w:spacing w:after="0"/>
              <w:rPr>
                <w:sz w:val="20"/>
                <w:szCs w:val="20"/>
                <w:color w:val="auto"/>
              </w:rPr>
            </w:pPr>
            <w:r>
              <w:rPr>
                <w:rFonts w:ascii="Arial" w:cs="Arial" w:eastAsia="Arial" w:hAnsi="Arial"/>
                <w:sz w:val="16"/>
                <w:szCs w:val="16"/>
                <w:b w:val="1"/>
                <w:bCs w:val="1"/>
                <w:color w:val="auto"/>
              </w:rPr>
              <w:t>Total Electric Utilities</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IBEW Local 204</w:t>
            </w:r>
          </w:p>
        </w:tc>
        <w:tc>
          <w:tcPr>
            <w:tcW w:w="16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r>
        <w:trPr>
          <w:trHeight w:val="188"/>
        </w:trPr>
        <w:tc>
          <w:tcPr>
            <w:tcW w:w="4200" w:type="dxa"/>
            <w:vAlign w:val="bottom"/>
            <w:vMerge w:val="restart"/>
          </w:tcPr>
          <w:p>
            <w:pPr>
              <w:ind w:left="20"/>
              <w:spacing w:after="0"/>
              <w:rPr>
                <w:sz w:val="20"/>
                <w:szCs w:val="20"/>
                <w:color w:val="auto"/>
              </w:rPr>
            </w:pPr>
            <w:r>
              <w:rPr>
                <w:rFonts w:ascii="Arial" w:cs="Arial" w:eastAsia="Arial" w:hAnsi="Arial"/>
                <w:sz w:val="16"/>
                <w:szCs w:val="16"/>
                <w:color w:val="auto"/>
              </w:rPr>
              <w:t>Kansas Gas</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Communications Workers of</w:t>
            </w:r>
          </w:p>
        </w:tc>
        <w:tc>
          <w:tcPr>
            <w:tcW w:w="160" w:type="dxa"/>
            <w:vAlign w:val="bottom"/>
          </w:tcPr>
          <w:p>
            <w:pPr>
              <w:spacing w:after="0"/>
              <w:rPr>
                <w:sz w:val="16"/>
                <w:szCs w:val="16"/>
                <w:color w:val="auto"/>
              </w:rPr>
            </w:pPr>
          </w:p>
        </w:tc>
        <w:tc>
          <w:tcPr>
            <w:tcW w:w="2640" w:type="dxa"/>
            <w:vAlign w:val="bottom"/>
            <w:vMerge w:val="restart"/>
          </w:tcPr>
          <w:p>
            <w:pPr>
              <w:jc w:val="center"/>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120"/>
        </w:trPr>
        <w:tc>
          <w:tcPr>
            <w:tcW w:w="420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40" w:type="dxa"/>
            <w:vAlign w:val="bottom"/>
            <w:vMerge w:val="restart"/>
          </w:tcPr>
          <w:p>
            <w:pPr>
              <w:jc w:val="center"/>
              <w:spacing w:after="0"/>
              <w:rPr>
                <w:sz w:val="20"/>
                <w:szCs w:val="20"/>
                <w:color w:val="auto"/>
              </w:rPr>
            </w:pPr>
            <w:r>
              <w:rPr>
                <w:rFonts w:ascii="Arial" w:cs="Arial" w:eastAsia="Arial" w:hAnsi="Arial"/>
                <w:sz w:val="16"/>
                <w:szCs w:val="16"/>
                <w:color w:val="auto"/>
              </w:rPr>
              <w:t>America, AFL-CIO Local 6407</w:t>
            </w:r>
          </w:p>
        </w:tc>
        <w:tc>
          <w:tcPr>
            <w:tcW w:w="160" w:type="dxa"/>
            <w:vAlign w:val="bottom"/>
          </w:tcPr>
          <w:p>
            <w:pPr>
              <w:spacing w:after="0"/>
              <w:rPr>
                <w:sz w:val="10"/>
                <w:szCs w:val="10"/>
                <w:color w:val="auto"/>
              </w:rPr>
            </w:pPr>
          </w:p>
        </w:tc>
        <w:tc>
          <w:tcPr>
            <w:tcW w:w="2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IBEW Local 244</w:t>
            </w:r>
          </w:p>
        </w:tc>
        <w:tc>
          <w:tcPr>
            <w:tcW w:w="16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March 13, 2025</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CWA Local 7476</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October 30, 2023</w:t>
            </w:r>
          </w:p>
        </w:tc>
        <w:tc>
          <w:tcPr>
            <w:tcW w:w="0" w:type="dxa"/>
            <w:vAlign w:val="bottom"/>
          </w:tcPr>
          <w:p>
            <w:pPr>
              <w:spacing w:after="0"/>
              <w:rPr>
                <w:sz w:val="1"/>
                <w:szCs w:val="1"/>
                <w:color w:val="auto"/>
              </w:rPr>
            </w:pPr>
          </w:p>
        </w:tc>
      </w:tr>
      <w:tr>
        <w:trPr>
          <w:trHeight w:val="217"/>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IBEW Local 111</w:t>
            </w:r>
          </w:p>
        </w:tc>
        <w:tc>
          <w:tcPr>
            <w:tcW w:w="160" w:type="dxa"/>
            <w:vAlign w:val="bottom"/>
            <w:shd w:val="clear" w:color="auto" w:fill="CFF0FC"/>
          </w:tcPr>
          <w:p>
            <w:pPr>
              <w:spacing w:after="0"/>
              <w:rPr>
                <w:sz w:val="18"/>
                <w:szCs w:val="18"/>
                <w:color w:val="auto"/>
              </w:rPr>
            </w:pP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CWA Local 7476</w:t>
            </w:r>
          </w:p>
        </w:tc>
        <w:tc>
          <w:tcPr>
            <w:tcW w:w="16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October 30, 2023</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b w:val="1"/>
                <w:bCs w:val="1"/>
                <w:color w:val="auto"/>
              </w:rPr>
              <w:t>Total Gas Utilities</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464</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Total</w:t>
            </w: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-2039620</wp:posOffset>
            </wp:positionV>
            <wp:extent cx="111125"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29146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-659130</wp:posOffset>
            </wp:positionV>
            <wp:extent cx="111125" cy="316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Attraction</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Attracting talent to join our team is critical to our ability to serve over 1.3 million customers safely and efficiently. We continuously evaluate our recruitment strategies to determine their effectiveness to attract and build a high-performing, diverse workforce. Our diversity recruiting strategies support our efforts to attract qualified individuals with targeted efforts to reach underrepresented talent pools. Our internship program and our partnerships and participation in outreach programs with local schools and colleges attract students to careers in energy. Our commitment to equitable and inclusive hiring practices, including pay equity, further supports our vision of attracting, developing and retaining a high-performing workforce driven by improving life with energy.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&amp; Inclusion</w:t>
      </w:r>
    </w:p>
    <w:p>
      <w:pPr>
        <w:spacing w:after="0" w:line="19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believe in the benefits of diversity, equity and inclusion. We believe that a diverse workforce will assist us in executing our strategic business plans, including our growth strategy. Workforce diversity trends, which include gender and diverse new hires, promotions and turnover, are monitored at regular intervals throughout the year.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and Retention</w:t>
      </w:r>
    </w:p>
    <w:p>
      <w:pPr>
        <w:spacing w:after="0" w:line="19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Retaining and developing team members is critical to our continued success. Our retention efforts include competitive compensation programs, monitoring employee engagement, career development resources for all employees and internal training programs. Our compensation programs are designed to be strategically aligned, externally competitive, internally equitable, personally motivating, cost effective and legally compliant. We continuously monitor employee engagement through bi-annual engagement surveys and quarterly pulse surveys. Every leader is responsible for creating and implementing an action plan based on their team’s engagement survey results. Our career development resources include management onboarding, leadership development programs, mentoring programs, individual development assessments and more. Internal training opportunities include corporate-wide and specialized training opportunities for different job functions. Our Field Career Path Program (FCPP) promotes career growth through established standards of knowledge, skills, abilities and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Safety and Wellness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Safety is one of our company values, a top priority in all we do and deeply embedded in our culture. We are committed to consistently outperforming utility industry averages in key safety metrics. Meetings of three or more employees begin with a safety share, a practice which contributes to keeping safety top of mind. Since 2009, we have reduced workplace injuries by more than 75% and continue to see long-term, sustained improvements in our safety practices and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For the year ended December</w:t>
            </w:r>
          </w:p>
        </w:tc>
      </w:tr>
      <w:tr>
        <w:trPr>
          <w:trHeight w:val="217"/>
        </w:trPr>
        <w:tc>
          <w:tcPr>
            <w:tcW w:w="8540" w:type="dxa"/>
            <w:vAlign w:val="bottom"/>
          </w:tcPr>
          <w:p>
            <w:pPr>
              <w:spacing w:after="0"/>
              <w:rPr>
                <w:sz w:val="18"/>
                <w:szCs w:val="18"/>
                <w:color w:val="auto"/>
              </w:rPr>
            </w:pPr>
          </w:p>
        </w:tc>
        <w:tc>
          <w:tcPr>
            <w:tcW w:w="270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31, 2022</w:t>
            </w:r>
          </w:p>
        </w:tc>
        <w:tc>
          <w:tcPr>
            <w:tcW w:w="40" w:type="dxa"/>
            <w:vAlign w:val="bottom"/>
          </w:tcPr>
          <w:p>
            <w:pPr>
              <w:spacing w:after="0"/>
              <w:rPr>
                <w:sz w:val="18"/>
                <w:szCs w:val="18"/>
                <w:color w:val="auto"/>
              </w:rPr>
            </w:pPr>
          </w:p>
        </w:tc>
      </w:tr>
      <w:tr>
        <w:trPr>
          <w:trHeight w:val="210"/>
        </w:trPr>
        <w:tc>
          <w:tcPr>
            <w:tcW w:w="8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Total Case Incident Rate (incidents per 200,000 hours worked)</w:t>
            </w:r>
          </w:p>
        </w:tc>
        <w:tc>
          <w:tcPr>
            <w:tcW w:w="160" w:type="dxa"/>
            <w:vAlign w:val="bottom"/>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ind w:left="2100"/>
              <w:spacing w:after="0"/>
              <w:rPr>
                <w:sz w:val="20"/>
                <w:szCs w:val="20"/>
                <w:color w:val="auto"/>
              </w:rPr>
            </w:pPr>
            <w:r>
              <w:rPr>
                <w:rFonts w:ascii="Arial" w:cs="Arial" w:eastAsia="Arial" w:hAnsi="Arial"/>
                <w:sz w:val="16"/>
                <w:szCs w:val="16"/>
                <w:color w:val="auto"/>
              </w:rPr>
              <w:t>1.39</w:t>
            </w:r>
          </w:p>
        </w:tc>
        <w:tc>
          <w:tcPr>
            <w:tcW w:w="40" w:type="dxa"/>
            <w:vAlign w:val="bottom"/>
          </w:tcPr>
          <w:p>
            <w:pPr>
              <w:spacing w:after="0"/>
              <w:rPr>
                <w:sz w:val="18"/>
                <w:szCs w:val="18"/>
                <w:color w:val="auto"/>
              </w:rPr>
            </w:pPr>
          </w:p>
        </w:tc>
      </w:tr>
      <w:tr>
        <w:trPr>
          <w:trHeight w:val="215"/>
        </w:trPr>
        <w:tc>
          <w:tcPr>
            <w:tcW w:w="8540" w:type="dxa"/>
            <w:vAlign w:val="bottom"/>
          </w:tcPr>
          <w:p>
            <w:pPr>
              <w:jc w:val="center"/>
              <w:spacing w:after="0"/>
              <w:rPr>
                <w:sz w:val="20"/>
                <w:szCs w:val="20"/>
                <w:color w:val="auto"/>
              </w:rPr>
            </w:pPr>
            <w:r>
              <w:rPr>
                <w:rFonts w:ascii="Arial" w:cs="Arial" w:eastAsia="Arial" w:hAnsi="Arial"/>
                <w:sz w:val="16"/>
                <w:szCs w:val="16"/>
                <w:color w:val="auto"/>
              </w:rPr>
              <w:t>Preventable Motor Vehicle Incident Rate (vehicle accidents per 1 million miles driven)</w:t>
            </w:r>
          </w:p>
        </w:tc>
        <w:tc>
          <w:tcPr>
            <w:tcW w:w="2700" w:type="dxa"/>
            <w:vAlign w:val="bottom"/>
            <w:gridSpan w:val="2"/>
          </w:tcPr>
          <w:p>
            <w:pPr>
              <w:ind w:left="2260"/>
              <w:spacing w:after="0"/>
              <w:rPr>
                <w:sz w:val="20"/>
                <w:szCs w:val="20"/>
                <w:color w:val="auto"/>
              </w:rPr>
            </w:pPr>
            <w:r>
              <w:rPr>
                <w:rFonts w:ascii="Arial" w:cs="Arial" w:eastAsia="Arial" w:hAnsi="Arial"/>
                <w:sz w:val="16"/>
                <w:szCs w:val="16"/>
                <w:color w:val="auto"/>
              </w:rPr>
              <w:t>1.33</w:t>
            </w:r>
          </w:p>
        </w:tc>
        <w:tc>
          <w:tcPr>
            <w:tcW w:w="40" w:type="dxa"/>
            <w:vAlign w:val="bottom"/>
          </w:tcPr>
          <w:p>
            <w:pPr>
              <w:spacing w:after="0"/>
              <w:rPr>
                <w:sz w:val="18"/>
                <w:szCs w:val="18"/>
                <w:color w:val="auto"/>
              </w:rPr>
            </w:pPr>
          </w:p>
        </w:tc>
      </w:tr>
      <w:tr>
        <w:trPr>
          <w:trHeight w:val="215"/>
        </w:trPr>
        <w:tc>
          <w:tcPr>
            <w:tcW w:w="8540" w:type="dxa"/>
            <w:vAlign w:val="bottom"/>
          </w:tcPr>
          <w:p>
            <w:pPr>
              <w:jc w:val="center"/>
              <w:spacing w:after="0"/>
              <w:rPr>
                <w:sz w:val="20"/>
                <w:szCs w:val="20"/>
                <w:color w:val="auto"/>
              </w:rPr>
            </w:pPr>
            <w:r>
              <w:rPr>
                <w:rFonts w:ascii="Arial" w:cs="Arial" w:eastAsia="Arial" w:hAnsi="Arial"/>
                <w:sz w:val="16"/>
                <w:szCs w:val="16"/>
                <w:color w:val="auto"/>
              </w:rPr>
              <w:t>% of injuries reported within 1 day</w:t>
            </w:r>
          </w:p>
        </w:tc>
        <w:tc>
          <w:tcPr>
            <w:tcW w:w="2740" w:type="dxa"/>
            <w:vAlign w:val="bottom"/>
            <w:gridSpan w:val="3"/>
          </w:tcPr>
          <w:p>
            <w:pPr>
              <w:ind w:left="2260"/>
              <w:spacing w:after="0"/>
              <w:rPr>
                <w:sz w:val="20"/>
                <w:szCs w:val="20"/>
                <w:color w:val="auto"/>
              </w:rPr>
            </w:pPr>
            <w:r>
              <w:rPr>
                <w:rFonts w:ascii="Arial" w:cs="Arial" w:eastAsia="Arial" w:hAnsi="Arial"/>
                <w:sz w:val="16"/>
                <w:szCs w:val="16"/>
                <w:color w:val="auto"/>
                <w:w w:val="92"/>
              </w:rPr>
              <w:t>90.8 %</w:t>
            </w:r>
          </w:p>
        </w:tc>
      </w:tr>
      <w:tr>
        <w:trPr>
          <w:trHeight w:val="418"/>
        </w:trPr>
        <w:tc>
          <w:tcPr>
            <w:tcW w:w="8540" w:type="dxa"/>
            <w:vAlign w:val="bottom"/>
          </w:tcPr>
          <w:p>
            <w:pPr>
              <w:jc w:val="right"/>
              <w:ind w:right="2739"/>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3"/>
        </w:trPr>
        <w:tc>
          <w:tcPr>
            <w:tcW w:w="8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9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our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business plan and growth strategy, including our capital investment program.</w:t>
      </w:r>
    </w:p>
    <w:p>
      <w:pPr>
        <w:spacing w:after="0" w:line="194"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Our continued success depends, in significant part, on our ability to execute our strategic business plans, including our growth strategy. Our plans and strategy include building sustainable operations and supporting the Energy Transition; consistently outperforming utility industry averages in key safety metrics; modernizing utility infrastructure; transforming the customer experience; growing our electric and natural gas customer load; and pursuing operational efficiencies. Our current plans and strategy may be negatively impacted by disruptive forces and innovations in the marketplace, workforce capabilities, changing political, business or regulatory conditions and technology advancements.</w:t>
      </w:r>
    </w:p>
    <w:p>
      <w:pPr>
        <w:spacing w:after="0" w:line="153"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plans. The successful execution of our capital investment program depends on, or could be affected by, a variety of factors that include, but are not limited to: availability of low cost capital to fund projects, weather conditions, effective management of projects, availability of qualified construction personnel including contractors, changes in commodity and other prices, impacts of supply chain disruptions on availability and cost of materials, governmental approvals and permitting, regulatory cost recovery and return on investment.</w:t>
      </w:r>
    </w:p>
    <w:p>
      <w:pPr>
        <w:spacing w:after="0" w:line="15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An inability to successfully and timely adapt to changing conditions and execute our strategic plans could materially affect our financial operating results including earnings, cash flow and liquidity.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regulated Electric and Gas Utilities are subject to cost-of-service/rate-of-return regulation and earnings oversight from federal and eight state utility commissions. This regulatory treatment does not provide any assurance as to achievement of desired earnings levels. Our customer rates are regulated based on an analysis of our costs and investments, as reviewed and approved in regulatory proceedings.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with a reasonable return on invested capital. In addition, adverse rate decisions, including rate moratoriums, rate refunds, limits on rate increases, lower allowed returns on investments or rate reductions, could be influenced by competitive, economic, political, legislative, public perception and regulatory pressures and adversely impact earnings, cash flow and liquidity.</w:t>
      </w:r>
    </w:p>
    <w:p>
      <w:pPr>
        <w:spacing w:after="0" w:line="15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Each of our Electric and Gas Utilities are permitted to recover certain costs (such as increased fuel and purchased power costs, including costs from certain severe weather events, or integrity capital investments) outside of a base rate review in order to stabilize customer rates and reduce regulatory lag. If regulators decide to discontinue these tariff-based recovery mechanisms, it could negatively impact earnings, cash flow and liquidity.</w:t>
      </w:r>
    </w:p>
    <w:p>
      <w:pPr>
        <w:spacing w:after="0" w:line="144"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 including those associated with climate change.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 waste.</w:t>
      </w:r>
    </w:p>
    <w:p>
      <w:pPr>
        <w:spacing w:after="0" w:line="16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These laws and regulations may result in increased capital, operating and other costs. These laws and regulations generally require the business segments to obtain and comply with a wide variety of environmental licenses, permits, inspections and other government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There is significant uncertainty regarding if and when new climate legislation, regulations or administrative policies will be adopted to reduce or limit GHG and the impact any such regulations would have on us. 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capacity reductions of coal-fired power generation facilities or conversion to natural gas, and potential increased production from our combined cycle natural gas-fired generating units. Additional rules and regulations associated with fossil fuels and GHG emissions could result in the impairment or retirement of some of our existing or future transmission, distribution, generation and natural gas storage facilities or our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 We cannot definitively estimate the effect of GHG legislation or regulation on our earnings, cash flow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result in compliance penalties.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PHMSA, CFTC, EPA, OSHA, SEC, TSA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19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To date, we have been successful in resolving or defending most of these challenges.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 We also cannot quantify the impact that such action would have on the remainder of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Federal tax law may significantly impact our business.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operate. Sweeping legislation or regulation could be enacted by any of these governmental authorities which may affect our tax burden. Changes may include numerous provisions that affect businesses, including changes to corporate tax rates, business-related exclusions, and deductions and credits. The outcome of regulatory proceedings regarding the extent to which a change in corporate tax rate will affect our utility customers and the time period over which that change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financial condition, results of operations and prospects may be materially adversely affected due to adverse results of litigation.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Material legal proceedings are summarized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Notes to Consolidated Financial Statement in this Annual Report on Form 10-K. Unfavorable resolution of legal or administrative proceedings in which we are involved or other future legal or administrative proceedings could have an adverse effect on our financial operating results, including earnings, 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-257175</wp:posOffset>
            </wp:positionV>
            <wp:extent cx="320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attract and retain an appropriately qualified workforce could have a negative impact on our operations and long-term business strategy.</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Recent trends, such as higher turnover, a competitive and tight labor market and an aging workforce may lead to higher costs and increased risk of negative outcomes for safety, compliance, customer service, and operations. Our ability to transition and replace our retirement-eligible utility employees is a risk; at December 31, 2022, approximately 19% of our employees were eligible for retirement. Our ability to avoid or minimize supply interruptions, work stoppages and labor disputes is also a risk with approximately 25% of our employees represented by unions. Failure to hire and retain qualified employees, including the ability to transfer significant internal historical knowledge and expertise to new employees, may adversely affect our ability to manage and operate our business. If we are unable to successfully attract and retain an appropriately qualified workforce and maintain satisfactory collective bargaining agreements, safety, service reliability, customer satisfaction and our results of operations could be adversely affected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plans and strategy include building sustainable operations and supporting the Energy Transition; consistently outperforming utility industry averages in key safety metrics; modernizing utility infrastructure; transforming the customer experience; growing our electric and natural gas customer load; and pursuing operating efficiencies. As part of our strategic plan, we will need to attract and retain personnel who are qualified to implement our strategy and may need to retrain or re-skill certain employees to support our long-term objectives.</w:t>
      </w:r>
    </w:p>
    <w:p>
      <w:pPr>
        <w:spacing w:after="0" w:line="151"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auto"/>
        </w:rPr>
        <w:t>The nature of our business subjects us to climate-related risk, stemming from both physical risk and transition risk of climate change, over varying time horizons.</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Physical risks of climate change refer to risks to our facilities or operations that may result from changes in the physical climate, such as changes to temperature and weather patterns. Our utility businesses are seasonal businesses and weather conditions and patterns can have a material impact on our operating performance. To the extent weather conditions are affected by climate change, fluctuations in customers’ energy usage could be magnified. Climate change may lead to increased intensity and frequency of storms, resulting in increased likelihood of fire, wind and extreme temperature events. Severe weather events, such as snow and ice storms (e.g., Winter Storm Uri), fire, and strong winds could negatively impact our operations, including our ability to provide energy safely, reliably and profitably and our ability to complete construction, expansion or refurbishment of facilities as planned. Unmitigated impacts of climate change may intensify these events or increase the frequency of their occurrence. Over time, we may need to make additional investments to protect our facilities from physical risks of climate change.</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Transition risks of climate change include changes to the energy systems as a result of new technologies, changing customer demand and/or expectations and voluntary GHG reduction goals, as well as local, state or federal regulatory requirements (discussed above) intended to reduce GHG emissions. Policies such as a carbon or methane tax could increase costs associated with fossil fuel usage, resulting in higher operating costs including costs of energy generation, construction, and transportation. Risks of the transition to a low-carbon economy could result in shrinking customer demand for fossil fuel-based energy sources. This could come from increased use of behind the meter technology, such as residential solar and storage. Risk of investor pressure over climate risk and/or ESG standards, activist campaigns against coal producers, employee preferences to work for sustainable companies and consumers preference for renewable energy could impact our reputation and overall access to capital and/or adequate insurance policies.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challenges could negatively impact our operations.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rely on various suppliers in our supply chain for the materials necessary to execute on our capital investment program that is key to our strategic business plans and to respond to a significant unplanned event such as a natural disaster. Our largest customers also rely on our supply chain and delays in critical materials could impact their ability to operate and grow as planned. Our supply chain, material costs, and capital investment program may be negatively impacted by:</w:t>
      </w:r>
    </w:p>
    <w:p>
      <w:pPr>
        <w:spacing w:after="0" w:line="70" w:lineRule="exact"/>
        <w:rPr>
          <w:sz w:val="20"/>
          <w:szCs w:val="20"/>
          <w:color w:val="auto"/>
        </w:rPr>
      </w:pPr>
    </w:p>
    <w:p>
      <w:pPr>
        <w:ind w:left="1020" w:right="52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Unanticipated price increases due to recent macroeconomic factors, such as inflation, including wage inflation, or rising demand for raw materials associated with the Energy Transition; and</w:t>
      </w:r>
    </w:p>
    <w:p>
      <w:pPr>
        <w:spacing w:after="0" w:line="48" w:lineRule="exact"/>
        <w:rPr>
          <w:rFonts w:ascii="Times New Roman" w:cs="Times New Roman" w:eastAsia="Times New Roman" w:hAnsi="Times New Roman"/>
          <w:sz w:val="16"/>
          <w:szCs w:val="16"/>
          <w:color w:val="auto"/>
        </w:rPr>
      </w:pPr>
    </w:p>
    <w:p>
      <w:pPr>
        <w:jc w:val="both"/>
        <w:ind w:left="1020" w:right="100" w:hanging="503"/>
        <w:spacing w:after="0" w:line="266"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Supply restrictions beyond our control or the control of our suppliers such as disruption of the freight system (e.g. railroad labor union strikes), increased environmental threats from weather-related disasters, rising demand for raw materials associated with the Energy Transition and/or geopolitical unrest (e.g. Russian invasion of Ukraine).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 inability to successfully manage challenges in our supply chain network could materially affect our financial operating results including earnings, cash flow and liquidity.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Cyberattacks, terrorism, or other malicious acts targeting our key technology systems could disrupt our operations or lead to a loss or misuse of confidential and proprietary information.</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Cyberattacks, terrorism or other malicious acts targeting electronic control systems could result in a full or partial disruption of our electric and/or natural gas operations. Attacks targeting other key technology systems, including our third-party vendors’ information systems, could further add to a full or partial disruption of our operations. Recent geopolitical conflicts (e.g. Russia's invasion of Ukraine) have increased the risk of cyberattack. Any disruption of these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 We maintain cyber risk insurance to mitigate a portion, but not all, of these risks and losses.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Utility Regulation Characteristics</w:t>
      </w:r>
      <w:r>
        <w:rPr>
          <w:rFonts w:ascii="Arial" w:cs="Arial" w:eastAsia="Arial" w:hAnsi="Arial"/>
          <w:sz w:val="16"/>
          <w:szCs w:val="16"/>
          <w:color w:val="auto"/>
        </w:rPr>
        <w:t xml:space="preserve"> above, in 2021 the TSA issued security directives that included several new cybersecurity requirements for critical pipeline owners and operators. Such directives or other requirements may require expenditure of significant additional resources to respond to cyberattacks, to continue to modify or enhance protective measures, or to assess, investigate and remediate any critical infrastructure security vulnerabilities. Any failure to comply with such government regulations or failure in our cybersecurity protective measures may result in enforcement actions that may have a material adverse effect on our business, results of operations and financial condition. In addition, there is no certainty that costs incurred related to securing against threats will be recovered through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-629285</wp:posOffset>
            </wp:positionV>
            <wp:extent cx="1480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0820" cy="8890"/>
                    </a:xfrm>
                    <a:prstGeom prst="rect">
                      <a:avLst/>
                    </a:prstGeom>
                    <a:noFill/>
                  </pic:spPr>
                </pic:pic>
              </a:graphicData>
            </a:graphic>
          </wp:anchor>
        </w:drawing>
      </w:r>
    </w:p>
    <w:p>
      <w:pPr>
        <w:spacing w:after="0" w:line="13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Despite our implementation of security measures and safeguards, all of our technology systems may still be vulnerable to disability, failures or unauthorized access.</w:t>
      </w:r>
    </w:p>
    <w:p>
      <w:pPr>
        <w:spacing w:after="0" w:line="144"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managing these operations include:</w:t>
      </w:r>
    </w:p>
    <w:p>
      <w:pPr>
        <w:spacing w:after="0" w:line="113" w:lineRule="exact"/>
        <w:rPr>
          <w:sz w:val="20"/>
          <w:szCs w:val="20"/>
          <w:color w:val="auto"/>
        </w:rPr>
      </w:pPr>
    </w:p>
    <w:p>
      <w:pPr>
        <w:ind w:left="1020" w:right="6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48"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Weather, natural conditions and disasters including impacts from climate change (discussed above);</w:t>
      </w:r>
    </w:p>
    <w:p>
      <w:pPr>
        <w:spacing w:after="0" w:line="125"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Acts of sabotage, terrorism or other malicious attacks. Damage to our facilities due to deliberate acts could lead to outages or other adverse effects;</w:t>
      </w:r>
    </w:p>
    <w:p>
      <w:pPr>
        <w:spacing w:after="0" w:line="48"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natural gas that we sell to our retail and wholesale customers. If transmission is interrupted physically, mechanically or with cyber means, our ability to sell or deliver utility services and satisfy our contractual obligations may be hindered;</w:t>
      </w:r>
    </w:p>
    <w:p>
      <w:pPr>
        <w:spacing w:after="0" w:line="62" w:lineRule="exact"/>
        <w:rPr>
          <w:rFonts w:ascii="Times New Roman" w:cs="Times New Roman" w:eastAsia="Times New Roman" w:hAnsi="Times New Roman"/>
          <w:sz w:val="16"/>
          <w:szCs w:val="16"/>
          <w:color w:val="auto"/>
        </w:rPr>
      </w:pPr>
    </w:p>
    <w:p>
      <w:pPr>
        <w:ind w:left="1020" w:right="1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results of operations could be negatively impacted by the lack of availability and cost of natural gas, and disruptions in the delivery of natural gas due to various factors, including but not limited to, transportation delays, labor relations, weather, sabotage, cyber-attacks and environmental regulations;</w:t>
      </w:r>
    </w:p>
    <w:p>
      <w:pPr>
        <w:spacing w:after="0" w:line="69"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power. The cost of supplying or securing replacement power during scheduled and unscheduled outages of generation facilities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w:t>
      </w:r>
    </w:p>
    <w:p>
      <w:pPr>
        <w:spacing w:after="0" w:line="20" w:lineRule="exact"/>
        <w:rPr>
          <w:sz w:val="20"/>
          <w:szCs w:val="20"/>
          <w:color w:val="auto"/>
        </w:rPr>
      </w:pPr>
    </w:p>
    <w:p>
      <w:pPr>
        <w:ind w:left="5540" w:right="1860" w:hanging="4507"/>
        <w:spacing w:after="0" w:line="265" w:lineRule="auto"/>
        <w:rPr>
          <w:sz w:val="20"/>
          <w:szCs w:val="20"/>
          <w:color w:val="auto"/>
        </w:rPr>
      </w:pPr>
      <w:r>
        <w:rPr>
          <w:rFonts w:ascii="Arial" w:cs="Arial" w:eastAsia="Arial" w:hAnsi="Arial"/>
          <w:sz w:val="16"/>
          <w:szCs w:val="16"/>
          <w:color w:val="auto"/>
        </w:rPr>
        <w:t>conditions imposed upon such approvals could negatively impact our ability to operate and our results of operations;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09" w:lineRule="exact"/>
        <w:rPr>
          <w:sz w:val="20"/>
          <w:szCs w:val="20"/>
          <w:color w:val="auto"/>
        </w:rPr>
      </w:pPr>
    </w:p>
    <w:p>
      <w:pPr>
        <w:ind w:left="1020" w:right="40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Supply chain challenges (discussed above);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capabilities and labor relations (discussed above);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w:t>
      </w:r>
    </w:p>
    <w:p>
      <w:pPr>
        <w:spacing w:after="0" w:line="20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Any of these risks described above could damage our reputation and public confidence. These risks could also cause us to incur significant costs or be unable to deliver energy and/or operate below expected capacity levels, which in turn could reduce revenues or cause us to incur higher operating and maintenance costs and penalties. While we maintain insurance,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153"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Our operations are subject to various conditions that can result in fluctuations in customer usage, including customer growth and general economic conditions in our service territories, weather conditions, and responses to price increases and technological improvements.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cash flows are affected by the demand for electricity and natural gas, which can vary greatly based upon:</w:t>
      </w:r>
    </w:p>
    <w:p>
      <w:pPr>
        <w:spacing w:after="0" w:line="113" w:lineRule="exact"/>
        <w:rPr>
          <w:sz w:val="20"/>
          <w:szCs w:val="20"/>
          <w:color w:val="auto"/>
        </w:rPr>
      </w:pPr>
    </w:p>
    <w:p>
      <w:pPr>
        <w:ind w:left="1020" w:right="40" w:hanging="503"/>
        <w:spacing w:after="0" w:line="252"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Fluctuations in customer growth and general economic conditions in our service territories. Customer growth and energy use can be negatively impacted by population declines as well as adverse economic factors in our service territories, including recession, inflation, workforce reductions, stagnant wage growth, changing levels of support from state and local government for economic development, business closings, and reductions in the level of business investment. Our utility businesses are impacted by economic cycles and the competitiveness of the commercial and industrial customers we serve. Any economic downturn, inflation, disruption of financial markets, or reduced incentives by state government for economic development could adversely affect the financial condition of our customers and demand for their products or services. These risks could directly influence the demand for electricity and natural gas as well as the need for additional power generation and generating facilities. We could also be exposed to greater risks of accounts receivable write-offs if customers are unable to pay their bills.</w:t>
      </w:r>
    </w:p>
    <w:p>
      <w:pPr>
        <w:spacing w:after="0" w:line="73" w:lineRule="exact"/>
        <w:rPr>
          <w:rFonts w:ascii="Times New Roman" w:cs="Times New Roman" w:eastAsia="Times New Roman" w:hAnsi="Times New Roman"/>
          <w:sz w:val="16"/>
          <w:szCs w:val="16"/>
          <w:color w:val="auto"/>
        </w:rPr>
      </w:pPr>
    </w:p>
    <w:p>
      <w:pPr>
        <w:ind w:left="1020" w:right="160" w:hanging="503"/>
        <w:spacing w:after="0" w:line="252"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Weather conditions. Our utility businesses are seasonal businesses and weather conditions and patterns can have a material impact on our operating 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income and cash flows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financial operating results, including earnings, cash flow and liquidity.</w:t>
      </w:r>
    </w:p>
    <w:p>
      <w:pPr>
        <w:spacing w:after="0" w:line="73" w:lineRule="exact"/>
        <w:rPr>
          <w:rFonts w:ascii="Times New Roman" w:cs="Times New Roman" w:eastAsia="Times New Roman" w:hAnsi="Times New Roman"/>
          <w:sz w:val="16"/>
          <w:szCs w:val="16"/>
          <w:color w:val="auto"/>
        </w:rPr>
      </w:pPr>
    </w:p>
    <w:p>
      <w:pPr>
        <w:ind w:left="1020" w:right="80" w:hanging="503"/>
        <w:spacing w:after="0" w:line="249"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customers' focus on energy conservation. Customer growth and usage may be impacted by the voluntary reduction in consumption of electricity and natural gas by our customers in response to increases in prices and energy efficiency programs, electrification initiatives that could negatively impact the demand for natural gas, economic conditions (i.e., inflation, recession)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could decline.</w:t>
      </w:r>
    </w:p>
    <w:p>
      <w:pPr>
        <w:spacing w:after="0" w:line="3" w:lineRule="exact"/>
        <w:rPr>
          <w:rFonts w:ascii="Times New Roman" w:cs="Times New Roman" w:eastAsia="Times New Roman" w:hAnsi="Times New Roman"/>
          <w:sz w:val="16"/>
          <w:szCs w:val="16"/>
          <w:color w:val="auto"/>
        </w:rPr>
      </w:pPr>
    </w:p>
    <w:p>
      <w:pPr>
        <w:ind w:left="102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w:t>
      </w:r>
    </w:p>
    <w:p>
      <w:pPr>
        <w:spacing w:after="0" w:line="15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Each of these factors described above could materially affect demand for electricity and natural gas which would impact our financial operating results including earnings, cash flow and liquidity.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auto"/>
        </w:rPr>
        <w:t>If macroeconomic or other conditions adversely affect operations or require us to make changes to our strategic business plan, we may be forced to record a non-cash goodwill impairment charge.</w:t>
      </w:r>
    </w:p>
    <w:p>
      <w:pPr>
        <w:spacing w:after="0" w:line="11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had approximately $1.3 billion of goodwill on our consolidated balance sheets as of December 31, 2022. If we make changes in our strategic business plan and growth strategy, or if macroeconomic or other conditions adversely affect operations in any of our businesses, we may be forced to record a non-cash impairment charge.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macroeconomic conditions including recession, inflation and interest rates, changes in our regulatory environment, industry-specific market conditions, changes in business operations, changes in competition or changes in technologies. Any changes in key assumptions, or actual performance compared with key assumptions, about our business and its future prospects could affect the fair value of either or both of our operating segments, which may result in an impairment charge. See additional information in “</w:t>
      </w:r>
      <w:r>
        <w:rPr>
          <w:rFonts w:ascii="Arial" w:cs="Arial" w:eastAsia="Arial" w:hAnsi="Arial"/>
          <w:sz w:val="16"/>
          <w:szCs w:val="16"/>
          <w:u w:val="single" w:color="auto"/>
          <w:color w:val="0000FF"/>
        </w:rPr>
        <w:t>Critical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Estimates</w:t>
      </w:r>
      <w:r>
        <w:rPr>
          <w:rFonts w:ascii="Arial" w:cs="Arial" w:eastAsia="Arial" w:hAnsi="Arial"/>
          <w:sz w:val="16"/>
          <w:szCs w:val="16"/>
          <w:color w:val="000000"/>
        </w:rPr>
        <w:t>” under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Item 7</w:t>
      </w:r>
      <w:r>
        <w:rPr>
          <w:rFonts w:ascii="Arial" w:cs="Arial" w:eastAsia="Arial" w:hAnsi="Arial"/>
          <w:sz w:val="16"/>
          <w:szCs w:val="16"/>
          <w:color w:val="000000"/>
        </w:rPr>
        <w:t>, Management’s Discussion and Analysis of Financial Condition and Results of Operations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1</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w:t>
      </w:r>
      <w:r>
        <w:rPr>
          <w:rFonts w:ascii="Arial" w:cs="Arial" w:eastAsia="Arial" w:hAnsi="Arial"/>
          <w:sz w:val="16"/>
          <w:szCs w:val="16"/>
          <w:color w:val="0000FF"/>
        </w:rPr>
        <w:t xml:space="preserve"> </w:t>
      </w:r>
      <w:r>
        <w:rPr>
          <w:rFonts w:ascii="Arial" w:cs="Arial" w:eastAsia="Arial" w:hAnsi="Arial"/>
          <w:sz w:val="16"/>
          <w:szCs w:val="16"/>
          <w:color w:val="000000"/>
        </w:rPr>
        <w:t>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-267970</wp:posOffset>
            </wp:positionV>
            <wp:extent cx="8801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4514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148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-147955</wp:posOffset>
            </wp:positionV>
            <wp:extent cx="2857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-147955</wp:posOffset>
            </wp:positionV>
            <wp:extent cx="331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1470" cy="8890"/>
                    </a:xfrm>
                    <a:prstGeom prst="rect">
                      <a:avLst/>
                    </a:prstGeom>
                    <a:noFill/>
                  </pic:spPr>
                </pic:pic>
              </a:graphicData>
            </a:graphic>
          </wp:anchor>
        </w:drawing>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Widespread public health crises and epidemics or pandemics </w:t>
      </w:r>
      <w:r>
        <w:rPr>
          <w:rFonts w:ascii="Arial" w:cs="Arial" w:eastAsia="Arial" w:hAnsi="Arial"/>
          <w:sz w:val="16"/>
          <w:szCs w:val="16"/>
          <w:b w:val="1"/>
          <w:bCs w:val="1"/>
          <w:color w:val="212529"/>
        </w:rPr>
        <w:t>could negatively affect our business operations, results of operations, financial</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212529"/>
        </w:rPr>
        <w:t>condition and cash flows.</w:t>
      </w:r>
    </w:p>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252525"/>
        </w:rPr>
        <w:t xml:space="preserve">We </w:t>
      </w:r>
      <w:r>
        <w:rPr>
          <w:rFonts w:ascii="Arial" w:cs="Arial" w:eastAsia="Arial" w:hAnsi="Arial"/>
          <w:sz w:val="16"/>
          <w:szCs w:val="16"/>
          <w:color w:val="000000"/>
        </w:rPr>
        <w:t>are subject to the impacts of widespread public health crises, epidemics and pandemics, including, but not limited to, impacts on the global, national or</w:t>
      </w:r>
      <w:r>
        <w:rPr>
          <w:rFonts w:ascii="Arial" w:cs="Arial" w:eastAsia="Arial" w:hAnsi="Arial"/>
          <w:sz w:val="16"/>
          <w:szCs w:val="16"/>
          <w:color w:val="252525"/>
        </w:rPr>
        <w:t xml:space="preserve"> </w:t>
      </w:r>
      <w:r>
        <w:rPr>
          <w:rFonts w:ascii="Arial" w:cs="Arial" w:eastAsia="Arial" w:hAnsi="Arial"/>
          <w:sz w:val="16"/>
          <w:szCs w:val="16"/>
          <w:color w:val="000000"/>
        </w:rPr>
        <w:t xml:space="preserve">local economies, capital and credit markets, our workforce, customers and suppliers. There is no assurance that our businesses will be able to operate without material adverse impacts depending on the nature of the public health crisis, epidemic or pandemic. The ultimate severity, duration and impact of public health crises, epidemics and pandemics cannot be predicted. Additionally, there is no assurance that vaccines, or other treatments, are or will be widely available or effective, or that the public will be willing to participate, in an effort to contain the spread of disease. Actions taken in response to such crises by federal, state and local government or regulatory agencies may adversely </w:t>
      </w:r>
      <w:r>
        <w:rPr>
          <w:rFonts w:ascii="Arial" w:cs="Arial" w:eastAsia="Arial" w:hAnsi="Arial"/>
          <w:sz w:val="16"/>
          <w:szCs w:val="16"/>
          <w:color w:val="212529"/>
        </w:rPr>
        <w:t>affect our</w:t>
      </w:r>
      <w:r>
        <w:rPr>
          <w:rFonts w:ascii="Arial" w:cs="Arial" w:eastAsia="Arial" w:hAnsi="Arial"/>
          <w:sz w:val="16"/>
          <w:szCs w:val="16"/>
          <w:color w:val="000000"/>
        </w:rPr>
        <w:t xml:space="preserve"> financial operating results including earnings, cash flow and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senior unsecured debt rating is Baa2 (Stable outlook) by Moody’s; BBB+ (Stable outlook) by S&amp;P; and BBB+ (Stable outlook) by Fitch. Reduction of our investment grade credit ratings could impair our ability to refinance or repay our existing debt and complete new financings on reasonable terms.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15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capital markets and the costs and terms of available financing depend on many factors, including changes in our credit ratings, general macroeconomic conditions which may drive changes in interest rates and cause volatility in our stock price, changes in the federal or state regulatory environment affecting energy companies and volatility in commodity prices.</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90"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may not consistently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15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5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 xml:space="preserve">There is no assurance as to the amount, if any, of future dividends to the holding company because these subsidiaries depend on future earnings, capital requirements and financial conditions to fund such dividends. See “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of this Annual Report on Form 10-K for further information regarding these restrictions and their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-271780</wp:posOffset>
            </wp:positionV>
            <wp:extent cx="1446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46530" cy="8255"/>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-151765</wp:posOffset>
            </wp:positionV>
            <wp:extent cx="2857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-151765</wp:posOffset>
            </wp:positionV>
            <wp:extent cx="302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 A loss for which we are not adequately insured could materially affect our financial results. The coverage we currently have in place may not apply to a particular loss, or it may not be sufficient to cover all liabilities to which we may be subject, including liability and losses associated with wildfires, natural gas and storage field explosions, cyber-security breaches, environmental hazards and natural disasters.</w:t>
      </w:r>
    </w:p>
    <w:p>
      <w:pPr>
        <w:spacing w:after="0" w:line="15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postretirement benefit plans.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Assumptions related to interest rates, expected return on investments, mortality and other key actuarial assumptions have a significant impact on our funding requirements and the expense recognized related to our pension and other postretirement benefit plans. An adverse change to key assumptions associated with our defined benefit retirement plans may require significant unplanned contributions to the plans which could adversely affect our financial operating results including earnings, cash flow and liquidity.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of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-150495</wp:posOffset>
            </wp:positionV>
            <wp:extent cx="302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natural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however, there is no assurance that the utility commissions will allow recovery of these increased costs. The rising employee benefit costs, or inadequate recovery of such costs, may adversely affect our financial operating results including earnings, cash flow, or liquidity.</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w:t>
      </w:r>
      <w:r>
        <w:rPr>
          <w:rFonts w:ascii="Arial" w:cs="Arial" w:eastAsia="Arial" w:hAnsi="Arial"/>
          <w:sz w:val="16"/>
          <w:szCs w:val="16"/>
          <w:color w:val="auto"/>
        </w:rPr>
        <w:t xml:space="preserve"> for a description of our principal business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2857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In addition to the properties disclosed in the </w:t>
      </w:r>
      <w:r>
        <w:rPr>
          <w:rFonts w:ascii="Arial" w:cs="Arial" w:eastAsia="Arial" w:hAnsi="Arial"/>
          <w:sz w:val="16"/>
          <w:szCs w:val="16"/>
          <w:u w:val="single" w:color="auto"/>
          <w:color w:val="0000FF"/>
        </w:rPr>
        <w:t>Item 1</w:t>
      </w:r>
      <w:r>
        <w:rPr>
          <w:rFonts w:ascii="Arial" w:cs="Arial" w:eastAsia="Arial" w:hAnsi="Arial"/>
          <w:sz w:val="16"/>
          <w:szCs w:val="16"/>
          <w:color w:val="auto"/>
        </w:rPr>
        <w:t>,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-276225</wp:posOffset>
            </wp:positionV>
            <wp:extent cx="2857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r>
        <w:rPr>
          <w:rFonts w:ascii="Arial" w:cs="Arial" w:eastAsia="Arial" w:hAnsi="Arial"/>
          <w:sz w:val="16"/>
          <w:szCs w:val="16"/>
          <w:u w:val="single" w:color="auto"/>
          <w:color w:val="0000FF"/>
        </w:rPr>
        <w:t>Note 3</w:t>
      </w:r>
      <w:r>
        <w:rPr>
          <w:rFonts w:ascii="Arial" w:cs="Arial" w:eastAsia="Arial" w:hAnsi="Arial"/>
          <w:sz w:val="16"/>
          <w:szCs w:val="16"/>
          <w:color w:val="auto"/>
        </w:rPr>
        <w:t>, “Commitments, Contingencies and Guarantees”,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-165735</wp:posOffset>
            </wp:positionV>
            <wp:extent cx="302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Information concerning mine safety violations or other regulatory matters required by Sections 1503(a) of the Dodd-Frank Wall Street Reform and Consumer Protection Act is included in Exhibit 95 of this Annual Report.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60,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21 years of experience with the Company.</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Brian G. Iverson, </w:t>
      </w:r>
      <w:r>
        <w:rPr>
          <w:rFonts w:ascii="Arial" w:cs="Arial" w:eastAsia="Arial" w:hAnsi="Arial"/>
          <w:sz w:val="16"/>
          <w:szCs w:val="16"/>
          <w:color w:val="auto"/>
        </w:rPr>
        <w:t>age 60, has been Senior Vice President, General Counsel and Chief Compliance Officer since August 26, 2019.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General Counsel, Chief Compliance Officer and Corporate Secretary from February 1, 2019 to August 26, 2019,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19 years of experience with the Company.</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Erik D. Keller</w:t>
      </w:r>
      <w:r>
        <w:rPr>
          <w:rFonts w:ascii="Arial" w:cs="Arial" w:eastAsia="Arial" w:hAnsi="Arial"/>
          <w:sz w:val="16"/>
          <w:szCs w:val="16"/>
          <w:color w:val="auto"/>
        </w:rPr>
        <w:t>, age 59, joined the Company as Senior Vice President and Chief Information Officer on July 27, 2020. Prior to joining the company, he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consultant to Ontic Inc., a global provider of parts and services for legacy aerospace platforms, from January 2020 to July 2020, and Chief Information Officer for BBA Aviation, a global aviation support and aftermarket services provider, from February 2012 to January 2020.</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Richard W. Kinzley, </w:t>
      </w:r>
      <w:r>
        <w:rPr>
          <w:rFonts w:ascii="Arial" w:cs="Arial" w:eastAsia="Arial" w:hAnsi="Arial"/>
          <w:sz w:val="16"/>
          <w:szCs w:val="16"/>
          <w:color w:val="auto"/>
        </w:rPr>
        <w:t>age 57, has been Senior Vice President and Chief Financial Officer since 2015. He served as Vice President - Corporate Controller</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2013 to 2014, Vice President - Strategic Planning and Development from 2008 to 2013, and as Director of Corporate Development from 2000 to 2008. Mr. Kinzley has 23 years of experience with the Company. As previously announced, Mr. Kinzley intends to retire in mid-2023 He will continue to serve in his current position until March 31, 2023, after which Kimberly F. Nooney, the Company’s Vice President, Treasurer, will succeed Mr. Kinzley and Mr. Kinzley will continue as Senior Vice President until his retirement to provide for a reasonable transition period.</w:t>
      </w:r>
    </w:p>
    <w:p>
      <w:pPr>
        <w:spacing w:after="0" w:line="15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b w:val="1"/>
          <w:bCs w:val="1"/>
          <w:color w:val="auto"/>
        </w:rPr>
        <w:t xml:space="preserve">Jennifer C. Landis, </w:t>
      </w:r>
      <w:r>
        <w:rPr>
          <w:rFonts w:ascii="Arial" w:cs="Arial" w:eastAsia="Arial" w:hAnsi="Arial"/>
          <w:sz w:val="16"/>
          <w:szCs w:val="16"/>
          <w:color w:val="auto"/>
        </w:rPr>
        <w:t>age 48, has been Senior Vice President - Chief Human Resources Officer since February 1, 2017. She served as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April 2016 through January 2017, Director of Corporate Human Resources and Talent Management from 2013 to April 2016, and Director of Organization Development from 2008 to 2013. Ms. Landis has 21 years of experience with the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840" w:right="660" w:hanging="972"/>
        <w:spacing w:after="0" w:line="296" w:lineRule="auto"/>
        <w:tabs>
          <w:tab w:leader="none" w:pos="8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2023, we had 3,403 common shareholders of record and 70,195 beneficial owners, representing all 50 states, the District of Columbia and 6 foreign countries.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following performance graph compares the cumulative total stockholder return from Black Hills Corporation common stock, as compared with the S&amp;P 500 Index, S&amp;P 500 Utilities index, and our Performance Peer Group for the past five years. The graph assumes an initial investment of $100 on December 31, 2017, and assumes all dividends were reinvested. The stockholder return shown below for the five-year historical period may not be indicative of future performance. The information in this "Comparative Stock Performance" section shall not be deemed to be "soliciting material" or to be "filed" with the Securities and Exchange Commission or subject to Regulation 14A or 14C, or to the liabilities of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54610</wp:posOffset>
            </wp:positionV>
            <wp:extent cx="5168900" cy="24942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689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Years ended December 31,</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2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0"/>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Corporation</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107.97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133.55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137.65</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S&amp;P 500</w:t>
            </w:r>
          </w:p>
        </w:tc>
        <w:tc>
          <w:tcPr>
            <w:tcW w:w="2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125.72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191.58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156.88</w:t>
            </w:r>
          </w:p>
        </w:tc>
      </w:tr>
      <w:tr>
        <w:trPr>
          <w:trHeight w:val="217"/>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 500 Utilities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104.11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131.54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155.53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157.97</w:t>
            </w:r>
          </w:p>
        </w:tc>
      </w:tr>
      <w:tr>
        <w:trPr>
          <w:trHeight w:val="202"/>
        </w:trPr>
        <w:tc>
          <w:tcPr>
            <w:tcW w:w="2760" w:type="dxa"/>
            <w:vAlign w:val="bottom"/>
          </w:tcPr>
          <w:p>
            <w:pPr>
              <w:ind w:left="20"/>
              <w:spacing w:after="0" w:line="202" w:lineRule="exact"/>
              <w:rPr>
                <w:sz w:val="20"/>
                <w:szCs w:val="20"/>
                <w:color w:val="auto"/>
              </w:rPr>
            </w:pPr>
            <w:r>
              <w:rPr>
                <w:rFonts w:ascii="Arial" w:cs="Arial" w:eastAsia="Arial" w:hAnsi="Arial"/>
                <w:sz w:val="16"/>
                <w:szCs w:val="16"/>
                <w:color w:val="auto"/>
              </w:rPr>
              <w:t xml:space="preserve">Performance Peer Group </w:t>
            </w:r>
            <w:r>
              <w:rPr>
                <w:rFonts w:ascii="Arial" w:cs="Arial" w:eastAsia="Arial" w:hAnsi="Arial"/>
                <w:sz w:val="21"/>
                <w:szCs w:val="21"/>
                <w:color w:val="auto"/>
                <w:vertAlign w:val="superscript"/>
              </w:rPr>
              <w:t>(a)</w:t>
            </w:r>
          </w:p>
        </w:tc>
        <w:tc>
          <w:tcPr>
            <w:tcW w:w="26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103.67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130.41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150.96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152.70</w:t>
            </w:r>
          </w:p>
        </w:tc>
      </w:tr>
      <w:tr>
        <w:trPr>
          <w:trHeight w:val="208"/>
        </w:trPr>
        <w:tc>
          <w:tcPr>
            <w:tcW w:w="2760" w:type="dxa"/>
            <w:vAlign w:val="bottom"/>
          </w:tcPr>
          <w:p>
            <w:pPr>
              <w:spacing w:after="0"/>
              <w:rPr>
                <w:sz w:val="20"/>
                <w:szCs w:val="20"/>
                <w:color w:val="auto"/>
              </w:rPr>
            </w:pPr>
            <w:r>
              <w:rPr>
                <w:rFonts w:ascii="Arial" w:cs="Arial" w:eastAsia="Arial" w:hAnsi="Arial"/>
                <w:sz w:val="16"/>
                <w:szCs w:val="16"/>
                <w:color w:val="auto"/>
              </w:rPr>
              <w:t>____________________</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Performance Peer Group represents the Edison Electric Institute Index, which was used in our 2022 Proxy Statement filed with the SEC on March 17, 2022.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information concerning dividends, our dividend policy and factors that may limit our ability to pay dividends, 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and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under </w:t>
      </w:r>
      <w:r>
        <w:rPr>
          <w:rFonts w:ascii="Arial" w:cs="Arial" w:eastAsia="Arial" w:hAnsi="Arial"/>
          <w:sz w:val="16"/>
          <w:szCs w:val="16"/>
          <w:u w:val="single" w:color="auto"/>
          <w:color w:val="0000FF"/>
        </w:rPr>
        <w:t>Item 7</w:t>
      </w:r>
      <w:r>
        <w:rPr>
          <w:rFonts w:ascii="Arial" w:cs="Arial" w:eastAsia="Arial" w:hAnsi="Arial"/>
          <w:sz w:val="16"/>
          <w:szCs w:val="16"/>
          <w:color w:val="auto"/>
        </w:rPr>
        <w:t>, Management’s Discussion and Analysis of Financial Condition and Results of Operations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-276225</wp:posOffset>
            </wp:positionV>
            <wp:extent cx="17837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71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-156210</wp:posOffset>
            </wp:positionV>
            <wp:extent cx="2086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8661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sold during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12</w:t>
      </w:r>
      <w:r>
        <w:rPr>
          <w:rFonts w:ascii="Arial" w:cs="Arial" w:eastAsia="Arial" w:hAnsi="Arial"/>
          <w:sz w:val="16"/>
          <w:szCs w:val="16"/>
          <w:color w:val="auto"/>
        </w:rPr>
        <w:t xml:space="preserve"> in this Annual Report on Form 10-K for information regarding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429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88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880" w:type="dxa"/>
            <w:vAlign w:val="bottom"/>
          </w:tcPr>
          <w:p>
            <w:pPr>
              <w:jc w:val="center"/>
              <w:ind w:right="19"/>
              <w:spacing w:after="0"/>
              <w:rPr>
                <w:sz w:val="20"/>
                <w:szCs w:val="20"/>
                <w:color w:val="auto"/>
              </w:rPr>
            </w:pPr>
            <w:r>
              <w:rPr>
                <w:rFonts w:ascii="Arial" w:cs="Arial" w:eastAsia="Arial" w:hAnsi="Arial"/>
                <w:sz w:val="16"/>
                <w:szCs w:val="16"/>
                <w:b w:val="1"/>
                <w:bCs w:val="1"/>
                <w:color w:val="auto"/>
              </w:rPr>
              <w:t>May Yet Be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800" w:type="dxa"/>
            <w:vAlign w:val="bottom"/>
          </w:tcPr>
          <w:p>
            <w:pPr>
              <w:jc w:val="right"/>
              <w:ind w:right="239"/>
              <w:spacing w:after="0" w:line="163" w:lineRule="exact"/>
              <w:rPr>
                <w:sz w:val="20"/>
                <w:szCs w:val="20"/>
                <w:color w:val="auto"/>
              </w:rPr>
            </w:pPr>
            <w:r>
              <w:rPr>
                <w:rFonts w:ascii="Arial" w:cs="Arial" w:eastAsia="Arial" w:hAnsi="Arial"/>
                <w:sz w:val="16"/>
                <w:szCs w:val="16"/>
                <w:b w:val="1"/>
                <w:bCs w:val="1"/>
                <w:color w:val="auto"/>
              </w:rPr>
              <w:t>Total Number of</w:t>
            </w:r>
          </w:p>
        </w:tc>
        <w:tc>
          <w:tcPr>
            <w:tcW w:w="260" w:type="dxa"/>
            <w:vAlign w:val="bottom"/>
          </w:tcPr>
          <w:p>
            <w:pPr>
              <w:spacing w:after="0"/>
              <w:rPr>
                <w:sz w:val="14"/>
                <w:szCs w:val="14"/>
                <w:color w:val="auto"/>
              </w:rPr>
            </w:pPr>
          </w:p>
        </w:tc>
        <w:tc>
          <w:tcPr>
            <w:tcW w:w="1580" w:type="dxa"/>
            <w:vAlign w:val="bottom"/>
          </w:tcPr>
          <w:p>
            <w:pPr>
              <w:jc w:val="right"/>
              <w:ind w:right="299"/>
              <w:spacing w:after="0" w:line="163" w:lineRule="exact"/>
              <w:rPr>
                <w:sz w:val="20"/>
                <w:szCs w:val="20"/>
                <w:color w:val="auto"/>
              </w:rPr>
            </w:pPr>
            <w:r>
              <w:rPr>
                <w:rFonts w:ascii="Arial" w:cs="Arial" w:eastAsia="Arial" w:hAnsi="Arial"/>
                <w:sz w:val="16"/>
                <w:szCs w:val="16"/>
                <w:b w:val="1"/>
                <w:bCs w:val="1"/>
                <w:color w:val="auto"/>
              </w:rPr>
              <w:t>Average Price</w:t>
            </w:r>
          </w:p>
        </w:tc>
        <w:tc>
          <w:tcPr>
            <w:tcW w:w="17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Announced Plans or</w:t>
            </w:r>
          </w:p>
        </w:tc>
        <w:tc>
          <w:tcPr>
            <w:tcW w:w="18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Paid per Share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October 1, 2022 - October 31, 2022</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67.73</w:t>
            </w:r>
          </w:p>
        </w:tc>
        <w:tc>
          <w:tcPr>
            <w:tcW w:w="1780" w:type="dxa"/>
            <w:vAlign w:val="bottom"/>
            <w:shd w:val="clear" w:color="auto" w:fill="CFF0FC"/>
          </w:tcPr>
          <w:p>
            <w:pPr>
              <w:ind w:left="156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November 1, 2022 - November 30, 2022</w:t>
            </w:r>
          </w:p>
        </w:tc>
        <w:tc>
          <w:tcPr>
            <w:tcW w:w="1800" w:type="dxa"/>
            <w:vAlign w:val="bottom"/>
          </w:tcPr>
          <w:p>
            <w:pPr>
              <w:jc w:val="right"/>
              <w:spacing w:after="0"/>
              <w:rPr>
                <w:sz w:val="20"/>
                <w:szCs w:val="20"/>
                <w:color w:val="auto"/>
              </w:rPr>
            </w:pPr>
            <w:r>
              <w:rPr>
                <w:rFonts w:ascii="Arial" w:cs="Arial" w:eastAsia="Arial" w:hAnsi="Arial"/>
                <w:sz w:val="16"/>
                <w:szCs w:val="16"/>
                <w:color w:val="auto"/>
              </w:rPr>
              <w:t>294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64.75</w:t>
            </w:r>
          </w:p>
        </w:tc>
        <w:tc>
          <w:tcPr>
            <w:tcW w:w="1780" w:type="dxa"/>
            <w:vAlign w:val="bottom"/>
          </w:tcPr>
          <w:p>
            <w:pPr>
              <w:ind w:left="1560"/>
              <w:spacing w:after="0"/>
              <w:rPr>
                <w:sz w:val="20"/>
                <w:szCs w:val="20"/>
                <w:color w:val="auto"/>
              </w:rPr>
            </w:pPr>
            <w:r>
              <w:rPr>
                <w:rFonts w:ascii="Arial" w:cs="Arial" w:eastAsia="Arial" w:hAnsi="Arial"/>
                <w:sz w:val="16"/>
                <w:szCs w:val="16"/>
                <w:color w:val="auto"/>
              </w:rPr>
              <w:t>—</w:t>
            </w:r>
          </w:p>
        </w:tc>
        <w:tc>
          <w:tcPr>
            <w:tcW w:w="188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December 1, 2022 - December 31, 2022</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10,035</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68.87</w:t>
            </w:r>
          </w:p>
        </w:tc>
        <w:tc>
          <w:tcPr>
            <w:tcW w:w="1780" w:type="dxa"/>
            <w:vAlign w:val="bottom"/>
            <w:tcBorders>
              <w:bottom w:val="single" w:sz="8" w:color="auto"/>
            </w:tcBorders>
            <w:shd w:val="clear" w:color="auto" w:fill="CFF0FC"/>
          </w:tcPr>
          <w:p>
            <w:pPr>
              <w:ind w:left="15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FF0FC"/>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40" w:type="dxa"/>
            <w:vAlign w:val="bottom"/>
          </w:tcPr>
          <w:p>
            <w:pPr>
              <w:ind w:left="20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68.75</w:t>
            </w:r>
          </w:p>
        </w:tc>
        <w:tc>
          <w:tcPr>
            <w:tcW w:w="178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4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20" w:right="360" w:hanging="512"/>
        <w:spacing w:after="0" w:line="264"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4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vision to be the </w:t>
      </w:r>
      <w:r>
        <w:rPr>
          <w:rFonts w:ascii="Arial" w:cs="Arial" w:eastAsia="Arial" w:hAnsi="Arial"/>
          <w:sz w:val="16"/>
          <w:szCs w:val="16"/>
          <w:i w:val="1"/>
          <w:iCs w:val="1"/>
          <w:color w:val="auto"/>
        </w:rPr>
        <w:t>Energy Partner of Choice</w:t>
      </w:r>
      <w:r>
        <w:rPr>
          <w:rFonts w:ascii="Arial" w:cs="Arial" w:eastAsia="Arial" w:hAnsi="Arial"/>
          <w:sz w:val="16"/>
          <w:szCs w:val="16"/>
          <w:color w:val="auto"/>
        </w:rPr>
        <w:t xml:space="preserve"> directs our strategy to invest in the safety, sustainability and growth of our eight-state service territory, including Arkansas, Colorado, Iowa, Kansas, Montana, Nebraska, South Dakota and Wyoming, and to meet our essential objective of providing safe, reliable and cost-effective electricity and natural gas.</w:t>
      </w:r>
    </w:p>
    <w:p>
      <w:pPr>
        <w:spacing w:after="0" w:line="1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139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 critical component of our strategy involves sustainable operations and supporting the Energy Transition. How we operate our company for the social good has never been more important. We are committed to cleaner energy and a low carbon future, integrating the Energy Transition and more renewable energy into our overall strategy and decision making. In addition, we are committed to a more sustainable future by better managing our impacts to the planet, whether that is water usage, recycling, biodiversity, or other important measures, and remaining focused on our human capital through diversity and inclusion.</w:t>
      </w:r>
    </w:p>
    <w:p>
      <w:pPr>
        <w:spacing w:after="0" w:line="34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emphasis is on consistently outperforming utility industry averages in key safety metrics; modernizing utility infrastructure; transforming the customer experience; growing our electric and natural gas customer load; and pursuing operating efficiencies. These areas of focus will present the company with significant investment needs as we harden our infrastructure systems, meet customer growth and fulfill customer expectations for cleaner energy services. It will also allow us to better understand our customer and community needs while providing more intuitive and cost-effective solutions.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Elements of our Business Strategy</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Modernize and operate utility infrastructure to provide customers with safe, reliable, cost-effective electric and natural gas service. </w:t>
      </w:r>
      <w:r>
        <w:rPr>
          <w:rFonts w:ascii="Arial" w:cs="Arial" w:eastAsia="Arial" w:hAnsi="Arial"/>
          <w:sz w:val="16"/>
          <w:szCs w:val="16"/>
          <w:color w:val="auto"/>
        </w:rPr>
        <w:t>Our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and operate large electric and natural gas infrastructure systems with a geographic footprint that spans nearly 1,600 miles. Our Electric Utilities own and operate 1,482 MW of generation capacity and 9,024 miles of transmission and distribution lines and our Gas Utilities own and operate approximately 47,000 miles of natural gas transmission and distribution pipelines.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 key strategic focus is to modernize and harden our utility infrastructure to meet customers’ and communities’ varied energy needs, ensure the continued delivery of safe, reliable and cost-effective energy and reduce GHG emissions intensity. In addition, we invest in the expansion, capacity and integrity of our systems to meet customer growth.</w:t>
      </w:r>
    </w:p>
    <w:p>
      <w:pPr>
        <w:spacing w:after="0" w:line="144"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We rigorously comply with all applicable federal, state and local regulations and strive to consistently meet industry best practice standards. A key component of our modernization effort is the development of programs by our Electric and Gas Utilities to systematically and proactively replace aging infrastructure on a system-wide basis.</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 xml:space="preserve">To meet our electric customers’ continued expectations of high levels of reliability, a key strength of the Company, our Electric Utilities utilize an integrity program to ensure the timely repair and replacement of aging infrastructure. In alignment with this program, in November 2021, Wyoming Electric announced its </w:t>
      </w:r>
      <w:r>
        <w:rPr>
          <w:rFonts w:ascii="Arial" w:cs="Arial" w:eastAsia="Arial" w:hAnsi="Arial"/>
          <w:sz w:val="16"/>
          <w:szCs w:val="16"/>
          <w:i w:val="1"/>
          <w:iCs w:val="1"/>
          <w:color w:val="auto"/>
        </w:rPr>
        <w:t>Ready Wyoming</w:t>
      </w:r>
      <w:r>
        <w:rPr>
          <w:rFonts w:ascii="Arial" w:cs="Arial" w:eastAsia="Arial" w:hAnsi="Arial"/>
          <w:sz w:val="16"/>
          <w:szCs w:val="16"/>
          <w:color w:val="auto"/>
        </w:rPr>
        <w:t xml:space="preserve"> electric transmission expansion initiative. The 260-mile, multi-phase transmission expansion project will provide customers long-term price stability and greater flexibility as power markets develop in the Western States. On October 11, 2022, the WPSC approved a CPCN submitted by Wyoming Electric to construct the transmission expansion project. Construction of the project is expected to take place in multiple phases or segments from 2023 through 2025 and will interconnect South Dakota Electric’s and Wyoming Electric’s transmission systems.</w:t>
      </w:r>
    </w:p>
    <w:p>
      <w:pPr>
        <w:spacing w:after="0" w:line="155"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Our Gas Utilities are authorized to use system safety, integrity and replacement cost recovery mechanisms that provide for customer rate adjustments, between rate reviews, which allow timely recovery of costs incurred in repairing and replacing the gas delivery systems with a return on the investment.</w:t>
      </w:r>
    </w:p>
    <w:p>
      <w:pPr>
        <w:spacing w:after="0" w:line="15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of December 31, 2022, we estimate our five-year capital investment to be approximately $3.5 billion, with most of that investment targeted toward upgrading existing utility infrastructure supporting customer and community growth needs, and complying with safety requirements. Our actual 2022 and forecasted capital expenditures for the next five years from 2023 through 2027 are as follows (in millions). Minor differences may result due to rounding.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Actual </w:t>
            </w:r>
            <w:r>
              <w:rPr>
                <w:rFonts w:ascii="Arial" w:cs="Arial" w:eastAsia="Arial" w:hAnsi="Arial"/>
                <w:sz w:val="21"/>
                <w:szCs w:val="21"/>
                <w:b w:val="1"/>
                <w:bCs w:val="1"/>
                <w:color w:val="auto"/>
                <w:vertAlign w:val="superscript"/>
              </w:rPr>
              <w:t>(a)</w:t>
            </w: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Forecasted</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Capital Expenditures By</w:t>
            </w: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15"/>
                <w:szCs w:val="15"/>
                <w:color w:val="auto"/>
              </w:rPr>
            </w:pPr>
          </w:p>
        </w:tc>
        <w:tc>
          <w:tcPr>
            <w:tcW w:w="10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11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5"/>
                <w:szCs w:val="15"/>
                <w:color w:val="auto"/>
              </w:rPr>
            </w:pPr>
          </w:p>
        </w:tc>
        <w:tc>
          <w:tcPr>
            <w:tcW w:w="10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380" w:type="dxa"/>
            <w:vAlign w:val="bottom"/>
          </w:tcPr>
          <w:p>
            <w:pPr>
              <w:spacing w:after="0"/>
              <w:rPr>
                <w:sz w:val="15"/>
                <w:szCs w:val="15"/>
                <w:color w:val="auto"/>
              </w:rPr>
            </w:pPr>
          </w:p>
        </w:tc>
        <w:tc>
          <w:tcPr>
            <w:tcW w:w="10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2027</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Segment:</w:t>
            </w:r>
          </w:p>
        </w:tc>
        <w:tc>
          <w:tcPr>
            <w:tcW w:w="9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(in millions)</w:t>
            </w: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7"/>
              </w:rPr>
              <w:t>243</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212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7"/>
        </w:trPr>
        <w:tc>
          <w:tcPr>
            <w:tcW w:w="2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7"/>
              </w:rPr>
              <w:t>349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386</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452</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393</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960" w:type="dxa"/>
            <w:vAlign w:val="bottom"/>
          </w:tcPr>
          <w:p>
            <w:pPr>
              <w:spacing w:after="0"/>
              <w:rPr>
                <w:sz w:val="18"/>
                <w:szCs w:val="18"/>
                <w:color w:val="auto"/>
              </w:rPr>
            </w:pP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2660" w:type="dxa"/>
            <w:vAlign w:val="bottom"/>
            <w:tcBorders>
              <w:bottom w:val="single" w:sz="8" w:color="CFF0FC"/>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(b)</w:t>
            </w: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104</w:t>
            </w:r>
          </w:p>
        </w:tc>
        <w:tc>
          <w:tcPr>
            <w:tcW w:w="3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9"/>
        </w:trPr>
        <w:tc>
          <w:tcPr>
            <w:tcW w:w="2660" w:type="dxa"/>
            <w:vAlign w:val="bottom"/>
          </w:tcPr>
          <w:p>
            <w:pPr>
              <w:ind w:left="200"/>
              <w:spacing w:after="0"/>
              <w:rPr>
                <w:sz w:val="20"/>
                <w:szCs w:val="20"/>
                <w:color w:val="auto"/>
              </w:rPr>
            </w:pPr>
            <w:r>
              <w:rPr>
                <w:rFonts w:ascii="Arial" w:cs="Arial" w:eastAsia="Arial" w:hAnsi="Arial"/>
                <w:sz w:val="16"/>
                <w:szCs w:val="16"/>
                <w:color w:val="auto"/>
              </w:rPr>
              <w:t>Total</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7"/>
              </w:rPr>
              <w:t>598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615</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-170815</wp:posOffset>
            </wp:positionV>
            <wp:extent cx="9461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7" w:lineRule="exact"/>
        <w:rPr>
          <w:sz w:val="20"/>
          <w:szCs w:val="20"/>
          <w:color w:val="auto"/>
        </w:rPr>
      </w:pPr>
    </w:p>
    <w:p>
      <w:pPr>
        <w:ind w:left="520" w:right="760" w:hanging="512"/>
        <w:spacing w:after="0" w:line="25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in this Annual Report on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-215900</wp:posOffset>
            </wp:positionV>
            <wp:extent cx="16249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 xml:space="preserve">Efficiently plan, construct and operate power generation facilities to serve our Electric Utilities. </w:t>
      </w:r>
      <w:r>
        <w:rPr>
          <w:rFonts w:ascii="Arial" w:cs="Arial" w:eastAsia="Arial" w:hAnsi="Arial"/>
          <w:sz w:val="16"/>
          <w:szCs w:val="16"/>
          <w:color w:val="auto"/>
        </w:rPr>
        <w:t>We best serve customers and communities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is vertically integrated into our Electric Utilities. This business model remains a core strength and strategy today as we invest in and operate efficient power generation resources to supply cost-effective electricity to our customers. These generation assets can be rate-based or non-regulated assets within our Electric Utilities segment. However, we believe that generation assets that are rate-based provide long-term benefits to customers.</w:t>
      </w:r>
    </w:p>
    <w:p>
      <w:pPr>
        <w:spacing w:after="0" w:line="15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Our power production strategy focuses on low-cost construction and efficient operation of our generating facilities. Our low power production costs result from a variety of factors including low fuel costs (operations located near energy hubs), efficiency in converting fuel into energy and low per unit operating and maintenance costs. In addition, we operate our plants with high levels of Availability as compared to industry benchmarks.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Rate Base Generation: </w:t>
      </w:r>
      <w:r>
        <w:rPr>
          <w:rFonts w:ascii="Arial" w:cs="Arial" w:eastAsia="Arial" w:hAnsi="Arial"/>
          <w:sz w:val="16"/>
          <w:szCs w:val="16"/>
          <w:color w:val="auto"/>
        </w:rPr>
        <w:t>We continue to believe that customers are best served when the power generation facilities are owned and rate-based by our Electric</w:t>
      </w:r>
      <w:r>
        <w:rPr>
          <w:rFonts w:ascii="Arial" w:cs="Arial" w:eastAsia="Arial" w:hAnsi="Arial"/>
          <w:sz w:val="16"/>
          <w:szCs w:val="16"/>
          <w:i w:val="1"/>
          <w:iCs w:val="1"/>
          <w:color w:val="auto"/>
        </w:rPr>
        <w:t xml:space="preserve"> </w:t>
      </w:r>
      <w:r>
        <w:rPr>
          <w:rFonts w:ascii="Arial" w:cs="Arial" w:eastAsia="Arial" w:hAnsi="Arial"/>
          <w:sz w:val="16"/>
          <w:szCs w:val="16"/>
          <w:color w:val="auto"/>
        </w:rPr>
        <w:t>Utilities. Rate-based generation assets offer several advantages for customers and shareholders, including:</w:t>
      </w:r>
    </w:p>
    <w:p>
      <w:pPr>
        <w:spacing w:after="0" w:line="129" w:lineRule="exact"/>
        <w:rPr>
          <w:sz w:val="20"/>
          <w:szCs w:val="20"/>
          <w:color w:val="auto"/>
        </w:rPr>
      </w:pPr>
    </w:p>
    <w:p>
      <w:pPr>
        <w:ind w:left="1020" w:right="16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or PPAs that are periodically re-priced to reflect current and varying market conditions;</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Regulators participate in a planning process where long-term investments are designed to match long-term energy demand;</w:t>
      </w:r>
    </w:p>
    <w:p>
      <w:pPr>
        <w:spacing w:after="0" w:line="206"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lower-risk profile of rate-based generation assets contributes to stronger credit ratings which, in turn, can benefit both customers and investors by lowering the cost of capital; and</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Investors are provided a long-term and stable return on their investment.</w:t>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 xml:space="preserve">Integrated Generation: </w:t>
      </w:r>
      <w:r>
        <w:rPr>
          <w:rFonts w:ascii="Arial" w:cs="Arial" w:eastAsia="Arial" w:hAnsi="Arial"/>
          <w:sz w:val="16"/>
          <w:szCs w:val="16"/>
          <w:color w:val="auto"/>
        </w:rPr>
        <w:t>Our Electric Utilities segment also includes a power generation business that owns non-regulated generating facilities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long-term power purchase agreements with our electric utilities. Our power generation business has an experienced staff with significant expertise in planning, building and operating power plants. This team also provides shared services to our Electric Utilities’ generation facilities, resulting in efficient management of all of the Company’s generation assets. Our power generation business competitively bids for energy and capacity through requests for proposals by our Electric Utilities for energy resources necessary to serve customers. This business can bid competitively due to construction expertise, fuel supply advantages and by co-locating new plants at our existing Electric Utilities’ energy complexes, reducing infrastructure and operating costs. All power plants within this business, except Northern Iowa Windpower, are contracted to our Electric Utilities under long-term contracts and are located at our utility-generating complexes, including Busch Ranch, Pueblo Airport Generation, and the Gillette, Wyoming energy complex, and are physically integrated into our Electric Utilities’ operations.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Generation Fuel Supply: </w:t>
      </w:r>
      <w:r>
        <w:rPr>
          <w:rFonts w:ascii="Arial" w:cs="Arial" w:eastAsia="Arial" w:hAnsi="Arial"/>
          <w:sz w:val="16"/>
          <w:szCs w:val="16"/>
          <w:color w:val="auto"/>
        </w:rPr>
        <w:t>Our generating facilities are strategically located close to energy hubs that help reduce fuel supply costs. Our Colorado and</w:t>
      </w:r>
      <w:r>
        <w:rPr>
          <w:rFonts w:ascii="Arial" w:cs="Arial" w:eastAsia="Arial" w:hAnsi="Arial"/>
          <w:sz w:val="16"/>
          <w:szCs w:val="16"/>
          <w:i w:val="1"/>
          <w:iCs w:val="1"/>
          <w:color w:val="auto"/>
        </w:rPr>
        <w:t xml:space="preserve"> </w:t>
      </w:r>
      <w:r>
        <w:rPr>
          <w:rFonts w:ascii="Arial" w:cs="Arial" w:eastAsia="Arial" w:hAnsi="Arial"/>
          <w:sz w:val="16"/>
          <w:szCs w:val="16"/>
          <w:color w:val="auto"/>
        </w:rPr>
        <w:t>Wyoming gas-fired generating facilities are located close to major natural gas energy hubs that provide trading liquidity and transparent pricing. Due to their location in the resource rich areas of Colorado and Wyoming, natural gas supply to fuel our gas-fired generation can be sourced at competitive prices. Our coal-fired power plants, all located at the Gillette energy complex in northeastern Wyoming, are supplied by our adjacent coal mine. We operate and own majority interests in four of the five power plants and own 20% of the fifth power plant. Our coal mine provides approximately 3.7 million tons of low-sulfur coal directly to these power plants via a conveyor belt system, minimizing transportation costs. The fuel can be delivered to our adjacent power plants at very cost competitive prices (i.e., $1.09 per MMBtu for year ended December 31, 2022) when compared to alternatives. Nearly all the mine’s production is sold to these on-site generation facilities under long-term supply contracts. Approximately one-half of our production is sold under cost-plus contracts with affiliates. A small portion of the mine’s production is sold to off-site industrial customers and delivered by truck.</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i w:val="1"/>
          <w:iCs w:val="1"/>
          <w:color w:val="auto"/>
        </w:rPr>
        <w:t xml:space="preserve">Supporting the Energy Transition by proactively integrating alternative and renewable energy into our utility energy supply while mitigating customer rate impacts. </w:t>
      </w:r>
      <w:r>
        <w:rPr>
          <w:rFonts w:ascii="Arial" w:cs="Arial" w:eastAsia="Arial" w:hAnsi="Arial"/>
          <w:sz w:val="16"/>
          <w:szCs w:val="16"/>
          <w:color w:val="auto"/>
        </w:rPr>
        <w:t>In November 2020, we announced clean energy goals to reduce GHG emissions intensity for our Electric Utilities by 40% by 2030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70% by 2040 and achieve GHG reductions of 50% by 2035 for our Gas Utilities. Our goals are compared to a 2005 baseline. Electric Utility goals include Scope 1 emissions from electric utility generating units and Scope 3 emissions from purchased power for sales. Our Gas Utilities goal includes Scope 1 emissions from distribution system main and service lines. On August 31, 2022, we announced a new "Net Zero by 2035" target for our Gas Utilities, which doubles the previous target of a 50% reduction by 2035 and expands the scope of the goal to all Scope 1 sources of methane emissions on our distribution system. Net Zero will be achieved through pipeline material and main replacements, advanced leak detection, third-party damage reduction, expanding the use of RNG and hydrogen, and utilizing carbon credit offsets.</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Since 2005, we have reduced GHG emissions intensity from our Gas Utilities distribution system mains and services by more than 33% and achieved a one-third reduction from our Electric Utilities (a nearly 10% reduction since announcing our goal in 2020 for our Electric Utilities). We have plans in place today, without reliance on future technologies, to achieve our corporate climate goals calling for a 40% reduction in greenhouse gas emissions intensity from our electric utility operations by 2030 and 70% by 2040. Additionally, our Electric Utilities have reduced nitrogen oxide and sulfur dioxide emissions by more than 75% since 2005. Colorado Electric has achieved a nearly 50% reduction in GHG emissions since 2005 and is on track to reach the State of Colorado’s 80% carbon reduction goal by 2030. Our goals are based on prudent and proven solutions to reduce our emissions while minimizing cost impacts to our customers. This keeps our customers at the forefront of our decision-making, which is central to our values.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auto"/>
        </w:rPr>
        <w:t>More of our customers, particularly our larger customers, are demanding cleaner sources of energy to meet their sustainability goals. In addition, there is more interest from consumers, regulators and legislators to increase the use of renewable and other alternative energy sources. To support this interest:</w:t>
      </w:r>
    </w:p>
    <w:p>
      <w:pPr>
        <w:spacing w:after="0" w:line="129" w:lineRule="exact"/>
        <w:rPr>
          <w:sz w:val="20"/>
          <w:szCs w:val="20"/>
          <w:color w:val="auto"/>
        </w:rPr>
      </w:pPr>
    </w:p>
    <w:p>
      <w:pPr>
        <w:ind w:left="1020" w:right="40" w:hanging="503"/>
        <w:spacing w:after="0" w:line="259"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We created the Renewable Ready program for South Dakota Electric and Wyoming Electric customers. In support of this program, we created and received approvals for new, voluntary renewable energy tariffs to serve certain commercial, industrial and governmental customer requests for renewable energy resources. To meet the renewable energy commitments under the new tariffs, in November 2020, we completed construction and placed into service the Corriedale wind project, a 52.5 MW wind energy project near Cheyenne, Wyoming.</w:t>
      </w:r>
    </w:p>
    <w:p>
      <w:pPr>
        <w:spacing w:after="0" w:line="150" w:lineRule="exact"/>
        <w:rPr>
          <w:rFonts w:ascii="Times New Roman" w:cs="Times New Roman" w:eastAsia="Times New Roman" w:hAnsi="Times New Roman"/>
          <w:sz w:val="16"/>
          <w:szCs w:val="16"/>
          <w:color w:val="auto"/>
        </w:rPr>
      </w:pPr>
    </w:p>
    <w:p>
      <w:pPr>
        <w:ind w:left="1020" w:right="200" w:hanging="503"/>
        <w:spacing w:after="0" w:line="254"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In June 2021, South Dakota Electric and Wyoming Electric submitted an IRP to the SDPUC and WPSC. The IRP outlines a range of options for the two electric utilities over a 20-year planning horizon to meet long-term forecasted energy needs while strengthening reliability and resiliency of the grid. The analysis focused on the least-cost resource needs to best meet customers’ future peak energy needs while maintaining system flexibility and achieving the Company’s generation emissions reduction goals. The IRP’s preferred options for South Dakota Electric in the near-term planning period through 2026 are the addition of 100 MW of renewable generation, the conversion of Neil Simpson II to natural gas in 2025 and consideration of up to 10 MW of battery storage.</w:t>
      </w:r>
    </w:p>
    <w:p>
      <w:pPr>
        <w:spacing w:after="0" w:line="153" w:lineRule="exact"/>
        <w:rPr>
          <w:rFonts w:ascii="Times New Roman" w:cs="Times New Roman" w:eastAsia="Times New Roman" w:hAnsi="Times New Roman"/>
          <w:sz w:val="16"/>
          <w:szCs w:val="16"/>
          <w:color w:val="auto"/>
        </w:rPr>
      </w:pPr>
    </w:p>
    <w:p>
      <w:pPr>
        <w:jc w:val="both"/>
        <w:ind w:left="1020" w:right="320" w:hanging="503"/>
        <w:spacing w:after="0" w:line="266"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13, 2023, Colorado Electric submitted a unanimous settlement for its Clean Energy Plan filed May 25, 2022, with the CPUC. If approved, the plan would add approximately 400 MW of new clean energy resources needed to reduce carbon emissions 80% by 2030. A final decision from the CPUC is expected in the first quarter of 2023.</w:t>
      </w:r>
    </w:p>
    <w:p>
      <w:pPr>
        <w:spacing w:after="0" w:line="14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Many states have enacted, and others are considering, mandatory renewable energy standards, requiring utilities to meet certain thresholds of renewable energy generation. In addition, some states have either enacted or are considering legislation setting GHG emission reduction targets. Federal legislation for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cost-effective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Reduction Act</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IRA, signed into law by President Biden on August 16, 2022, features $370 billion in spending and tax incentives on clean energy provisions. Most notably, the IRA includes provisions that extend and expand the production and investment tax credits for wind and solar; include energy storage, EVs, RNG, and carbon capture and sequestration; and allow for the transferability of clean energy tax credits on existing and qualifying new facilities. We see the IRA as generally supportive of our Energy Transition strategy and as having the potential to drive increased value for our customers and shareholders. We are still evaluating the impacts of the IRA provisions on our future capital projects.</w:t>
      </w:r>
    </w:p>
    <w:p>
      <w:pPr>
        <w:spacing w:after="0" w:line="153"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b w:val="1"/>
          <w:bCs w:val="1"/>
          <w:i w:val="1"/>
          <w:iCs w:val="1"/>
          <w:color w:val="auto"/>
        </w:rPr>
        <w:t xml:space="preserve">Explore opportunities as an energy solutions provider. </w:t>
      </w:r>
      <w:r>
        <w:rPr>
          <w:rFonts w:ascii="Arial" w:cs="Arial" w:eastAsia="Arial" w:hAnsi="Arial"/>
          <w:sz w:val="16"/>
          <w:szCs w:val="16"/>
          <w:color w:val="auto"/>
        </w:rPr>
        <w:t>Another strategic initiative is to grow our business through creative energy solutions with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partnerships. We see value creation by recruiting new customers and expanding existing partnerships with data centers and blockchain opportunities; exploring energy markets such as RTOs; and expanding our transmission capabilities. A few recent examples of our initiatives to grow our business through creative solutions include:</w:t>
      </w:r>
    </w:p>
    <w:p>
      <w:pPr>
        <w:spacing w:after="0" w:line="151" w:lineRule="exact"/>
        <w:rPr>
          <w:sz w:val="20"/>
          <w:szCs w:val="20"/>
          <w:color w:val="auto"/>
        </w:rPr>
      </w:pPr>
    </w:p>
    <w:p>
      <w:pPr>
        <w:ind w:left="1020" w:right="40" w:hanging="503"/>
        <w:spacing w:after="0" w:line="26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 2022, Wyoming Electric entered into two new PPAs with third parties to purchase up to 106 MW of wind energy and up to 150 MW of solar energy, upon construction of new renewable generation facilities (to be owned by third parties) which are expected to be completed by the end of 2023. The renewable energy from these PPAs will be used to serve our expanding partnerships with data centers.</w:t>
      </w:r>
    </w:p>
    <w:p>
      <w:pPr>
        <w:spacing w:after="0" w:line="170" w:lineRule="exact"/>
        <w:rPr>
          <w:rFonts w:ascii="Times New Roman" w:cs="Times New Roman" w:eastAsia="Times New Roman" w:hAnsi="Times New Roman"/>
          <w:sz w:val="16"/>
          <w:szCs w:val="16"/>
          <w:color w:val="auto"/>
        </w:rPr>
      </w:pPr>
    </w:p>
    <w:p>
      <w:pPr>
        <w:ind w:left="1020" w:right="20" w:hanging="503"/>
        <w:spacing w:after="0" w:line="25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supported enabling legislation in Wyoming for the growing blockchain businesses while implementing our own BCIS Tariff to serve these customers. In June 2022, Wyoming Electric completed its first agreement, a five-year agreement to deliver up to 45 MW with an option to expand service up to 75 MW to a new customer in Cheyenne, Wyoming, under this Tariff. Energy will be sourced through the electric energy market and delivered through our Electric Utilities’ infrastructure. Under the agreement, the customer will be responsible for costs of service, and the load will be interruptible to prioritize the needs of Wyoming Electric’s existing retail customers.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1020" w:right="220" w:hanging="503"/>
        <w:spacing w:after="0" w:line="259"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2022, Colorado Electric agreed to join SPP’s WEIS Market. On September 26, 2022, South Dakota Electric and Wyoming Electric also agreed to join the WEIS Market. South Dakota Electric and Wyoming Electric will join Colorado Electric in integrating into the WEIS Market in April 2023 and expects to continue studying long-term solutions for joining or developing an organized wholesale market. The expansion allows the utilities to participate in a real-time market.</w:t>
      </w:r>
    </w:p>
    <w:p>
      <w:pPr>
        <w:spacing w:after="0" w:line="15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Additionally, we are pursuing two important initiatives in the form of sustainable energy solutions for electric vehicles and RNG. These two programs support our near-term sustainable strategy and contribute to the achievement of our aspirational greenhouse gas emissions reduction goals.</w:t>
      </w:r>
    </w:p>
    <w:p>
      <w:pPr>
        <w:spacing w:after="0" w:line="142" w:lineRule="exact"/>
        <w:rPr>
          <w:sz w:val="20"/>
          <w:szCs w:val="20"/>
          <w:color w:val="auto"/>
        </w:rPr>
      </w:pPr>
    </w:p>
    <w:p>
      <w:pPr>
        <w:ind w:left="1020" w:right="100" w:hanging="503"/>
        <w:spacing w:after="0" w:line="249"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u w:val="single" w:color="auto"/>
          <w:color w:val="auto"/>
        </w:rPr>
        <w:t>Electric Vehicles</w:t>
      </w:r>
      <w:r>
        <w:rPr>
          <w:rFonts w:ascii="Arial" w:cs="Arial" w:eastAsia="Arial" w:hAnsi="Arial"/>
          <w:sz w:val="16"/>
          <w:szCs w:val="16"/>
          <w:color w:val="auto"/>
        </w:rPr>
        <w:t>: We expect EV market share to increase over the next one to three years, commensurate with a significant uptick in vehicle range and product offerings and marked decrease in EV purchase prices. In addition to future load growth opportunities, we are investigating behind-the-meter solutions for customers. In January 2022, the CPUC approved a transportation electrification plan for Colorado Electric including the implementation of EV and charger rebates and EV rates.</w:t>
      </w:r>
    </w:p>
    <w:p>
      <w:pPr>
        <w:spacing w:after="0" w:line="171" w:lineRule="exact"/>
        <w:rPr>
          <w:rFonts w:ascii="Times New Roman" w:cs="Times New Roman" w:eastAsia="Times New Roman" w:hAnsi="Times New Roman"/>
          <w:sz w:val="18"/>
          <w:szCs w:val="18"/>
          <w:color w:val="auto"/>
        </w:rPr>
      </w:pPr>
    </w:p>
    <w:p>
      <w:pPr>
        <w:ind w:left="1020" w:hanging="503"/>
        <w:spacing w:after="0" w:line="248"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6"/>
          <w:szCs w:val="16"/>
          <w:u w:val="single" w:color="auto"/>
          <w:color w:val="auto"/>
        </w:rPr>
        <w:t>Renewable Natural Gas</w:t>
      </w:r>
      <w:r>
        <w:rPr>
          <w:rFonts w:ascii="Arial" w:cs="Arial" w:eastAsia="Arial" w:hAnsi="Arial"/>
          <w:sz w:val="16"/>
          <w:szCs w:val="16"/>
          <w:color w:val="auto"/>
        </w:rPr>
        <w:t>: In 2021, we developed a voluntary RNG and carbon offset program to help our residential and small business natural gas customers offset up to 100% or more of the emissions associated with their own natural gas usage. In 2022, we filed for approval to launch these programs in three of our states, receiving regulatory approval for the program from both the KCC and the NPSC in Q4 2022. We intend to begin offering the program to customers in 2023, as well as completing additional regulatory filings with commissions in our other natural gas states.</w:t>
      </w:r>
    </w:p>
    <w:p>
      <w:pPr>
        <w:spacing w:after="0" w:line="160" w:lineRule="exact"/>
        <w:rPr>
          <w:sz w:val="20"/>
          <w:szCs w:val="20"/>
          <w:color w:val="auto"/>
        </w:rPr>
      </w:pPr>
    </w:p>
    <w:p>
      <w:pPr>
        <w:ind w:left="1020" w:right="60"/>
        <w:spacing w:after="0" w:line="256" w:lineRule="auto"/>
        <w:rPr>
          <w:sz w:val="20"/>
          <w:szCs w:val="20"/>
          <w:color w:val="auto"/>
        </w:rPr>
      </w:pPr>
      <w:r>
        <w:rPr>
          <w:rFonts w:ascii="Arial" w:cs="Arial" w:eastAsia="Arial" w:hAnsi="Arial"/>
          <w:sz w:val="16"/>
          <w:szCs w:val="16"/>
          <w:color w:val="auto"/>
        </w:rPr>
        <w:t>Our teams are also evaluating multiple RNG investment opportunities and exploring value generation with our natural gas storage assets. We also continue to expand our RNG interconnections, with six projects actively injecting RNG into our natural gas system. In 2022, we created a new non-regulated business, BHERR, which will drive new growth by investing capital into infrastructure assets that provide a pathway for RNG to enter the market. BHERR builds on our expertise and experience in both RNG and natural gas asset operations, and aligns with market demand and the path to a cleaner energy future.</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 xml:space="preserve">Execute disciplined capital allocation and explore small strategic opportunities. </w:t>
      </w:r>
      <w:r>
        <w:rPr>
          <w:rFonts w:ascii="Arial" w:cs="Arial" w:eastAsia="Arial" w:hAnsi="Arial"/>
          <w:sz w:val="16"/>
          <w:szCs w:val="16"/>
          <w:color w:val="auto"/>
        </w:rPr>
        <w:t>We are planning a disciplined capital investment program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$600 million during the next year to improve our cash flows and reduce our debt to total capitalization ratio. By carefully managing capital, we plan to continue to strengthen our balance sheet and enhance our liquidity. With this goal in mind, we will continue to evaluate smaller scale acquisitions of private utility infrastructure systems and small municipal systems that can be easily incorporated into our existing utility systems.</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i w:val="1"/>
          <w:iCs w:val="1"/>
          <w:color w:val="auto"/>
        </w:rPr>
        <w:t xml:space="preserve">Deliver a competitive total return to investors and maintain an investment grade credit rating. </w:t>
      </w:r>
      <w:r>
        <w:rPr>
          <w:rFonts w:ascii="Arial" w:cs="Arial" w:eastAsia="Arial" w:hAnsi="Arial"/>
          <w:sz w:val="16"/>
          <w:szCs w:val="16"/>
          <w:color w:val="auto"/>
        </w:rPr>
        <w:t>We are proud of our track record of annual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for shareholders. 2022 represented our 52nd consecutive year of increasing dividends. In January 2023, our Board of Directors declared a quarterly dividend of $0.625 per share, equivalent to an annual dividend of $2.50 per share. We intend to continue our record of annual dividend increases with a targeted dividend payout ratio of 55% to 65% of net income.</w:t>
      </w:r>
    </w:p>
    <w:p>
      <w:pPr>
        <w:spacing w:after="0" w:line="15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require access to the capital markets to fund our planned capital investments or acquire strategic assets that support prudent and earnings-accretive business growth. We have demonstrated our ability to cost-effectively access the debt and equity markets, while maintaining our investment-grade issuer credit rating.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Trends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We are monitoring adverse macroeconomic trends including potential recession, inflationary pressures on the prices of commodities, materials, outside services and employee costs; supply chain constraints; rising interest rates and a competitive and tight labor market. </w:t>
      </w:r>
      <w:r>
        <w:rPr>
          <w:rFonts w:ascii="Arial" w:cs="Arial" w:eastAsia="Arial" w:hAnsi="Arial"/>
          <w:sz w:val="16"/>
          <w:szCs w:val="16"/>
          <w:color w:val="212529"/>
        </w:rPr>
        <w:t>To date, we have experienced</w:t>
      </w:r>
      <w:r>
        <w:rPr>
          <w:rFonts w:ascii="Arial" w:cs="Arial" w:eastAsia="Arial" w:hAnsi="Arial"/>
          <w:sz w:val="16"/>
          <w:szCs w:val="16"/>
          <w:color w:val="auto"/>
        </w:rPr>
        <w:t xml:space="preserve"> </w:t>
      </w:r>
      <w:r>
        <w:rPr>
          <w:rFonts w:ascii="Arial" w:cs="Arial" w:eastAsia="Arial" w:hAnsi="Arial"/>
          <w:sz w:val="16"/>
          <w:szCs w:val="16"/>
          <w:color w:val="212529"/>
        </w:rPr>
        <w:t>moderate net impacts from these trends</w:t>
      </w:r>
      <w:r>
        <w:rPr>
          <w:rFonts w:ascii="Arial" w:cs="Arial" w:eastAsia="Arial" w:hAnsi="Arial"/>
          <w:sz w:val="16"/>
          <w:szCs w:val="16"/>
          <w:color w:val="000000"/>
        </w:rPr>
        <w:t>. However, if current macroeconomic conditions continue or deteriorate in 2023, adverse impacts to our businesses</w:t>
      </w:r>
      <w:r>
        <w:rPr>
          <w:rFonts w:ascii="Arial" w:cs="Arial" w:eastAsia="Arial" w:hAnsi="Arial"/>
          <w:sz w:val="16"/>
          <w:szCs w:val="16"/>
          <w:color w:val="212529"/>
        </w:rPr>
        <w:t xml:space="preserve"> </w:t>
      </w:r>
      <w:r>
        <w:rPr>
          <w:rFonts w:ascii="Arial" w:cs="Arial" w:eastAsia="Arial" w:hAnsi="Arial"/>
          <w:sz w:val="16"/>
          <w:szCs w:val="16"/>
          <w:color w:val="000000"/>
        </w:rPr>
        <w:t>may be magnified.</w:t>
      </w:r>
    </w:p>
    <w:p>
      <w:pPr>
        <w:spacing w:after="0" w:line="1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212529"/>
        </w:rPr>
        <w:t>Higher commodity energy costs continue to have an effect on customer bills and deferred energy costs. Our utilities have regulatory mechanisms that allow them to pass prudently incurred costs of energy through to the customer, which mitigates our exposure. Customer billing rates are adjusted periodically to reflect changes in our cost of energy. As a result of increased customer billings, we incurred higher bad debt expense.</w:t>
      </w:r>
    </w:p>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212529"/>
        </w:rPr>
        <w:t>Higher deferred energy costs and rising interest rates have led to increased interest expense and increased short-term variable rate borrowings, which include our Revolving Credit Facility and CP Program. However, the increased interest expense for the year ended December 31, 2022 was limited since 88% of our debt at December 31</w:t>
      </w:r>
      <w:r>
        <w:rPr>
          <w:rFonts w:ascii="Arial" w:cs="Arial" w:eastAsia="Arial" w:hAnsi="Arial"/>
          <w:sz w:val="16"/>
          <w:szCs w:val="16"/>
          <w:color w:val="000000"/>
        </w:rPr>
        <w:t>, 2022,</w:t>
      </w:r>
      <w:r>
        <w:rPr>
          <w:rFonts w:ascii="Arial" w:cs="Arial" w:eastAsia="Arial" w:hAnsi="Arial"/>
          <w:sz w:val="16"/>
          <w:szCs w:val="16"/>
          <w:color w:val="212529"/>
        </w:rPr>
        <w:t xml:space="preserve"> is fixed rate debt. Rising discount rates and r</w:t>
      </w:r>
      <w:r>
        <w:rPr>
          <w:rFonts w:ascii="Arial" w:cs="Arial" w:eastAsia="Arial" w:hAnsi="Arial"/>
          <w:sz w:val="16"/>
          <w:szCs w:val="16"/>
          <w:color w:val="000000"/>
        </w:rPr>
        <w:t>ecent capital markets volatility had a limited impact to the</w:t>
      </w:r>
      <w:r>
        <w:rPr>
          <w:rFonts w:ascii="Arial" w:cs="Arial" w:eastAsia="Arial" w:hAnsi="Arial"/>
          <w:sz w:val="16"/>
          <w:szCs w:val="16"/>
          <w:color w:val="212529"/>
        </w:rPr>
        <w:t xml:space="preserve"> unfunded status of the BHC Pension Plan when compared to the prior year</w:t>
      </w:r>
      <w:r>
        <w:rPr>
          <w:rFonts w:ascii="Arial" w:cs="Arial" w:eastAsia="Arial" w:hAnsi="Arial"/>
          <w:sz w:val="16"/>
          <w:szCs w:val="16"/>
          <w:color w:val="000000"/>
        </w:rPr>
        <w:t>.</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212529"/>
        </w:rPr>
        <w:t>We are proactively managing increased costs of materials and supply chain disruptions to achieve our forecasted capital investment targets. To support our 2023 capital investment program, we have contracted materials for the majority of our largest forecasted projects. We continue to forecast multi-year key material requirements with suppliers to enhance predictable material availability, challenge vendor price increases to ensure best value and cost transparency and invest in our distribution network to ensure the safety and continuity of our system. We have also evaluated each of our forecasted projects and will prioritize depending on future constraints. Project delays may occur if costs rise significantly or if materials are not available.</w:t>
      </w:r>
    </w:p>
    <w:p>
      <w:pPr>
        <w:spacing w:after="0" w:line="15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212529"/>
        </w:rPr>
        <w:t>Inflationary pressures and supply chain constraints have increased our operating expenses, which included higher outside services expenses (i.e., consulting and contractor rates), materials expenses and vehicle expenses driven by higher fuel prices.</w:t>
      </w:r>
    </w:p>
    <w:p>
      <w:pPr>
        <w:spacing w:after="0" w:line="1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12529"/>
        </w:rPr>
        <w:t>We are faced with increased competition for employee and contractor talent in the current labor market. To date, we have seen a limited net increase in total employee costs due to increased employee and contractor costs related to attraction and retention of talent mostly offset by workforce attrition.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More detailed discussion of the future uncertainties can be found 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-4445</wp:posOffset>
            </wp:positionV>
            <wp:extent cx="101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right="12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Wyoming Electric.</w:t>
      </w:r>
    </w:p>
    <w:p>
      <w:pPr>
        <w:spacing w:after="0" w:line="129" w:lineRule="exact"/>
        <w:rPr>
          <w:rFonts w:ascii="Times New Roman" w:cs="Times New Roman" w:eastAsia="Times New Roman" w:hAnsi="Times New Roman"/>
          <w:sz w:val="16"/>
          <w:szCs w:val="16"/>
          <w:color w:val="auto"/>
        </w:rPr>
      </w:pPr>
    </w:p>
    <w:p>
      <w:pPr>
        <w:ind w:left="1020" w:right="54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Ready Wyoming, Wyoming Electric's BCIS tariff, Colorado Electric's Clean Energy Plan filing, and the Electric Utilities joining the WEIS Market.</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 December 2022, each of our Electric Utilities set new winter peak loads:</w:t>
      </w:r>
    </w:p>
    <w:p>
      <w:pPr>
        <w:spacing w:after="0" w:line="206" w:lineRule="exact"/>
        <w:rPr>
          <w:rFonts w:ascii="Times New Roman" w:cs="Times New Roman" w:eastAsia="Times New Roman" w:hAnsi="Times New Roman"/>
          <w:sz w:val="16"/>
          <w:szCs w:val="16"/>
          <w:color w:val="auto"/>
        </w:rPr>
      </w:pPr>
    </w:p>
    <w:p>
      <w:pPr>
        <w:ind w:left="1540" w:right="160" w:hanging="514"/>
        <w:spacing w:after="0" w:line="285" w:lineRule="auto"/>
        <w:tabs>
          <w:tab w:leader="none" w:pos="1540" w:val="left"/>
        </w:tabs>
        <w:numPr>
          <w:ilvl w:val="1"/>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22, 2022, Colorado Electric set a new winter peak load of 334 MW, surpassing the previous winter peak of 313 MW set in October 2018.</w:t>
      </w:r>
    </w:p>
    <w:p>
      <w:pPr>
        <w:spacing w:after="0" w:line="129" w:lineRule="exact"/>
        <w:rPr>
          <w:rFonts w:ascii="Times New Roman" w:cs="Times New Roman" w:eastAsia="Times New Roman" w:hAnsi="Times New Roman"/>
          <w:sz w:val="16"/>
          <w:szCs w:val="16"/>
          <w:color w:val="auto"/>
        </w:rPr>
      </w:pPr>
    </w:p>
    <w:p>
      <w:pPr>
        <w:ind w:left="1540" w:hanging="514"/>
        <w:spacing w:after="0" w:line="285" w:lineRule="auto"/>
        <w:tabs>
          <w:tab w:leader="none" w:pos="1540" w:val="left"/>
        </w:tabs>
        <w:numPr>
          <w:ilvl w:val="1"/>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21, 2022, South Dakota Electric set a new winter peak load of 355 MW, surpassing the previous winter peaks of 327 MW set on January 5, 2022 and 326 MW set in February 2021.</w:t>
      </w:r>
    </w:p>
    <w:p>
      <w:pPr>
        <w:spacing w:after="0" w:line="129" w:lineRule="exact"/>
        <w:rPr>
          <w:rFonts w:ascii="Times New Roman" w:cs="Times New Roman" w:eastAsia="Times New Roman" w:hAnsi="Times New Roman"/>
          <w:sz w:val="16"/>
          <w:szCs w:val="16"/>
          <w:color w:val="auto"/>
        </w:rPr>
      </w:pPr>
    </w:p>
    <w:p>
      <w:pPr>
        <w:ind w:left="1540" w:right="300" w:hanging="514"/>
        <w:spacing w:after="0" w:line="285" w:lineRule="auto"/>
        <w:tabs>
          <w:tab w:leader="none" w:pos="1540" w:val="left"/>
        </w:tabs>
        <w:numPr>
          <w:ilvl w:val="1"/>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21, 2022, Wyoming Electric set a new winter peak load of 281 MW, surpassing the previous peaks of 263 MW set on November 17, 2022, 262 MW set on February 23, 2022, 252 MW set on January 5, 2022 and 247 MW set in December 2019.</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 December 2022, WRDC entered into a new agreement with PacifiCorp, effective January 1, 2023, to continue as the sole supplier of coal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-2053590</wp:posOffset>
            </wp:positionV>
            <wp:extent cx="302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-1693545</wp:posOffset>
            </wp:positionV>
            <wp:extent cx="17837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ind w:left="1020" w:right="40"/>
        <w:spacing w:after="0" w:line="246" w:lineRule="auto"/>
        <w:rPr>
          <w:sz w:val="20"/>
          <w:szCs w:val="20"/>
          <w:color w:val="auto"/>
        </w:rPr>
      </w:pPr>
      <w:r>
        <w:rPr>
          <w:rFonts w:ascii="Arial" w:cs="Arial" w:eastAsia="Arial" w:hAnsi="Arial"/>
          <w:sz w:val="16"/>
          <w:szCs w:val="16"/>
          <w:color w:val="auto"/>
        </w:rPr>
        <w:t>(fuel) to the Wyodak Plant through December 31, 2026 with a one-year extension option to December 31, 2027. Pricing and other terms of the new fuel supply agreement are similar to the previous contract which ended 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July 2022, South Dakota Electric and Wyoming Electric both set new all-time and summer peak loads:</w:t>
      </w:r>
    </w:p>
    <w:p>
      <w:pPr>
        <w:spacing w:after="0" w:line="206" w:lineRule="exact"/>
        <w:rPr>
          <w:rFonts w:ascii="Times New Roman" w:cs="Times New Roman" w:eastAsia="Times New Roman" w:hAnsi="Times New Roman"/>
          <w:sz w:val="16"/>
          <w:szCs w:val="16"/>
          <w:color w:val="auto"/>
        </w:rPr>
      </w:pPr>
    </w:p>
    <w:p>
      <w:pPr>
        <w:ind w:left="1540" w:right="220" w:hanging="514"/>
        <w:spacing w:after="0" w:line="285" w:lineRule="auto"/>
        <w:tabs>
          <w:tab w:leader="none" w:pos="154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On July 21, 2022, Wyoming Electric set a new all-time and summer peak load of 294 MW, surpassing the previous peaks of 288 MW set on July 18, 2022, 282 MW set on June 13, 2022 and 274 MW set in July 2021.</w:t>
      </w:r>
    </w:p>
    <w:p>
      <w:pPr>
        <w:spacing w:after="0" w:line="129" w:lineRule="exact"/>
        <w:rPr>
          <w:rFonts w:ascii="Times New Roman" w:cs="Times New Roman" w:eastAsia="Times New Roman" w:hAnsi="Times New Roman"/>
          <w:sz w:val="16"/>
          <w:szCs w:val="16"/>
          <w:color w:val="auto"/>
        </w:rPr>
      </w:pPr>
    </w:p>
    <w:p>
      <w:pPr>
        <w:ind w:left="1540" w:hanging="514"/>
        <w:spacing w:after="0" w:line="285" w:lineRule="auto"/>
        <w:tabs>
          <w:tab w:leader="none" w:pos="154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On July 18, 2022, South Dakota Electric set a new all-time and summer peak load of 403 MW, surpassing the previous summer peak of 397 MW set in July 2021.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1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Arkansas Gas and RMNG.</w:t>
      </w:r>
    </w:p>
    <w:p>
      <w:pPr>
        <w:spacing w:after="0" w:line="129"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our Gas Utilities' voluntary RNG and carbon offset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-525780</wp:posOffset>
            </wp:positionV>
            <wp:extent cx="302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-165735</wp:posOffset>
            </wp:positionV>
            <wp:extent cx="17837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100" w:hanging="503"/>
        <w:spacing w:after="0" w:line="254"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2.3-million-acre concession award in Costa Rica that was acquired by a BHC subsidiary in 2003. We believe we have meritorious defenses to the verdict and have appealed the verdict.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-149860</wp:posOffset>
            </wp:positionV>
            <wp:extent cx="302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Our discussion and analysis for the year ended December 31, 2022 compared to 2021 is included herein. For discussion and analysis for the year ended December 31, 2021 compared to 2020, please refer to Item 7 of Part II, “Management’s Discussion and Analysis of Financial Condition and Results of Operations” in our Annual Report on Form 10-K for the year ended December 31, 2021, which was filed with the SEC on February 15, 2022.</w:t>
      </w:r>
    </w:p>
    <w:p>
      <w:pPr>
        <w:spacing w:after="0" w:line="14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Segment information does not include intercompany eliminations and all amounts are presented on a pre-tax basis unless otherwise indicated. Minor differences in amounts may result due to rounding.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85"/>
        </w:trPr>
        <w:tc>
          <w:tcPr>
            <w:tcW w:w="4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2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auto"/>
              </w:rPr>
              <w:t>For the Years Ended December 31,</w:t>
            </w:r>
          </w:p>
        </w:tc>
        <w:tc>
          <w:tcPr>
            <w:tcW w:w="1000" w:type="dxa"/>
            <w:vAlign w:val="bottom"/>
          </w:tcPr>
          <w:p>
            <w:pPr>
              <w:spacing w:after="0"/>
              <w:rPr>
                <w:sz w:val="24"/>
                <w:szCs w:val="24"/>
                <w:color w:val="auto"/>
              </w:rPr>
            </w:pPr>
          </w:p>
        </w:tc>
      </w:tr>
      <w:tr>
        <w:trPr>
          <w:trHeight w:val="217"/>
        </w:trPr>
        <w:tc>
          <w:tcPr>
            <w:tcW w:w="4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09"/>
        </w:trPr>
        <w:tc>
          <w:tcPr>
            <w:tcW w:w="4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2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216"/>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5"/>
        </w:trPr>
        <w:tc>
          <w:tcPr>
            <w:tcW w:w="4580" w:type="dxa"/>
            <w:vAlign w:val="bottom"/>
          </w:tcPr>
          <w:p>
            <w:pPr>
              <w:ind w:left="200"/>
              <w:spacing w:after="0"/>
              <w:rPr>
                <w:sz w:val="20"/>
                <w:szCs w:val="20"/>
                <w:color w:val="auto"/>
              </w:rPr>
            </w:pPr>
            <w:r>
              <w:rPr>
                <w:rFonts w:ascii="Arial" w:cs="Arial" w:eastAsia="Arial" w:hAnsi="Arial"/>
                <w:sz w:val="16"/>
                <w:szCs w:val="16"/>
                <w:color w:val="auto"/>
              </w:rPr>
              <w:t>Electric Utilities</w:t>
            </w:r>
          </w:p>
        </w:tc>
        <w:tc>
          <w:tcPr>
            <w:tcW w:w="23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214,258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202,676</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210,974</w:t>
            </w:r>
          </w:p>
        </w:tc>
      </w:tr>
      <w:tr>
        <w:trPr>
          <w:trHeight w:val="217"/>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Gas Utilities</w:t>
            </w:r>
          </w:p>
        </w:tc>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244,160</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211,157</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215,889</w:t>
            </w:r>
          </w:p>
        </w:tc>
      </w:tr>
      <w:tr>
        <w:trPr>
          <w:trHeight w:val="215"/>
        </w:trPr>
        <w:tc>
          <w:tcPr>
            <w:tcW w:w="4580" w:type="dxa"/>
            <w:vAlign w:val="bottom"/>
          </w:tcPr>
          <w:p>
            <w:pPr>
              <w:ind w:left="200"/>
              <w:spacing w:after="0"/>
              <w:rPr>
                <w:sz w:val="20"/>
                <w:szCs w:val="20"/>
                <w:color w:val="auto"/>
              </w:rPr>
            </w:pPr>
            <w:r>
              <w:rPr>
                <w:rFonts w:ascii="Arial" w:cs="Arial" w:eastAsia="Arial" w:hAnsi="Arial"/>
                <w:sz w:val="16"/>
                <w:szCs w:val="16"/>
                <w:color w:val="auto"/>
              </w:rPr>
              <w:t>Corporate and Other</w:t>
            </w:r>
          </w:p>
        </w:tc>
        <w:tc>
          <w:tcPr>
            <w:tcW w:w="2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(3,174 )</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(4,404 )</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1,440</w:t>
            </w:r>
          </w:p>
        </w:tc>
      </w:tr>
      <w:tr>
        <w:trPr>
          <w:trHeight w:val="210"/>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0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455,244</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409,429</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428,303</w:t>
            </w:r>
          </w:p>
        </w:tc>
      </w:tr>
      <w:tr>
        <w:trPr>
          <w:trHeight w:val="42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(160,989 )</w:t>
            </w:r>
          </w:p>
        </w:tc>
        <w:tc>
          <w:tcPr>
            <w:tcW w:w="38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(152,404 )</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(143,470 )</w:t>
            </w:r>
          </w:p>
        </w:tc>
      </w:tr>
      <w:tr>
        <w:trPr>
          <w:trHeight w:val="217"/>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of investment</w:t>
            </w:r>
          </w:p>
        </w:tc>
        <w:tc>
          <w:tcPr>
            <w:tcW w:w="2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1,708</w:t>
            </w:r>
          </w:p>
        </w:tc>
        <w:tc>
          <w:tcPr>
            <w:tcW w:w="3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1,404</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(2,293 )</w:t>
            </w:r>
          </w:p>
        </w:tc>
      </w:tr>
      <w:tr>
        <w:trPr>
          <w:trHeight w:val="216"/>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0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(25,205 )</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(7,169 )</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(32,918 )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270,758</w:t>
            </w:r>
          </w:p>
        </w:tc>
        <w:tc>
          <w:tcPr>
            <w:tcW w:w="3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251,260</w:t>
            </w:r>
          </w:p>
        </w:tc>
        <w:tc>
          <w:tcPr>
            <w:tcW w:w="5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242,763</w:t>
            </w:r>
          </w:p>
        </w:tc>
      </w:tr>
      <w:tr>
        <w:trPr>
          <w:trHeight w:val="216"/>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0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(12,371 )</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(14,516 )</w:t>
            </w: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(15,155 )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20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258,387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236,744</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227,608</w:t>
            </w:r>
          </w:p>
        </w:tc>
      </w:tr>
      <w:tr>
        <w:trPr>
          <w:trHeight w:val="20"/>
        </w:trPr>
        <w:tc>
          <w:tcPr>
            <w:tcW w:w="4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23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4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23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3.97</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3.74</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3.65</w:t>
            </w:r>
          </w:p>
        </w:tc>
      </w:tr>
      <w:tr>
        <w:trPr>
          <w:trHeight w:val="398"/>
        </w:trPr>
        <w:tc>
          <w:tcPr>
            <w:tcW w:w="458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tcPr>
          <w:p>
            <w:pPr>
              <w:jc w:val="right"/>
              <w:ind w:right="819"/>
              <w:spacing w:after="0"/>
              <w:rPr>
                <w:sz w:val="20"/>
                <w:szCs w:val="20"/>
                <w:color w:val="auto"/>
              </w:rPr>
            </w:pPr>
            <w:r>
              <w:rPr>
                <w:rFonts w:ascii="Arial" w:cs="Arial" w:eastAsia="Arial" w:hAnsi="Arial"/>
                <w:sz w:val="16"/>
                <w:szCs w:val="16"/>
                <w:color w:val="auto"/>
              </w:rPr>
              <w:t>39</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04"/>
        </w:trPr>
        <w:tc>
          <w:tcPr>
            <w:tcW w:w="45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2022 Compared to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240" w:hanging="503"/>
        <w:spacing w:after="0" w:line="253"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$12 million primarily due to increased rider revenues, prior year impacts related to the Wygen I unplanned outage and Colorado Electric’s TCJA-related bill credits to customers, increased transmission services revenue and off-system excess energy sales partially offset by higher operating expenses and lower pricing on the new Wygen I PPA;</w:t>
      </w:r>
    </w:p>
    <w:p>
      <w:pPr>
        <w:ind w:left="1020" w:right="260" w:hanging="503"/>
        <w:spacing w:after="0" w:line="246"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$33 million primarily due to new rates and rider recovery, favorable weather, carrying costs on our Winter Storm Uri regulatory asset, prior year Black Hills Energy Services Winter Storm Uri costs, customer growth partially offset by higher operating expenses;</w:t>
      </w:r>
    </w:p>
    <w:p>
      <w:pPr>
        <w:ind w:left="1020" w:right="360" w:hanging="503"/>
        <w:spacing w:after="0" w:line="246"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expenses decreased $1.2 million primarily due to an allocation of a 2020 employee cost true-up in the first quarter of 2021, which was offset in our business segments;</w:t>
      </w:r>
    </w:p>
    <w:p>
      <w:pPr>
        <w:ind w:left="1020" w:hanging="503"/>
        <w:spacing w:after="0"/>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increased $8.6 million due to higher interest rates on higher short-term debt balances;</w:t>
      </w:r>
    </w:p>
    <w:p>
      <w:pPr>
        <w:spacing w:after="0" w:line="13" w:lineRule="exact"/>
        <w:rPr>
          <w:rFonts w:ascii="Times New Roman" w:cs="Times New Roman" w:eastAsia="Times New Roman" w:hAnsi="Times New Roman"/>
          <w:sz w:val="16"/>
          <w:szCs w:val="16"/>
          <w:color w:val="auto"/>
        </w:rPr>
      </w:pPr>
    </w:p>
    <w:p>
      <w:pPr>
        <w:ind w:left="1020" w:right="480" w:hanging="503"/>
        <w:spacing w:after="0" w:line="247"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$18 million driven by higher pre-tax income and a higher effective tax rate primarily due to prior year tax benefits from Colorado Electric and Nebraska Gas TCJA-related bill credits and decreased flow-through tax benefits driven by prior year repairs and gain deferral partially offset by tax benefits from various state tax rate changes; and</w:t>
      </w:r>
    </w:p>
    <w:p>
      <w:pPr>
        <w:spacing w:after="0" w:line="2" w:lineRule="exact"/>
        <w:rPr>
          <w:rFonts w:ascii="Times New Roman" w:cs="Times New Roman" w:eastAsia="Times New Roman" w:hAnsi="Times New Roman"/>
          <w:sz w:val="16"/>
          <w:szCs w:val="16"/>
          <w:color w:val="auto"/>
        </w:rPr>
      </w:pPr>
    </w:p>
    <w:p>
      <w:pPr>
        <w:ind w:left="1020" w:right="420" w:hanging="503"/>
        <w:spacing w:after="0" w:line="264"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$2.1 million due to lower net income from Black Hills Colorado IPP primarily driven by lower fired-engine hours and a planned outage.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2022 vs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 vs</w:t>
            </w:r>
          </w:p>
        </w:tc>
      </w:tr>
      <w:tr>
        <w:trPr>
          <w:trHeight w:val="189"/>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Variance</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Variance</w:t>
            </w: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5"/>
        </w:trPr>
        <w:tc>
          <w:tcPr>
            <w:tcW w:w="5100" w:type="dxa"/>
            <w:vAlign w:val="bottom"/>
            <w:gridSpan w:val="4"/>
          </w:tcPr>
          <w:p>
            <w:pPr>
              <w:ind w:left="200"/>
              <w:spacing w:after="0"/>
              <w:rPr>
                <w:sz w:val="20"/>
                <w:szCs w:val="20"/>
                <w:color w:val="auto"/>
              </w:rPr>
            </w:pPr>
            <w:r>
              <w:rPr>
                <w:rFonts w:ascii="Arial" w:cs="Arial" w:eastAsia="Arial" w:hAnsi="Arial"/>
                <w:sz w:val="16"/>
                <w:szCs w:val="16"/>
                <w:color w:val="auto"/>
              </w:rPr>
              <w:t>Electric - regulated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852,141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800,747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51,394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699,712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101,035</w:t>
            </w:r>
          </w:p>
        </w:tc>
      </w:tr>
      <w:tr>
        <w:trPr>
          <w:trHeight w:val="216"/>
        </w:trPr>
        <w:tc>
          <w:tcPr>
            <w:tcW w:w="5100" w:type="dxa"/>
            <w:vAlign w:val="bottom"/>
            <w:tcBorders>
              <w:bottom w:val="single" w:sz="8" w:color="CFF0FC"/>
            </w:tcBorders>
            <w:gridSpan w:val="4"/>
            <w:shd w:val="clear" w:color="auto" w:fill="CFF0FC"/>
          </w:tcPr>
          <w:p>
            <w:pPr>
              <w:ind w:left="200"/>
              <w:spacing w:after="0"/>
              <w:rPr>
                <w:sz w:val="20"/>
                <w:szCs w:val="20"/>
                <w:color w:val="auto"/>
              </w:rPr>
            </w:pPr>
            <w:r>
              <w:rPr>
                <w:rFonts w:ascii="Arial" w:cs="Arial" w:eastAsia="Arial" w:hAnsi="Arial"/>
                <w:sz w:val="16"/>
                <w:szCs w:val="16"/>
                <w:color w:val="auto"/>
              </w:rPr>
              <w:t>Other - non-regulated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48,021</w:t>
            </w: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41,511</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6,510</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39,145</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2,366</w:t>
            </w:r>
          </w:p>
        </w:tc>
      </w:tr>
      <w:tr>
        <w:trPr>
          <w:trHeight w:val="210"/>
        </w:trPr>
        <w:tc>
          <w:tcPr>
            <w:tcW w:w="5100" w:type="dxa"/>
            <w:vAlign w:val="bottom"/>
            <w:gridSpan w:val="4"/>
          </w:tcPr>
          <w:p>
            <w:pPr>
              <w:ind w:left="38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900,162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842,258</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57,904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738,857</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103,401</w:t>
            </w: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10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Fuel and Purchased Power:</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5"/>
        </w:trPr>
        <w:tc>
          <w:tcPr>
            <w:tcW w:w="5100" w:type="dxa"/>
            <w:vAlign w:val="bottom"/>
            <w:gridSpan w:val="4"/>
          </w:tcPr>
          <w:p>
            <w:pPr>
              <w:ind w:left="200"/>
              <w:spacing w:after="0"/>
              <w:rPr>
                <w:sz w:val="20"/>
                <w:szCs w:val="20"/>
                <w:color w:val="auto"/>
              </w:rPr>
            </w:pPr>
            <w:r>
              <w:rPr>
                <w:rFonts w:ascii="Arial" w:cs="Arial" w:eastAsia="Arial" w:hAnsi="Arial"/>
                <w:sz w:val="16"/>
                <w:szCs w:val="16"/>
                <w:color w:val="auto"/>
              </w:rPr>
              <w:t>Electric - regulated</w:t>
            </w:r>
          </w:p>
        </w:tc>
        <w:tc>
          <w:tcPr>
            <w:tcW w:w="2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261,726</w:t>
            </w: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244,504</w:t>
            </w:r>
          </w:p>
        </w:tc>
        <w:tc>
          <w:tcPr>
            <w:tcW w:w="260" w:type="dxa"/>
            <w:vAlign w:val="bottom"/>
          </w:tcPr>
          <w:p>
            <w:pPr>
              <w:spacing w:after="0"/>
              <w:rPr>
                <w:sz w:val="18"/>
                <w:szCs w:val="18"/>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17,222</w:t>
            </w:r>
          </w:p>
        </w:tc>
        <w:tc>
          <w:tcPr>
            <w:tcW w:w="3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136,374</w:t>
            </w: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108,130</w:t>
            </w:r>
          </w:p>
        </w:tc>
      </w:tr>
      <w:tr>
        <w:trPr>
          <w:trHeight w:val="216"/>
        </w:trPr>
        <w:tc>
          <w:tcPr>
            <w:tcW w:w="5100" w:type="dxa"/>
            <w:vAlign w:val="bottom"/>
            <w:tcBorders>
              <w:bottom w:val="single" w:sz="8" w:color="CFF0FC"/>
            </w:tcBorders>
            <w:gridSpan w:val="4"/>
            <w:shd w:val="clear" w:color="auto" w:fill="CFF0FC"/>
          </w:tcPr>
          <w:p>
            <w:pPr>
              <w:ind w:left="200"/>
              <w:spacing w:after="0"/>
              <w:rPr>
                <w:sz w:val="20"/>
                <w:szCs w:val="20"/>
                <w:color w:val="auto"/>
              </w:rPr>
            </w:pPr>
            <w:r>
              <w:rPr>
                <w:rFonts w:ascii="Arial" w:cs="Arial" w:eastAsia="Arial" w:hAnsi="Arial"/>
                <w:sz w:val="16"/>
                <w:szCs w:val="16"/>
                <w:color w:val="auto"/>
              </w:rPr>
              <w:t>Other - non-regulated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4,558</w:t>
            </w: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3,514</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1,044</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2,198</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1,316</w:t>
            </w:r>
          </w:p>
        </w:tc>
      </w:tr>
      <w:tr>
        <w:trPr>
          <w:trHeight w:val="210"/>
        </w:trPr>
        <w:tc>
          <w:tcPr>
            <w:tcW w:w="5100" w:type="dxa"/>
            <w:vAlign w:val="bottom"/>
            <w:gridSpan w:val="4"/>
          </w:tcPr>
          <w:p>
            <w:pPr>
              <w:ind w:left="380"/>
              <w:spacing w:after="0"/>
              <w:rPr>
                <w:sz w:val="20"/>
                <w:szCs w:val="20"/>
                <w:color w:val="auto"/>
              </w:rPr>
            </w:pPr>
            <w:r>
              <w:rPr>
                <w:rFonts w:ascii="Arial" w:cs="Arial" w:eastAsia="Arial" w:hAnsi="Arial"/>
                <w:sz w:val="16"/>
                <w:szCs w:val="16"/>
                <w:color w:val="auto"/>
              </w:rPr>
              <w:t>Total fuel and purchased power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266,284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248,018</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18,266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138,572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109,446</w:t>
            </w: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9"/>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633,878</w:t>
            </w: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594,240</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39,638</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600,285</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(6,045 )</w:t>
            </w:r>
          </w:p>
        </w:tc>
      </w:tr>
      <w:tr>
        <w:trPr>
          <w:trHeight w:val="425"/>
        </w:trPr>
        <w:tc>
          <w:tcPr>
            <w:tcW w:w="5100" w:type="dxa"/>
            <w:vAlign w:val="bottom"/>
            <w:gridSpan w:val="4"/>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283,654</w:t>
            </w:r>
          </w:p>
        </w:tc>
        <w:tc>
          <w:tcPr>
            <w:tcW w:w="34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260,036</w:t>
            </w:r>
          </w:p>
        </w:tc>
        <w:tc>
          <w:tcPr>
            <w:tcW w:w="260" w:type="dxa"/>
            <w:vAlign w:val="bottom"/>
          </w:tcPr>
          <w:p>
            <w:pPr>
              <w:spacing w:after="0"/>
              <w:rPr>
                <w:sz w:val="24"/>
                <w:szCs w:val="2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auto"/>
              </w:rPr>
              <w:t>23,618</w:t>
            </w:r>
          </w:p>
        </w:tc>
        <w:tc>
          <w:tcPr>
            <w:tcW w:w="30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265,679</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(5,643 )</w:t>
            </w:r>
          </w:p>
        </w:tc>
      </w:tr>
      <w:tr>
        <w:trPr>
          <w:trHeight w:val="216"/>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135,966</w:t>
            </w: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131,528</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4,438</w:t>
            </w: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123,632</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7,896</w:t>
            </w:r>
          </w:p>
        </w:tc>
      </w:tr>
      <w:tr>
        <w:trPr>
          <w:trHeight w:val="210"/>
        </w:trPr>
        <w:tc>
          <w:tcPr>
            <w:tcW w:w="5100" w:type="dxa"/>
            <w:vAlign w:val="bottom"/>
            <w:gridSpan w:val="4"/>
          </w:tcPr>
          <w:p>
            <w:pPr>
              <w:ind w:left="3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419,620</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391,564</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28,056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389,311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2,253</w:t>
            </w: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49"/>
        </w:trPr>
        <w:tc>
          <w:tcPr>
            <w:tcW w:w="51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214,258</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202,676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11,582</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210,974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(8,298 )</w:t>
            </w:r>
          </w:p>
        </w:tc>
      </w:tr>
      <w:tr>
        <w:trPr>
          <w:trHeight w:val="521"/>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2022 Compared to 2021</w:t>
            </w:r>
          </w:p>
        </w:tc>
        <w:tc>
          <w:tcPr>
            <w:tcW w:w="3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8"/>
        </w:trPr>
        <w:tc>
          <w:tcPr>
            <w:tcW w:w="5100" w:type="dxa"/>
            <w:vAlign w:val="bottom"/>
            <w:gridSpan w:val="4"/>
          </w:tcPr>
          <w:p>
            <w:pPr>
              <w:spacing w:after="0"/>
              <w:rPr>
                <w:sz w:val="20"/>
                <w:szCs w:val="20"/>
                <w:color w:val="auto"/>
              </w:rPr>
            </w:pPr>
            <w:r>
              <w:rPr>
                <w:rFonts w:ascii="Arial" w:cs="Arial" w:eastAsia="Arial" w:hAnsi="Arial"/>
                <w:sz w:val="16"/>
                <w:szCs w:val="16"/>
                <w:color w:val="auto"/>
              </w:rPr>
              <w:t>Electric Utility margin increased over the prior year as a result of:</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1"/>
        </w:trPr>
        <w:tc>
          <w:tcPr>
            <w:tcW w:w="1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spacing w:after="0"/>
              <w:rPr>
                <w:sz w:val="24"/>
                <w:szCs w:val="24"/>
                <w:color w:val="auto"/>
              </w:rPr>
            </w:pPr>
          </w:p>
        </w:tc>
      </w:tr>
      <w:tr>
        <w:trPr>
          <w:trHeight w:val="210"/>
        </w:trPr>
        <w:tc>
          <w:tcPr>
            <w:tcW w:w="510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New rates and rider recovery</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w:t>
            </w:r>
          </w:p>
        </w:tc>
      </w:tr>
      <w:tr>
        <w:trPr>
          <w:trHeight w:val="216"/>
        </w:trPr>
        <w:tc>
          <w:tcPr>
            <w:tcW w:w="5100" w:type="dxa"/>
            <w:vAlign w:val="bottom"/>
            <w:gridSpan w:val="4"/>
          </w:tcPr>
          <w:p>
            <w:pPr>
              <w:ind w:left="120"/>
              <w:spacing w:after="0" w:line="216" w:lineRule="exact"/>
              <w:rPr>
                <w:sz w:val="20"/>
                <w:szCs w:val="20"/>
                <w:color w:val="auto"/>
              </w:rPr>
            </w:pPr>
            <w:r>
              <w:rPr>
                <w:rFonts w:ascii="Arial" w:cs="Arial" w:eastAsia="Arial" w:hAnsi="Arial"/>
                <w:sz w:val="16"/>
                <w:szCs w:val="16"/>
                <w:color w:val="auto"/>
              </w:rPr>
              <w:t xml:space="preserve">Prior year TCJA-related bill credits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w:t>
            </w:r>
          </w:p>
        </w:tc>
      </w:tr>
      <w:tr>
        <w:trPr>
          <w:trHeight w:val="216"/>
        </w:trPr>
        <w:tc>
          <w:tcPr>
            <w:tcW w:w="510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Prior year Wygen I unplanned outage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r>
      <w:tr>
        <w:trPr>
          <w:trHeight w:val="215"/>
        </w:trPr>
        <w:tc>
          <w:tcPr>
            <w:tcW w:w="5100" w:type="dxa"/>
            <w:vAlign w:val="bottom"/>
            <w:gridSpan w:val="4"/>
          </w:tcPr>
          <w:p>
            <w:pPr>
              <w:ind w:left="120"/>
              <w:spacing w:after="0"/>
              <w:rPr>
                <w:sz w:val="20"/>
                <w:szCs w:val="20"/>
                <w:color w:val="auto"/>
              </w:rPr>
            </w:pPr>
            <w:r>
              <w:rPr>
                <w:rFonts w:ascii="Arial" w:cs="Arial" w:eastAsia="Arial" w:hAnsi="Arial"/>
                <w:sz w:val="16"/>
                <w:szCs w:val="16"/>
                <w:color w:val="auto"/>
              </w:rPr>
              <w:t>Transmission services and off-system excess energy sales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7.6</w:t>
            </w:r>
          </w:p>
        </w:tc>
      </w:tr>
      <w:tr>
        <w:trPr>
          <w:trHeight w:val="217"/>
        </w:trPr>
        <w:tc>
          <w:tcPr>
            <w:tcW w:w="5100" w:type="dxa"/>
            <w:vAlign w:val="bottom"/>
            <w:gridSpan w:val="4"/>
            <w:shd w:val="clear" w:color="auto" w:fill="CFF0FC"/>
          </w:tcPr>
          <w:p>
            <w:pPr>
              <w:ind w:left="120"/>
              <w:spacing w:after="0" w:line="217"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(b)</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w:t>
            </w:r>
          </w:p>
        </w:tc>
      </w:tr>
      <w:tr>
        <w:trPr>
          <w:trHeight w:val="215"/>
        </w:trPr>
        <w:tc>
          <w:tcPr>
            <w:tcW w:w="5100" w:type="dxa"/>
            <w:vAlign w:val="bottom"/>
            <w:gridSpan w:val="4"/>
          </w:tcPr>
          <w:p>
            <w:pPr>
              <w:ind w:left="120"/>
              <w:spacing w:after="0"/>
              <w:rPr>
                <w:sz w:val="20"/>
                <w:szCs w:val="20"/>
                <w:color w:val="auto"/>
              </w:rPr>
            </w:pPr>
            <w:r>
              <w:rPr>
                <w:rFonts w:ascii="Arial" w:cs="Arial" w:eastAsia="Arial" w:hAnsi="Arial"/>
                <w:sz w:val="16"/>
                <w:szCs w:val="16"/>
                <w:color w:val="auto"/>
              </w:rPr>
              <w:t>Weather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217"/>
        </w:trPr>
        <w:tc>
          <w:tcPr>
            <w:tcW w:w="5100" w:type="dxa"/>
            <w:vAlign w:val="bottom"/>
            <w:gridSpan w:val="4"/>
            <w:shd w:val="clear" w:color="auto" w:fill="CFF0FC"/>
          </w:tcPr>
          <w:p>
            <w:pPr>
              <w:ind w:left="120"/>
              <w:spacing w:after="0"/>
              <w:rPr>
                <w:sz w:val="20"/>
                <w:szCs w:val="20"/>
                <w:color w:val="auto"/>
              </w:rPr>
            </w:pPr>
            <w:r>
              <w:rPr>
                <w:rFonts w:ascii="Arial" w:cs="Arial" w:eastAsia="Arial" w:hAnsi="Arial"/>
                <w:sz w:val="16"/>
                <w:szCs w:val="16"/>
                <w:color w:val="auto"/>
              </w:rPr>
              <w:t>Retail load growth</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r>
        <w:trPr>
          <w:trHeight w:val="215"/>
        </w:trPr>
        <w:tc>
          <w:tcPr>
            <w:tcW w:w="5100" w:type="dxa"/>
            <w:vAlign w:val="bottom"/>
            <w:gridSpan w:val="4"/>
          </w:tcPr>
          <w:p>
            <w:pPr>
              <w:ind w:left="120"/>
              <w:spacing w:after="0"/>
              <w:rPr>
                <w:sz w:val="20"/>
                <w:szCs w:val="20"/>
                <w:color w:val="auto"/>
              </w:rPr>
            </w:pPr>
            <w:r>
              <w:rPr>
                <w:rFonts w:ascii="Arial" w:cs="Arial" w:eastAsia="Arial" w:hAnsi="Arial"/>
                <w:sz w:val="16"/>
                <w:szCs w:val="16"/>
                <w:color w:val="auto"/>
              </w:rPr>
              <w:t>Lower pricing on new Wygen I PPA</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7"/>
        </w:trPr>
        <w:tc>
          <w:tcPr>
            <w:tcW w:w="5100" w:type="dxa"/>
            <w:vAlign w:val="bottom"/>
            <w:tcBorders>
              <w:bottom w:val="single" w:sz="8" w:color="CFF0FC"/>
            </w:tcBorders>
            <w:gridSpan w:val="4"/>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r>
      <w:tr>
        <w:trPr>
          <w:trHeight w:val="209"/>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39.6</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1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99" w:lineRule="exact"/>
        <w:rPr>
          <w:sz w:val="20"/>
          <w:szCs w:val="20"/>
          <w:color w:val="auto"/>
        </w:rPr>
      </w:pPr>
    </w:p>
    <w:p>
      <w:pPr>
        <w:ind w:left="520" w:right="20" w:hanging="512"/>
        <w:spacing w:after="0" w:line="251"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February 2021, Colorado Electric delivered TCJA-related bill credits to its customers. These bill credits were offset by a reduction in income tax expense and resulted in a minimal impact to Net income.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Primarily driven by favorable market pricing on contracts and off-system sales.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due to $10.3 million of higher generation-related expenses primarily due to higher fuel and materials costs and increased royalties on higher mining revenues, $4.5 million of higher outside services expenses primarily driven by higher contractor and consultant rates, $3.4 million of increased property taxes due to an expiration of an abatement and a higher asset base driven by recent capital expenditures, $3.4 million of higher cloud computing licensing costs, and $1.1 million of increased bad debt expense primarily attributable to higher customer billings.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prior and current year capital expenditures.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Revenue (in thousands)</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Quantities Sold (MWh)</w:t>
            </w:r>
          </w:p>
        </w:tc>
        <w:tc>
          <w:tcPr>
            <w:tcW w:w="1080" w:type="dxa"/>
            <w:vAlign w:val="bottom"/>
            <w:tcBorders>
              <w:bottom w:val="single" w:sz="8" w:color="auto"/>
            </w:tcBorders>
          </w:tcPr>
          <w:p>
            <w:pPr>
              <w:spacing w:after="0"/>
              <w:rPr>
                <w:sz w:val="16"/>
                <w:szCs w:val="16"/>
                <w:color w:val="auto"/>
              </w:rPr>
            </w:pPr>
          </w:p>
        </w:tc>
      </w:tr>
      <w:tr>
        <w:trPr>
          <w:trHeight w:val="18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7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246,651</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244,589</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221,530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1,513,092</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1,494,028</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1,477,515</w:t>
            </w:r>
          </w:p>
        </w:tc>
      </w:tr>
      <w:tr>
        <w:trPr>
          <w:trHeight w:val="189"/>
        </w:trPr>
        <w:tc>
          <w:tcPr>
            <w:tcW w:w="350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277,981</w:t>
            </w:r>
          </w:p>
        </w:tc>
        <w:tc>
          <w:tcPr>
            <w:tcW w:w="3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275,998</w:t>
            </w:r>
          </w:p>
        </w:tc>
        <w:tc>
          <w:tcPr>
            <w:tcW w:w="3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239,166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2,087,800</w:t>
            </w:r>
          </w:p>
        </w:tc>
        <w:tc>
          <w:tcPr>
            <w:tcW w:w="1780" w:type="dxa"/>
            <w:vAlign w:val="bottom"/>
          </w:tcPr>
          <w:p>
            <w:pPr>
              <w:jc w:val="right"/>
              <w:ind w:right="368"/>
              <w:spacing w:after="0"/>
              <w:rPr>
                <w:sz w:val="20"/>
                <w:szCs w:val="20"/>
                <w:color w:val="auto"/>
              </w:rPr>
            </w:pPr>
            <w:r>
              <w:rPr>
                <w:rFonts w:ascii="Arial" w:cs="Arial" w:eastAsia="Arial" w:hAnsi="Arial"/>
                <w:sz w:val="14"/>
                <w:szCs w:val="14"/>
                <w:color w:val="auto"/>
              </w:rPr>
              <w:t>2,075,690</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1,974,043</w:t>
            </w:r>
          </w:p>
        </w:tc>
      </w:tr>
      <w:tr>
        <w:trPr>
          <w:trHeight w:val="189"/>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166,374</w:t>
            </w: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149,040</w:t>
            </w:r>
          </w:p>
        </w:tc>
        <w:tc>
          <w:tcPr>
            <w:tcW w:w="3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131,154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1,912,529</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1,751,344</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1,794,795</w:t>
            </w:r>
          </w:p>
        </w:tc>
      </w:tr>
      <w:tr>
        <w:trPr>
          <w:trHeight w:val="189"/>
        </w:trPr>
        <w:tc>
          <w:tcPr>
            <w:tcW w:w="3500" w:type="dxa"/>
            <w:vAlign w:val="bottom"/>
          </w:tcPr>
          <w:p>
            <w:pPr>
              <w:ind w:left="20"/>
              <w:spacing w:after="0"/>
              <w:rPr>
                <w:sz w:val="20"/>
                <w:szCs w:val="20"/>
                <w:color w:val="auto"/>
              </w:rPr>
            </w:pPr>
            <w:r>
              <w:rPr>
                <w:rFonts w:ascii="Arial" w:cs="Arial" w:eastAsia="Arial" w:hAnsi="Arial"/>
                <w:sz w:val="14"/>
                <w:szCs w:val="14"/>
                <w:color w:val="auto"/>
              </w:rPr>
              <w:t>Municipal</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20,497</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19,092</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16,860</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159,248</w:t>
            </w:r>
          </w:p>
        </w:tc>
        <w:tc>
          <w:tcPr>
            <w:tcW w:w="1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162,903</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158,222</w:t>
            </w:r>
          </w:p>
        </w:tc>
      </w:tr>
      <w:tr>
        <w:trPr>
          <w:trHeight w:val="18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Subtotal Retail Revenue - Electric</w:t>
            </w: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711,503</w:t>
            </w:r>
          </w:p>
        </w:tc>
        <w:tc>
          <w:tcPr>
            <w:tcW w:w="3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688,719</w:t>
            </w:r>
          </w:p>
        </w:tc>
        <w:tc>
          <w:tcPr>
            <w:tcW w:w="3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608,710</w:t>
            </w:r>
          </w:p>
        </w:tc>
        <w:tc>
          <w:tcPr>
            <w:tcW w:w="1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5,672,669</w:t>
            </w:r>
          </w:p>
        </w:tc>
        <w:tc>
          <w:tcPr>
            <w:tcW w:w="178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5,483,965</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5,404,575</w:t>
            </w:r>
          </w:p>
        </w:tc>
      </w:tr>
      <w:tr>
        <w:trPr>
          <w:trHeight w:val="183"/>
        </w:trPr>
        <w:tc>
          <w:tcPr>
            <w:tcW w:w="3500" w:type="dxa"/>
            <w:vAlign w:val="bottom"/>
          </w:tcPr>
          <w:p>
            <w:pPr>
              <w:ind w:left="20"/>
              <w:spacing w:after="0"/>
              <w:rPr>
                <w:sz w:val="20"/>
                <w:szCs w:val="20"/>
                <w:color w:val="auto"/>
              </w:rPr>
            </w:pPr>
            <w:r>
              <w:rPr>
                <w:rFonts w:ascii="Arial" w:cs="Arial" w:eastAsia="Arial" w:hAnsi="Arial"/>
                <w:sz w:val="14"/>
                <w:szCs w:val="14"/>
                <w:color w:val="auto"/>
              </w:rPr>
              <w:t>Contract Wholesale</w:t>
            </w:r>
          </w:p>
        </w:tc>
        <w:tc>
          <w:tcPr>
            <w:tcW w:w="2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25,869</w:t>
            </w:r>
          </w:p>
        </w:tc>
        <w:tc>
          <w:tcPr>
            <w:tcW w:w="3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16,128</w:t>
            </w:r>
          </w:p>
        </w:tc>
        <w:tc>
          <w:tcPr>
            <w:tcW w:w="3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17,847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654,016</w:t>
            </w:r>
          </w:p>
        </w:tc>
        <w:tc>
          <w:tcPr>
            <w:tcW w:w="1780" w:type="dxa"/>
            <w:vAlign w:val="bottom"/>
          </w:tcPr>
          <w:p>
            <w:pPr>
              <w:jc w:val="right"/>
              <w:ind w:right="368"/>
              <w:spacing w:after="0"/>
              <w:rPr>
                <w:sz w:val="20"/>
                <w:szCs w:val="20"/>
                <w:color w:val="auto"/>
              </w:rPr>
            </w:pPr>
            <w:r>
              <w:rPr>
                <w:rFonts w:ascii="Arial" w:cs="Arial" w:eastAsia="Arial" w:hAnsi="Arial"/>
                <w:sz w:val="14"/>
                <w:szCs w:val="14"/>
                <w:color w:val="auto"/>
              </w:rPr>
              <w:t>574,137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492,637</w:t>
            </w:r>
          </w:p>
        </w:tc>
      </w:tr>
      <w:tr>
        <w:trPr>
          <w:trHeight w:val="189"/>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Off-system/Power Marketing Wholesale</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48,578</w:t>
            </w: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41,682</w:t>
            </w:r>
          </w:p>
        </w:tc>
        <w:tc>
          <w:tcPr>
            <w:tcW w:w="3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15,511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643,189</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638,923</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437,288</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9"/>
                <w:szCs w:val="19"/>
                <w:color w:val="auto"/>
                <w:vertAlign w:val="superscript"/>
              </w:rPr>
              <w:t>(a)</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66,191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54,218</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57,644</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Regulated</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852,141</w:t>
            </w: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800,747</w:t>
            </w:r>
          </w:p>
        </w:tc>
        <w:tc>
          <w:tcPr>
            <w:tcW w:w="3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699,712</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6,969,874</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6,697,025</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6,334,500</w:t>
            </w:r>
          </w:p>
        </w:tc>
      </w:tr>
      <w:tr>
        <w:trPr>
          <w:trHeight w:val="189"/>
        </w:trPr>
        <w:tc>
          <w:tcPr>
            <w:tcW w:w="35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Non-Regulated </w:t>
            </w:r>
            <w:r>
              <w:rPr>
                <w:rFonts w:ascii="Arial" w:cs="Arial" w:eastAsia="Arial" w:hAnsi="Arial"/>
                <w:sz w:val="19"/>
                <w:szCs w:val="19"/>
                <w:color w:val="auto"/>
                <w:vertAlign w:val="superscript"/>
              </w:rPr>
              <w:t>(b)</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48,021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41,511</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39,145</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293,026</w:t>
            </w:r>
          </w:p>
        </w:tc>
        <w:tc>
          <w:tcPr>
            <w:tcW w:w="1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269,558</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258,399</w:t>
            </w:r>
          </w:p>
        </w:tc>
      </w:tr>
      <w:tr>
        <w:trPr>
          <w:trHeight w:val="22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900,162</w:t>
            </w: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842,258</w:t>
            </w:r>
          </w:p>
        </w:tc>
        <w:tc>
          <w:tcPr>
            <w:tcW w:w="3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738,857</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7,262,900</w:t>
            </w:r>
          </w:p>
        </w:tc>
        <w:tc>
          <w:tcPr>
            <w:tcW w:w="178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6,966,583</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6,592,899</w:t>
            </w:r>
          </w:p>
        </w:tc>
      </w:tr>
      <w:tr>
        <w:trPr>
          <w:trHeight w:val="169"/>
        </w:trPr>
        <w:tc>
          <w:tcPr>
            <w:tcW w:w="3500" w:type="dxa"/>
            <w:vAlign w:val="bottom"/>
          </w:tcPr>
          <w:p>
            <w:pPr>
              <w:ind w:left="20"/>
              <w:spacing w:after="0" w:line="170" w:lineRule="exact"/>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9"/>
                <w:szCs w:val="19"/>
                <w:color w:val="auto"/>
                <w:vertAlign w:val="superscript"/>
              </w:rPr>
              <w:t>(c)</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450,010</w:t>
            </w:r>
          </w:p>
        </w:tc>
        <w:tc>
          <w:tcPr>
            <w:tcW w:w="1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475,280</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406,422</w:t>
            </w:r>
          </w:p>
        </w:tc>
      </w:tr>
      <w:tr>
        <w:trPr>
          <w:trHeight w:val="223"/>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Energy</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7,712,910</w:t>
            </w:r>
          </w:p>
        </w:tc>
        <w:tc>
          <w:tcPr>
            <w:tcW w:w="178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7,441,863</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6,999,321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-1045210</wp:posOffset>
            </wp:positionV>
            <wp:extent cx="6858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-299720</wp:posOffset>
            </wp:positionV>
            <wp:extent cx="6858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Electric Revenue (in thousands)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Quantities Sold (MWh)</w:t>
            </w:r>
          </w:p>
        </w:tc>
        <w:tc>
          <w:tcPr>
            <w:tcW w:w="1080" w:type="dxa"/>
            <w:vAlign w:val="bottom"/>
            <w:tcBorders>
              <w:bottom w:val="single" w:sz="8" w:color="auto"/>
            </w:tcBorders>
          </w:tcPr>
          <w:p>
            <w:pPr>
              <w:spacing w:after="0"/>
              <w:rPr>
                <w:sz w:val="16"/>
                <w:szCs w:val="16"/>
                <w:color w:val="auto"/>
              </w:rPr>
            </w:pP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2"/>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Colorado Electric</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321,113</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302,896</w:t>
            </w:r>
          </w:p>
        </w:tc>
        <w:tc>
          <w:tcPr>
            <w:tcW w:w="4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252,094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2,439,954</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2,574,016</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2,243,034</w:t>
            </w:r>
          </w:p>
        </w:tc>
      </w:tr>
      <w:tr>
        <w:trPr>
          <w:trHeight w:val="189"/>
        </w:trPr>
        <w:tc>
          <w:tcPr>
            <w:tcW w:w="338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2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335,211</w:t>
            </w:r>
          </w:p>
        </w:tc>
        <w:tc>
          <w:tcPr>
            <w:tcW w:w="3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319,362</w:t>
            </w:r>
          </w:p>
        </w:tc>
        <w:tc>
          <w:tcPr>
            <w:tcW w:w="48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280,431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2,626,175</w:t>
            </w:r>
          </w:p>
        </w:tc>
        <w:tc>
          <w:tcPr>
            <w:tcW w:w="1780" w:type="dxa"/>
            <w:vAlign w:val="bottom"/>
          </w:tcPr>
          <w:p>
            <w:pPr>
              <w:jc w:val="right"/>
              <w:ind w:right="368"/>
              <w:spacing w:after="0"/>
              <w:rPr>
                <w:sz w:val="20"/>
                <w:szCs w:val="20"/>
                <w:color w:val="auto"/>
              </w:rPr>
            </w:pPr>
            <w:r>
              <w:rPr>
                <w:rFonts w:ascii="Arial" w:cs="Arial" w:eastAsia="Arial" w:hAnsi="Arial"/>
                <w:sz w:val="14"/>
                <w:szCs w:val="14"/>
                <w:color w:val="auto"/>
              </w:rPr>
              <w:t>2,389,407</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2,363,776</w:t>
            </w:r>
          </w:p>
        </w:tc>
      </w:tr>
      <w:tr>
        <w:trPr>
          <w:trHeight w:val="189"/>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Wyoming Electric</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197,673</w:t>
            </w: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180,413</w:t>
            </w:r>
          </w:p>
        </w:tc>
        <w:tc>
          <w:tcPr>
            <w:tcW w:w="4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169,179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1,903,745</w:t>
            </w:r>
          </w:p>
        </w:tc>
        <w:tc>
          <w:tcPr>
            <w:tcW w:w="178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1,733,602</w:t>
            </w: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1,727,690</w:t>
            </w:r>
          </w:p>
        </w:tc>
      </w:tr>
      <w:tr>
        <w:trPr>
          <w:trHeight w:val="189"/>
        </w:trPr>
        <w:tc>
          <w:tcPr>
            <w:tcW w:w="3380" w:type="dxa"/>
            <w:vAlign w:val="bottom"/>
          </w:tcPr>
          <w:p>
            <w:pPr>
              <w:ind w:left="20"/>
              <w:spacing w:after="0"/>
              <w:rPr>
                <w:sz w:val="20"/>
                <w:szCs w:val="20"/>
                <w:color w:val="auto"/>
              </w:rPr>
            </w:pPr>
            <w:r>
              <w:rPr>
                <w:rFonts w:ascii="Arial" w:cs="Arial" w:eastAsia="Arial" w:hAnsi="Arial"/>
                <w:sz w:val="14"/>
                <w:szCs w:val="14"/>
                <w:color w:val="auto"/>
              </w:rPr>
              <w:t>Integrated Generation</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46,166</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39,587</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37,153</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293,026</w:t>
            </w:r>
          </w:p>
        </w:tc>
        <w:tc>
          <w:tcPr>
            <w:tcW w:w="1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269,558</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258,399</w:t>
            </w:r>
          </w:p>
        </w:tc>
      </w:tr>
      <w:tr>
        <w:trPr>
          <w:trHeight w:val="223"/>
        </w:trPr>
        <w:tc>
          <w:tcPr>
            <w:tcW w:w="33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900,162</w:t>
            </w:r>
          </w:p>
        </w:tc>
        <w:tc>
          <w:tcPr>
            <w:tcW w:w="3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842,258</w:t>
            </w:r>
          </w:p>
        </w:tc>
        <w:tc>
          <w:tcPr>
            <w:tcW w:w="4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738,857</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7,262,900</w:t>
            </w:r>
          </w:p>
        </w:tc>
        <w:tc>
          <w:tcPr>
            <w:tcW w:w="178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6,966,583</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6,592,899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For the year ended 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Quantities Generated and Purchased by Fuel Type (MWh)</w:t>
            </w:r>
          </w:p>
        </w:tc>
        <w:tc>
          <w:tcPr>
            <w:tcW w:w="2960" w:type="dxa"/>
            <w:vAlign w:val="bottom"/>
            <w:tcBorders>
              <w:bottom w:val="single" w:sz="8" w:color="auto"/>
            </w:tcBorders>
            <w:gridSpan w:val="2"/>
          </w:tcPr>
          <w:p>
            <w:pPr>
              <w:jc w:val="right"/>
              <w:ind w:right="999"/>
              <w:spacing w:after="0"/>
              <w:rPr>
                <w:sz w:val="20"/>
                <w:szCs w:val="20"/>
                <w:color w:val="auto"/>
              </w:rPr>
            </w:pPr>
            <w:r>
              <w:rPr>
                <w:rFonts w:ascii="Arial" w:cs="Arial" w:eastAsia="Arial" w:hAnsi="Arial"/>
                <w:sz w:val="16"/>
                <w:szCs w:val="16"/>
                <w:b w:val="1"/>
                <w:bCs w:val="1"/>
                <w:color w:val="auto"/>
              </w:rPr>
              <w:t>2022</w:t>
            </w:r>
          </w:p>
        </w:tc>
        <w:tc>
          <w:tcPr>
            <w:tcW w:w="20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8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6"/>
                <w:szCs w:val="16"/>
                <w:color w:val="auto"/>
              </w:rPr>
              <w:t>Coal</w:t>
            </w:r>
          </w:p>
        </w:tc>
        <w:tc>
          <w:tcPr>
            <w:tcW w:w="2960" w:type="dxa"/>
            <w:vAlign w:val="bottom"/>
            <w:gridSpan w:val="2"/>
          </w:tcPr>
          <w:p>
            <w:pPr>
              <w:jc w:val="right"/>
              <w:ind w:right="379"/>
              <w:spacing w:after="0"/>
              <w:rPr>
                <w:sz w:val="20"/>
                <w:szCs w:val="20"/>
                <w:color w:val="auto"/>
              </w:rPr>
            </w:pPr>
            <w:r>
              <w:rPr>
                <w:rFonts w:ascii="Arial" w:cs="Arial" w:eastAsia="Arial" w:hAnsi="Arial"/>
                <w:sz w:val="16"/>
                <w:szCs w:val="16"/>
                <w:color w:val="auto"/>
              </w:rPr>
              <w:t>2,708,804</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2,546,926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2,817,846</w:t>
            </w:r>
          </w:p>
        </w:tc>
        <w:tc>
          <w:tcPr>
            <w:tcW w:w="0" w:type="dxa"/>
            <w:vAlign w:val="bottom"/>
          </w:tcPr>
          <w:p>
            <w:pPr>
              <w:spacing w:after="0"/>
              <w:rPr>
                <w:sz w:val="1"/>
                <w:szCs w:val="1"/>
                <w:color w:val="auto"/>
              </w:rPr>
            </w:pPr>
          </w:p>
        </w:tc>
      </w:tr>
      <w:tr>
        <w:trPr>
          <w:trHeight w:val="217"/>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Natural Gas and Oil</w:t>
            </w:r>
          </w:p>
        </w:tc>
        <w:tc>
          <w:tcPr>
            <w:tcW w:w="296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1,454,164</w:t>
            </w:r>
          </w:p>
        </w:tc>
        <w:tc>
          <w:tcPr>
            <w:tcW w:w="20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1,817,133</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1,753,568</w:t>
            </w: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6"/>
                <w:szCs w:val="16"/>
                <w:color w:val="auto"/>
              </w:rPr>
              <w:t>Wind</w:t>
            </w:r>
          </w:p>
        </w:tc>
        <w:tc>
          <w:tcPr>
            <w:tcW w:w="2960" w:type="dxa"/>
            <w:vAlign w:val="bottom"/>
            <w:gridSpan w:val="2"/>
          </w:tcPr>
          <w:p>
            <w:pPr>
              <w:jc w:val="right"/>
              <w:ind w:right="379"/>
              <w:spacing w:after="0"/>
              <w:rPr>
                <w:sz w:val="20"/>
                <w:szCs w:val="20"/>
                <w:color w:val="auto"/>
              </w:rPr>
            </w:pPr>
            <w:r>
              <w:rPr>
                <w:rFonts w:ascii="Arial" w:cs="Arial" w:eastAsia="Arial" w:hAnsi="Arial"/>
                <w:sz w:val="16"/>
                <w:szCs w:val="16"/>
                <w:color w:val="auto"/>
              </w:rPr>
              <w:t>875,843</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842,616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614,236</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Generated</w:t>
            </w:r>
          </w:p>
        </w:tc>
        <w:tc>
          <w:tcPr>
            <w:tcW w:w="88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5,038,811</w:t>
            </w:r>
          </w:p>
        </w:tc>
        <w:tc>
          <w:tcPr>
            <w:tcW w:w="204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5,206,675</w:t>
            </w:r>
          </w:p>
        </w:tc>
        <w:tc>
          <w:tcPr>
            <w:tcW w:w="12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5,185,650</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Purchased:</w:t>
            </w:r>
          </w:p>
        </w:tc>
        <w:tc>
          <w:tcPr>
            <w:tcW w:w="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Coal, Natural Gas, Oil and Other Market Purchases</w:t>
            </w:r>
          </w:p>
        </w:tc>
        <w:tc>
          <w:tcPr>
            <w:tcW w:w="296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2,280,776</w:t>
            </w:r>
          </w:p>
        </w:tc>
        <w:tc>
          <w:tcPr>
            <w:tcW w:w="20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1,866,382</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1,478,536</w:t>
            </w:r>
          </w:p>
        </w:tc>
        <w:tc>
          <w:tcPr>
            <w:tcW w:w="0" w:type="dxa"/>
            <w:vAlign w:val="bottom"/>
          </w:tcPr>
          <w:p>
            <w:pPr>
              <w:spacing w:after="0"/>
              <w:rPr>
                <w:sz w:val="1"/>
                <w:szCs w:val="1"/>
                <w:color w:val="auto"/>
              </w:rPr>
            </w:pPr>
          </w:p>
        </w:tc>
      </w:tr>
      <w:tr>
        <w:trPr>
          <w:trHeight w:val="215"/>
        </w:trPr>
        <w:tc>
          <w:tcPr>
            <w:tcW w:w="4980" w:type="dxa"/>
            <w:vAlign w:val="bottom"/>
          </w:tcPr>
          <w:p>
            <w:pPr>
              <w:ind w:left="200"/>
              <w:spacing w:after="0"/>
              <w:rPr>
                <w:sz w:val="20"/>
                <w:szCs w:val="20"/>
                <w:color w:val="auto"/>
              </w:rPr>
            </w:pPr>
            <w:r>
              <w:rPr>
                <w:rFonts w:ascii="Arial" w:cs="Arial" w:eastAsia="Arial" w:hAnsi="Arial"/>
                <w:sz w:val="16"/>
                <w:szCs w:val="16"/>
                <w:color w:val="auto"/>
              </w:rPr>
              <w:t>Wind</w:t>
            </w:r>
          </w:p>
        </w:tc>
        <w:tc>
          <w:tcPr>
            <w:tcW w:w="2960" w:type="dxa"/>
            <w:vAlign w:val="bottom"/>
            <w:gridSpan w:val="2"/>
          </w:tcPr>
          <w:p>
            <w:pPr>
              <w:jc w:val="right"/>
              <w:ind w:right="379"/>
              <w:spacing w:after="0"/>
              <w:rPr>
                <w:sz w:val="20"/>
                <w:szCs w:val="20"/>
                <w:color w:val="auto"/>
              </w:rPr>
            </w:pPr>
            <w:r>
              <w:rPr>
                <w:rFonts w:ascii="Arial" w:cs="Arial" w:eastAsia="Arial" w:hAnsi="Arial"/>
                <w:sz w:val="16"/>
                <w:szCs w:val="16"/>
                <w:color w:val="auto"/>
              </w:rPr>
              <w:t>393,323</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368,806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335,135</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Purchased</w:t>
            </w:r>
          </w:p>
        </w:tc>
        <w:tc>
          <w:tcPr>
            <w:tcW w:w="88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2,674,099</w:t>
            </w:r>
          </w:p>
        </w:tc>
        <w:tc>
          <w:tcPr>
            <w:tcW w:w="204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2,235,188</w:t>
            </w:r>
          </w:p>
        </w:tc>
        <w:tc>
          <w:tcPr>
            <w:tcW w:w="12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1,813,671</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2960" w:type="dxa"/>
            <w:vAlign w:val="bottom"/>
            <w:gridSpan w:val="2"/>
          </w:tcPr>
          <w:p>
            <w:pPr>
              <w:jc w:val="right"/>
              <w:ind w:right="379"/>
              <w:spacing w:after="0"/>
              <w:rPr>
                <w:sz w:val="20"/>
                <w:szCs w:val="20"/>
                <w:color w:val="auto"/>
              </w:rPr>
            </w:pPr>
            <w:r>
              <w:rPr>
                <w:rFonts w:ascii="Arial" w:cs="Arial" w:eastAsia="Arial" w:hAnsi="Arial"/>
                <w:sz w:val="16"/>
                <w:szCs w:val="16"/>
                <w:color w:val="auto"/>
              </w:rPr>
              <w:t>7,712,910</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7,441,863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6,999,321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80" w:type="dxa"/>
            <w:vAlign w:val="bottom"/>
            <w:vMerge w:val="restart"/>
          </w:tcPr>
          <w:p>
            <w:pPr>
              <w:jc w:val="right"/>
              <w:ind w:right="59"/>
              <w:spacing w:after="0"/>
              <w:rPr>
                <w:sz w:val="20"/>
                <w:szCs w:val="20"/>
                <w:color w:val="auto"/>
              </w:rPr>
            </w:pPr>
            <w:r>
              <w:rPr>
                <w:rFonts w:ascii="Arial" w:cs="Arial" w:eastAsia="Arial" w:hAnsi="Arial"/>
                <w:sz w:val="16"/>
                <w:szCs w:val="16"/>
                <w:color w:val="auto"/>
              </w:rPr>
              <w:t>42</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9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9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5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627"/>
        </w:trPr>
        <w:tc>
          <w:tcPr>
            <w:tcW w:w="1360" w:type="dxa"/>
            <w:vAlign w:val="bottom"/>
            <w:tcBorders>
              <w:top w:val="single" w:sz="8" w:color="0000FF"/>
            </w:tcBorders>
          </w:tcPr>
          <w:p>
            <w:pPr>
              <w:spacing w:after="0"/>
              <w:rPr>
                <w:sz w:val="24"/>
                <w:szCs w:val="24"/>
                <w:color w:val="auto"/>
              </w:rPr>
            </w:pPr>
          </w:p>
        </w:tc>
        <w:tc>
          <w:tcPr>
            <w:tcW w:w="4500" w:type="dxa"/>
            <w:vAlign w:val="bottom"/>
          </w:tcPr>
          <w:p>
            <w:pPr>
              <w:spacing w:after="0"/>
              <w:rPr>
                <w:sz w:val="24"/>
                <w:szCs w:val="24"/>
                <w:color w:val="auto"/>
              </w:rPr>
            </w:pPr>
          </w:p>
        </w:tc>
        <w:tc>
          <w:tcPr>
            <w:tcW w:w="4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For the year ended December 31,</w:t>
            </w:r>
          </w:p>
        </w:tc>
        <w:tc>
          <w:tcPr>
            <w:tcW w:w="1260" w:type="dxa"/>
            <w:vAlign w:val="bottom"/>
          </w:tcPr>
          <w:p>
            <w:pPr>
              <w:spacing w:after="0"/>
              <w:rPr>
                <w:sz w:val="24"/>
                <w:szCs w:val="24"/>
                <w:color w:val="auto"/>
              </w:rPr>
            </w:pPr>
          </w:p>
        </w:tc>
      </w:tr>
      <w:tr>
        <w:trPr>
          <w:trHeight w:val="217"/>
        </w:trPr>
        <w:tc>
          <w:tcPr>
            <w:tcW w:w="5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Quantities Generated and Purchased (MWh)</w:t>
            </w:r>
          </w:p>
        </w:tc>
        <w:tc>
          <w:tcPr>
            <w:tcW w:w="20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2022</w:t>
            </w:r>
          </w:p>
        </w:tc>
        <w:tc>
          <w:tcPr>
            <w:tcW w:w="20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5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20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5860" w:type="dxa"/>
            <w:vAlign w:val="bottom"/>
            <w:gridSpan w:val="2"/>
          </w:tcPr>
          <w:p>
            <w:pPr>
              <w:ind w:left="200"/>
              <w:spacing w:after="0"/>
              <w:rPr>
                <w:sz w:val="20"/>
                <w:szCs w:val="20"/>
                <w:color w:val="auto"/>
              </w:rPr>
            </w:pPr>
            <w:r>
              <w:rPr>
                <w:rFonts w:ascii="Arial" w:cs="Arial" w:eastAsia="Arial" w:hAnsi="Arial"/>
                <w:sz w:val="16"/>
                <w:szCs w:val="16"/>
                <w:color w:val="auto"/>
              </w:rPr>
              <w:t>Colorado Electric</w:t>
            </w:r>
          </w:p>
        </w:tc>
        <w:tc>
          <w:tcPr>
            <w:tcW w:w="2080" w:type="dxa"/>
            <w:vAlign w:val="bottom"/>
          </w:tcPr>
          <w:p>
            <w:pPr>
              <w:jc w:val="right"/>
              <w:ind w:right="379"/>
              <w:spacing w:after="0"/>
              <w:rPr>
                <w:sz w:val="20"/>
                <w:szCs w:val="20"/>
                <w:color w:val="auto"/>
              </w:rPr>
            </w:pPr>
            <w:r>
              <w:rPr>
                <w:rFonts w:ascii="Arial" w:cs="Arial" w:eastAsia="Arial" w:hAnsi="Arial"/>
                <w:sz w:val="16"/>
                <w:szCs w:val="16"/>
                <w:color w:val="auto"/>
              </w:rPr>
              <w:t>474,401</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412,127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265,552</w:t>
            </w:r>
          </w:p>
        </w:tc>
      </w:tr>
      <w:tr>
        <w:trPr>
          <w:trHeight w:val="217"/>
        </w:trPr>
        <w:tc>
          <w:tcPr>
            <w:tcW w:w="5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20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1,889,981</w:t>
            </w:r>
          </w:p>
        </w:tc>
        <w:tc>
          <w:tcPr>
            <w:tcW w:w="20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1,980,660</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1,901,009</w:t>
            </w:r>
          </w:p>
        </w:tc>
      </w:tr>
      <w:tr>
        <w:trPr>
          <w:trHeight w:val="215"/>
        </w:trPr>
        <w:tc>
          <w:tcPr>
            <w:tcW w:w="5860" w:type="dxa"/>
            <w:vAlign w:val="bottom"/>
            <w:gridSpan w:val="2"/>
          </w:tcPr>
          <w:p>
            <w:pPr>
              <w:ind w:left="200"/>
              <w:spacing w:after="0"/>
              <w:rPr>
                <w:sz w:val="20"/>
                <w:szCs w:val="20"/>
                <w:color w:val="auto"/>
              </w:rPr>
            </w:pPr>
            <w:r>
              <w:rPr>
                <w:rFonts w:ascii="Arial" w:cs="Arial" w:eastAsia="Arial" w:hAnsi="Arial"/>
                <w:sz w:val="16"/>
                <w:szCs w:val="16"/>
                <w:color w:val="auto"/>
              </w:rPr>
              <w:t>Wyoming Electric</w:t>
            </w:r>
          </w:p>
        </w:tc>
        <w:tc>
          <w:tcPr>
            <w:tcW w:w="2080" w:type="dxa"/>
            <w:vAlign w:val="bottom"/>
          </w:tcPr>
          <w:p>
            <w:pPr>
              <w:jc w:val="right"/>
              <w:ind w:right="379"/>
              <w:spacing w:after="0"/>
              <w:rPr>
                <w:sz w:val="20"/>
                <w:szCs w:val="20"/>
                <w:color w:val="auto"/>
              </w:rPr>
            </w:pPr>
            <w:r>
              <w:rPr>
                <w:rFonts w:ascii="Arial" w:cs="Arial" w:eastAsia="Arial" w:hAnsi="Arial"/>
                <w:sz w:val="16"/>
                <w:szCs w:val="16"/>
                <w:color w:val="auto"/>
              </w:rPr>
              <w:t>905,796</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883,596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851,522</w:t>
            </w:r>
          </w:p>
        </w:tc>
      </w:tr>
      <w:tr>
        <w:trPr>
          <w:trHeight w:val="216"/>
        </w:trPr>
        <w:tc>
          <w:tcPr>
            <w:tcW w:w="5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20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1,768,633</w:t>
            </w:r>
          </w:p>
        </w:tc>
        <w:tc>
          <w:tcPr>
            <w:tcW w:w="20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1,842,377</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2,085,042</w:t>
            </w:r>
          </w:p>
        </w:tc>
      </w:tr>
      <w:tr>
        <w:trPr>
          <w:trHeight w:val="210"/>
        </w:trPr>
        <w:tc>
          <w:tcPr>
            <w:tcW w:w="5860" w:type="dxa"/>
            <w:vAlign w:val="bottom"/>
            <w:gridSpan w:val="2"/>
          </w:tcPr>
          <w:p>
            <w:pPr>
              <w:ind w:left="380"/>
              <w:spacing w:after="0"/>
              <w:rPr>
                <w:sz w:val="20"/>
                <w:szCs w:val="20"/>
                <w:color w:val="auto"/>
              </w:rPr>
            </w:pPr>
            <w:r>
              <w:rPr>
                <w:rFonts w:ascii="Arial" w:cs="Arial" w:eastAsia="Arial" w:hAnsi="Arial"/>
                <w:sz w:val="16"/>
                <w:szCs w:val="16"/>
                <w:color w:val="auto"/>
              </w:rPr>
              <w:t>Total Generated</w:t>
            </w:r>
          </w:p>
        </w:tc>
        <w:tc>
          <w:tcPr>
            <w:tcW w:w="2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5,038,811</w:t>
            </w:r>
          </w:p>
        </w:tc>
        <w:tc>
          <w:tcPr>
            <w:tcW w:w="2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5,118,760</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5,103,125</w:t>
            </w:r>
          </w:p>
        </w:tc>
      </w:tr>
      <w:tr>
        <w:trPr>
          <w:trHeight w:val="210"/>
        </w:trPr>
        <w:tc>
          <w:tcPr>
            <w:tcW w:w="5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20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5860" w:type="dxa"/>
            <w:vAlign w:val="bottom"/>
            <w:gridSpan w:val="2"/>
          </w:tcPr>
          <w:p>
            <w:pPr>
              <w:ind w:left="200"/>
              <w:spacing w:after="0"/>
              <w:rPr>
                <w:sz w:val="20"/>
                <w:szCs w:val="20"/>
                <w:color w:val="auto"/>
              </w:rPr>
            </w:pPr>
            <w:r>
              <w:rPr>
                <w:rFonts w:ascii="Arial" w:cs="Arial" w:eastAsia="Arial" w:hAnsi="Arial"/>
                <w:sz w:val="16"/>
                <w:szCs w:val="16"/>
                <w:color w:val="auto"/>
              </w:rPr>
              <w:t>Colorado Electric</w:t>
            </w:r>
          </w:p>
        </w:tc>
        <w:tc>
          <w:tcPr>
            <w:tcW w:w="2080" w:type="dxa"/>
            <w:vAlign w:val="bottom"/>
          </w:tcPr>
          <w:p>
            <w:pPr>
              <w:jc w:val="right"/>
              <w:ind w:right="379"/>
              <w:spacing w:after="0"/>
              <w:rPr>
                <w:sz w:val="20"/>
                <w:szCs w:val="20"/>
                <w:color w:val="auto"/>
              </w:rPr>
            </w:pPr>
            <w:r>
              <w:rPr>
                <w:rFonts w:ascii="Arial" w:cs="Arial" w:eastAsia="Arial" w:hAnsi="Arial"/>
                <w:sz w:val="16"/>
                <w:szCs w:val="16"/>
                <w:color w:val="auto"/>
              </w:rPr>
              <w:t>1,005,446</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1,027,728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714,139</w:t>
            </w:r>
          </w:p>
        </w:tc>
      </w:tr>
      <w:tr>
        <w:trPr>
          <w:trHeight w:val="217"/>
        </w:trPr>
        <w:tc>
          <w:tcPr>
            <w:tcW w:w="58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20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826,392</w:t>
            </w:r>
          </w:p>
        </w:tc>
        <w:tc>
          <w:tcPr>
            <w:tcW w:w="204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563,603</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489,457</w:t>
            </w:r>
          </w:p>
        </w:tc>
      </w:tr>
      <w:tr>
        <w:trPr>
          <w:trHeight w:val="215"/>
        </w:trPr>
        <w:tc>
          <w:tcPr>
            <w:tcW w:w="5860" w:type="dxa"/>
            <w:vAlign w:val="bottom"/>
            <w:gridSpan w:val="2"/>
          </w:tcPr>
          <w:p>
            <w:pPr>
              <w:ind w:left="200"/>
              <w:spacing w:after="0"/>
              <w:rPr>
                <w:sz w:val="20"/>
                <w:szCs w:val="20"/>
                <w:color w:val="auto"/>
              </w:rPr>
            </w:pPr>
            <w:r>
              <w:rPr>
                <w:rFonts w:ascii="Arial" w:cs="Arial" w:eastAsia="Arial" w:hAnsi="Arial"/>
                <w:sz w:val="16"/>
                <w:szCs w:val="16"/>
                <w:color w:val="auto"/>
              </w:rPr>
              <w:t>Wyoming Electric</w:t>
            </w:r>
          </w:p>
        </w:tc>
        <w:tc>
          <w:tcPr>
            <w:tcW w:w="2080" w:type="dxa"/>
            <w:vAlign w:val="bottom"/>
          </w:tcPr>
          <w:p>
            <w:pPr>
              <w:jc w:val="right"/>
              <w:ind w:right="379"/>
              <w:spacing w:after="0"/>
              <w:rPr>
                <w:sz w:val="20"/>
                <w:szCs w:val="20"/>
                <w:color w:val="auto"/>
              </w:rPr>
            </w:pPr>
            <w:r>
              <w:rPr>
                <w:rFonts w:ascii="Arial" w:cs="Arial" w:eastAsia="Arial" w:hAnsi="Arial"/>
                <w:sz w:val="16"/>
                <w:szCs w:val="16"/>
                <w:color w:val="auto"/>
              </w:rPr>
              <w:t>757,191</w:t>
            </w:r>
          </w:p>
        </w:tc>
        <w:tc>
          <w:tcPr>
            <w:tcW w:w="2040" w:type="dxa"/>
            <w:vAlign w:val="bottom"/>
          </w:tcPr>
          <w:p>
            <w:pPr>
              <w:jc w:val="right"/>
              <w:ind w:right="539"/>
              <w:spacing w:after="0"/>
              <w:rPr>
                <w:sz w:val="20"/>
                <w:szCs w:val="20"/>
                <w:color w:val="auto"/>
              </w:rPr>
            </w:pPr>
            <w:r>
              <w:rPr>
                <w:rFonts w:ascii="Arial" w:cs="Arial" w:eastAsia="Arial" w:hAnsi="Arial"/>
                <w:sz w:val="16"/>
                <w:szCs w:val="16"/>
                <w:color w:val="auto"/>
              </w:rPr>
              <w:t>643,857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610,075</w:t>
            </w:r>
          </w:p>
        </w:tc>
      </w:tr>
      <w:tr>
        <w:trPr>
          <w:trHeight w:val="216"/>
        </w:trPr>
        <w:tc>
          <w:tcPr>
            <w:tcW w:w="58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20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85,070</w:t>
            </w:r>
          </w:p>
        </w:tc>
        <w:tc>
          <w:tcPr>
            <w:tcW w:w="20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87,915</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82,525</w:t>
            </w:r>
          </w:p>
        </w:tc>
      </w:tr>
      <w:tr>
        <w:trPr>
          <w:trHeight w:val="209"/>
        </w:trPr>
        <w:tc>
          <w:tcPr>
            <w:tcW w:w="5860" w:type="dxa"/>
            <w:vAlign w:val="bottom"/>
            <w:gridSpan w:val="2"/>
          </w:tcPr>
          <w:p>
            <w:pPr>
              <w:ind w:left="380"/>
              <w:spacing w:after="0"/>
              <w:rPr>
                <w:sz w:val="20"/>
                <w:szCs w:val="20"/>
                <w:color w:val="auto"/>
              </w:rPr>
            </w:pPr>
            <w:r>
              <w:rPr>
                <w:rFonts w:ascii="Arial" w:cs="Arial" w:eastAsia="Arial" w:hAnsi="Arial"/>
                <w:sz w:val="16"/>
                <w:szCs w:val="16"/>
                <w:color w:val="auto"/>
              </w:rPr>
              <w:t>Total Purchased</w:t>
            </w:r>
          </w:p>
        </w:tc>
        <w:tc>
          <w:tcPr>
            <w:tcW w:w="2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2,674,099</w:t>
            </w:r>
          </w:p>
        </w:tc>
        <w:tc>
          <w:tcPr>
            <w:tcW w:w="2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2,323,103</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1,896,196</w:t>
            </w:r>
          </w:p>
        </w:tc>
      </w:tr>
      <w:tr>
        <w:trPr>
          <w:trHeight w:val="210"/>
        </w:trPr>
        <w:tc>
          <w:tcPr>
            <w:tcW w:w="1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58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Generated and Purchased</w:t>
            </w:r>
          </w:p>
        </w:tc>
        <w:tc>
          <w:tcPr>
            <w:tcW w:w="20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7,712,910</w:t>
            </w:r>
          </w:p>
        </w:tc>
        <w:tc>
          <w:tcPr>
            <w:tcW w:w="204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7,441,863</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6,999,321</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Degree Days</w:t>
            </w:r>
          </w:p>
        </w:tc>
        <w:tc>
          <w:tcPr>
            <w:tcW w:w="1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2020</w:t>
            </w:r>
          </w:p>
        </w:tc>
      </w:tr>
      <w:tr>
        <w:trPr>
          <w:trHeight w:val="182"/>
        </w:trPr>
        <w:tc>
          <w:tcPr>
            <w:tcW w:w="3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tcPr>
          <w:p>
            <w:pPr>
              <w:jc w:val="center"/>
              <w:ind w:left="179"/>
              <w:spacing w:after="0" w:line="182" w:lineRule="exact"/>
              <w:rPr>
                <w:sz w:val="20"/>
                <w:szCs w:val="20"/>
                <w:color w:val="auto"/>
              </w:rPr>
            </w:pPr>
            <w:r>
              <w:rPr>
                <w:rFonts w:ascii="Arial" w:cs="Arial" w:eastAsia="Arial" w:hAnsi="Arial"/>
                <w:sz w:val="16"/>
                <w:szCs w:val="16"/>
                <w:b w:val="1"/>
                <w:bCs w:val="1"/>
                <w:color w:val="auto"/>
              </w:rPr>
              <w:t>Variance from</w:t>
            </w:r>
          </w:p>
        </w:tc>
        <w:tc>
          <w:tcPr>
            <w:tcW w:w="12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1020" w:type="dxa"/>
            <w:vAlign w:val="bottom"/>
          </w:tcPr>
          <w:p>
            <w:pPr>
              <w:spacing w:after="0"/>
              <w:rPr>
                <w:sz w:val="15"/>
                <w:szCs w:val="15"/>
                <w:color w:val="auto"/>
              </w:rPr>
            </w:pPr>
          </w:p>
        </w:tc>
        <w:tc>
          <w:tcPr>
            <w:tcW w:w="1480" w:type="dxa"/>
            <w:vAlign w:val="bottom"/>
          </w:tcPr>
          <w:p>
            <w:pPr>
              <w:jc w:val="center"/>
              <w:ind w:left="159"/>
              <w:spacing w:after="0" w:line="182" w:lineRule="exact"/>
              <w:rPr>
                <w:sz w:val="20"/>
                <w:szCs w:val="20"/>
                <w:color w:val="auto"/>
              </w:rPr>
            </w:pPr>
            <w:r>
              <w:rPr>
                <w:rFonts w:ascii="Arial" w:cs="Arial" w:eastAsia="Arial" w:hAnsi="Arial"/>
                <w:sz w:val="16"/>
                <w:szCs w:val="16"/>
                <w:b w:val="1"/>
                <w:bCs w:val="1"/>
                <w:color w:val="auto"/>
              </w:rPr>
              <w:t>Variance from</w:t>
            </w:r>
          </w:p>
        </w:tc>
      </w:tr>
      <w:tr>
        <w:trPr>
          <w:trHeight w:val="217"/>
        </w:trPr>
        <w:tc>
          <w:tcPr>
            <w:tcW w:w="3200" w:type="dxa"/>
            <w:vAlign w:val="bottom"/>
          </w:tcPr>
          <w:p>
            <w:pPr>
              <w:spacing w:after="0"/>
              <w:rPr>
                <w:sz w:val="18"/>
                <w:szCs w:val="18"/>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Actual</w:t>
            </w:r>
          </w:p>
        </w:tc>
        <w:tc>
          <w:tcPr>
            <w:tcW w:w="15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Normal</w:t>
            </w: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Actual</w:t>
            </w:r>
          </w:p>
        </w:tc>
        <w:tc>
          <w:tcPr>
            <w:tcW w:w="14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Normal</w:t>
            </w:r>
          </w:p>
        </w:tc>
      </w:tr>
      <w:tr>
        <w:trPr>
          <w:trHeight w:val="209"/>
        </w:trPr>
        <w:tc>
          <w:tcPr>
            <w:tcW w:w="3200" w:type="dxa"/>
            <w:vAlign w:val="bottom"/>
            <w:shd w:val="clear" w:color="auto" w:fill="CFF0FC"/>
          </w:tcPr>
          <w:p>
            <w:pPr>
              <w:jc w:val="center"/>
              <w:ind w:right="1479"/>
              <w:spacing w:after="0"/>
              <w:rPr>
                <w:sz w:val="20"/>
                <w:szCs w:val="20"/>
                <w:color w:val="auto"/>
              </w:rPr>
            </w:pPr>
            <w:r>
              <w:rPr>
                <w:rFonts w:ascii="Arial" w:cs="Arial" w:eastAsia="Arial" w:hAnsi="Arial"/>
                <w:sz w:val="16"/>
                <w:szCs w:val="16"/>
                <w:color w:val="auto"/>
              </w:rPr>
              <w:t>Heating Degree Days:</w:t>
            </w:r>
          </w:p>
        </w:tc>
        <w:tc>
          <w:tcPr>
            <w:tcW w:w="1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5"/>
        </w:trPr>
        <w:tc>
          <w:tcPr>
            <w:tcW w:w="3200" w:type="dxa"/>
            <w:vAlign w:val="bottom"/>
          </w:tcPr>
          <w:p>
            <w:pPr>
              <w:jc w:val="center"/>
              <w:ind w:right="1479"/>
              <w:spacing w:after="0"/>
              <w:rPr>
                <w:sz w:val="20"/>
                <w:szCs w:val="20"/>
                <w:color w:val="auto"/>
              </w:rPr>
            </w:pPr>
            <w:r>
              <w:rPr>
                <w:rFonts w:ascii="Arial" w:cs="Arial" w:eastAsia="Arial" w:hAnsi="Arial"/>
                <w:sz w:val="16"/>
                <w:szCs w:val="16"/>
                <w:color w:val="auto"/>
              </w:rPr>
              <w:t>Colorado Electric</w:t>
            </w:r>
          </w:p>
        </w:tc>
        <w:tc>
          <w:tcPr>
            <w:tcW w:w="1100" w:type="dxa"/>
            <w:vAlign w:val="bottom"/>
          </w:tcPr>
          <w:p>
            <w:pPr>
              <w:jc w:val="right"/>
              <w:spacing w:after="0"/>
              <w:rPr>
                <w:sz w:val="20"/>
                <w:szCs w:val="20"/>
                <w:color w:val="auto"/>
              </w:rPr>
            </w:pPr>
            <w:r>
              <w:rPr>
                <w:rFonts w:ascii="Arial" w:cs="Arial" w:eastAsia="Arial" w:hAnsi="Arial"/>
                <w:sz w:val="16"/>
                <w:szCs w:val="16"/>
                <w:color w:val="auto"/>
              </w:rPr>
              <w:t>5,551</w:t>
            </w:r>
          </w:p>
        </w:tc>
        <w:tc>
          <w:tcPr>
            <w:tcW w:w="1540" w:type="dxa"/>
            <w:vAlign w:val="bottom"/>
          </w:tcPr>
          <w:p>
            <w:pPr>
              <w:jc w:val="center"/>
              <w:ind w:left="219"/>
              <w:spacing w:after="0"/>
              <w:rPr>
                <w:sz w:val="20"/>
                <w:szCs w:val="20"/>
                <w:color w:val="auto"/>
              </w:rPr>
            </w:pPr>
            <w:r>
              <w:rPr>
                <w:rFonts w:ascii="Arial" w:cs="Arial" w:eastAsia="Arial" w:hAnsi="Arial"/>
                <w:sz w:val="16"/>
                <w:szCs w:val="16"/>
                <w:color w:val="auto"/>
              </w:rPr>
              <w:t>9%</w:t>
            </w:r>
          </w:p>
        </w:tc>
        <w:tc>
          <w:tcPr>
            <w:tcW w:w="1220" w:type="dxa"/>
            <w:vAlign w:val="bottom"/>
          </w:tcPr>
          <w:p>
            <w:pPr>
              <w:jc w:val="right"/>
              <w:spacing w:after="0"/>
              <w:rPr>
                <w:sz w:val="20"/>
                <w:szCs w:val="20"/>
                <w:color w:val="auto"/>
              </w:rPr>
            </w:pPr>
            <w:r>
              <w:rPr>
                <w:rFonts w:ascii="Arial" w:cs="Arial" w:eastAsia="Arial" w:hAnsi="Arial"/>
                <w:sz w:val="16"/>
                <w:szCs w:val="16"/>
                <w:color w:val="auto"/>
              </w:rPr>
              <w:t>5,023</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w w:val="98"/>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5,103</w:t>
            </w:r>
          </w:p>
        </w:tc>
        <w:tc>
          <w:tcPr>
            <w:tcW w:w="1480" w:type="dxa"/>
            <w:vAlign w:val="bottom"/>
          </w:tcPr>
          <w:p>
            <w:pPr>
              <w:jc w:val="center"/>
              <w:ind w:left="219"/>
              <w:spacing w:after="0"/>
              <w:rPr>
                <w:sz w:val="20"/>
                <w:szCs w:val="20"/>
                <w:color w:val="auto"/>
              </w:rPr>
            </w:pPr>
            <w:r>
              <w:rPr>
                <w:rFonts w:ascii="Arial" w:cs="Arial" w:eastAsia="Arial" w:hAnsi="Arial"/>
                <w:sz w:val="16"/>
                <w:szCs w:val="16"/>
                <w:color w:val="auto"/>
              </w:rPr>
              <w:t>(9)%</w:t>
            </w:r>
          </w:p>
        </w:tc>
      </w:tr>
      <w:tr>
        <w:trPr>
          <w:trHeight w:val="217"/>
        </w:trPr>
        <w:tc>
          <w:tcPr>
            <w:tcW w:w="32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7,495</w:t>
            </w:r>
          </w:p>
        </w:tc>
        <w:tc>
          <w:tcPr>
            <w:tcW w:w="154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6%</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6,819</w:t>
            </w:r>
          </w:p>
        </w:tc>
        <w:tc>
          <w:tcPr>
            <w:tcW w:w="16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(5)%</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6,910</w:t>
            </w:r>
          </w:p>
        </w:tc>
        <w:tc>
          <w:tcPr>
            <w:tcW w:w="148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(3)%</w:t>
            </w:r>
          </w:p>
        </w:tc>
      </w:tr>
      <w:tr>
        <w:trPr>
          <w:trHeight w:val="215"/>
        </w:trPr>
        <w:tc>
          <w:tcPr>
            <w:tcW w:w="3200" w:type="dxa"/>
            <w:vAlign w:val="bottom"/>
          </w:tcPr>
          <w:p>
            <w:pPr>
              <w:jc w:val="center"/>
              <w:ind w:right="1459"/>
              <w:spacing w:after="0"/>
              <w:rPr>
                <w:sz w:val="20"/>
                <w:szCs w:val="20"/>
                <w:color w:val="auto"/>
              </w:rPr>
            </w:pPr>
            <w:r>
              <w:rPr>
                <w:rFonts w:ascii="Arial" w:cs="Arial" w:eastAsia="Arial" w:hAnsi="Arial"/>
                <w:sz w:val="16"/>
                <w:szCs w:val="16"/>
                <w:color w:val="auto"/>
              </w:rPr>
              <w:t>Wyoming Electric</w:t>
            </w:r>
          </w:p>
        </w:tc>
        <w:tc>
          <w:tcPr>
            <w:tcW w:w="1100" w:type="dxa"/>
            <w:vAlign w:val="bottom"/>
          </w:tcPr>
          <w:p>
            <w:pPr>
              <w:jc w:val="right"/>
              <w:spacing w:after="0"/>
              <w:rPr>
                <w:sz w:val="20"/>
                <w:szCs w:val="20"/>
                <w:color w:val="auto"/>
              </w:rPr>
            </w:pPr>
            <w:r>
              <w:rPr>
                <w:rFonts w:ascii="Arial" w:cs="Arial" w:eastAsia="Arial" w:hAnsi="Arial"/>
                <w:sz w:val="16"/>
                <w:szCs w:val="16"/>
                <w:color w:val="auto"/>
              </w:rPr>
              <w:t>7,051</w:t>
            </w:r>
          </w:p>
        </w:tc>
        <w:tc>
          <w:tcPr>
            <w:tcW w:w="1540" w:type="dxa"/>
            <w:vAlign w:val="bottom"/>
          </w:tcPr>
          <w:p>
            <w:pPr>
              <w:jc w:val="center"/>
              <w:ind w:left="219"/>
              <w:spacing w:after="0"/>
              <w:rPr>
                <w:sz w:val="20"/>
                <w:szCs w:val="20"/>
                <w:color w:val="auto"/>
              </w:rPr>
            </w:pPr>
            <w:r>
              <w:rPr>
                <w:rFonts w:ascii="Arial" w:cs="Arial" w:eastAsia="Arial" w:hAnsi="Arial"/>
                <w:sz w:val="16"/>
                <w:szCs w:val="16"/>
                <w:color w:val="auto"/>
              </w:rPr>
              <w:t>3%</w:t>
            </w:r>
          </w:p>
        </w:tc>
        <w:tc>
          <w:tcPr>
            <w:tcW w:w="1220" w:type="dxa"/>
            <w:vAlign w:val="bottom"/>
          </w:tcPr>
          <w:p>
            <w:pPr>
              <w:jc w:val="right"/>
              <w:spacing w:after="0"/>
              <w:rPr>
                <w:sz w:val="20"/>
                <w:szCs w:val="20"/>
                <w:color w:val="auto"/>
              </w:rPr>
            </w:pPr>
            <w:r>
              <w:rPr>
                <w:rFonts w:ascii="Arial" w:cs="Arial" w:eastAsia="Arial" w:hAnsi="Arial"/>
                <w:sz w:val="16"/>
                <w:szCs w:val="16"/>
                <w:color w:val="auto"/>
              </w:rPr>
              <w:t>6,702</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rPr>
              <w:t>(6)%</w:t>
            </w:r>
          </w:p>
        </w:tc>
        <w:tc>
          <w:tcPr>
            <w:tcW w:w="1020" w:type="dxa"/>
            <w:vAlign w:val="bottom"/>
          </w:tcPr>
          <w:p>
            <w:pPr>
              <w:jc w:val="right"/>
              <w:spacing w:after="0"/>
              <w:rPr>
                <w:sz w:val="20"/>
                <w:szCs w:val="20"/>
                <w:color w:val="auto"/>
              </w:rPr>
            </w:pPr>
            <w:r>
              <w:rPr>
                <w:rFonts w:ascii="Arial" w:cs="Arial" w:eastAsia="Arial" w:hAnsi="Arial"/>
                <w:sz w:val="16"/>
                <w:szCs w:val="16"/>
                <w:color w:val="auto"/>
              </w:rPr>
              <w:t>6,771</w:t>
            </w:r>
          </w:p>
        </w:tc>
        <w:tc>
          <w:tcPr>
            <w:tcW w:w="1480" w:type="dxa"/>
            <w:vAlign w:val="bottom"/>
          </w:tcPr>
          <w:p>
            <w:pPr>
              <w:jc w:val="center"/>
              <w:ind w:left="219"/>
              <w:spacing w:after="0"/>
              <w:rPr>
                <w:sz w:val="20"/>
                <w:szCs w:val="20"/>
                <w:color w:val="auto"/>
              </w:rPr>
            </w:pPr>
            <w:r>
              <w:rPr>
                <w:rFonts w:ascii="Arial" w:cs="Arial" w:eastAsia="Arial" w:hAnsi="Arial"/>
                <w:sz w:val="16"/>
                <w:szCs w:val="16"/>
                <w:color w:val="auto"/>
              </w:rPr>
              <w:t>(5)%</w:t>
            </w:r>
          </w:p>
        </w:tc>
      </w:tr>
      <w:tr>
        <w:trPr>
          <w:trHeight w:val="217"/>
        </w:trPr>
        <w:tc>
          <w:tcPr>
            <w:tcW w:w="3200" w:type="dxa"/>
            <w:vAlign w:val="bottom"/>
            <w:shd w:val="clear" w:color="auto" w:fill="CFF0FC"/>
          </w:tcPr>
          <w:p>
            <w:pPr>
              <w:jc w:val="center"/>
              <w:ind w:right="1439"/>
              <w:spacing w:after="0" w:line="217" w:lineRule="exact"/>
              <w:rPr>
                <w:sz w:val="20"/>
                <w:szCs w:val="20"/>
                <w:color w:val="auto"/>
              </w:rPr>
            </w:pPr>
            <w:r>
              <w:rPr>
                <w:rFonts w:ascii="Arial" w:cs="Arial" w:eastAsia="Arial" w:hAnsi="Arial"/>
                <w:sz w:val="16"/>
                <w:szCs w:val="16"/>
                <w:color w:val="auto"/>
                <w:w w:val="97"/>
              </w:rPr>
              <w:t xml:space="preserve">Combined </w:t>
            </w:r>
            <w:r>
              <w:rPr>
                <w:rFonts w:ascii="Arial" w:cs="Arial" w:eastAsia="Arial" w:hAnsi="Arial"/>
                <w:sz w:val="21"/>
                <w:szCs w:val="21"/>
                <w:color w:val="auto"/>
                <w:w w:val="97"/>
                <w:vertAlign w:val="superscript"/>
              </w:rPr>
              <w:t>(a)</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w:t>
            </w:r>
          </w:p>
        </w:tc>
        <w:tc>
          <w:tcPr>
            <w:tcW w:w="154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6%</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5,974</w:t>
            </w:r>
          </w:p>
        </w:tc>
        <w:tc>
          <w:tcPr>
            <w:tcW w:w="16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(7)%</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6,056</w:t>
            </w:r>
          </w:p>
        </w:tc>
        <w:tc>
          <w:tcPr>
            <w:tcW w:w="148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(6)%</w:t>
            </w:r>
          </w:p>
        </w:tc>
      </w:tr>
      <w:tr>
        <w:trPr>
          <w:trHeight w:val="431"/>
        </w:trPr>
        <w:tc>
          <w:tcPr>
            <w:tcW w:w="3200" w:type="dxa"/>
            <w:vAlign w:val="bottom"/>
          </w:tcPr>
          <w:p>
            <w:pPr>
              <w:jc w:val="center"/>
              <w:ind w:right="1499"/>
              <w:spacing w:after="0"/>
              <w:rPr>
                <w:sz w:val="20"/>
                <w:szCs w:val="20"/>
                <w:color w:val="auto"/>
              </w:rPr>
            </w:pPr>
            <w:r>
              <w:rPr>
                <w:rFonts w:ascii="Arial" w:cs="Arial" w:eastAsia="Arial" w:hAnsi="Arial"/>
                <w:sz w:val="16"/>
                <w:szCs w:val="16"/>
                <w:color w:val="auto"/>
              </w:rPr>
              <w:t>Cooling Degree Days:</w:t>
            </w: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7"/>
        </w:trPr>
        <w:tc>
          <w:tcPr>
            <w:tcW w:w="3200" w:type="dxa"/>
            <w:vAlign w:val="bottom"/>
            <w:shd w:val="clear" w:color="auto" w:fill="CFF0FC"/>
          </w:tcPr>
          <w:p>
            <w:pPr>
              <w:jc w:val="center"/>
              <w:ind w:right="1479"/>
              <w:spacing w:after="0"/>
              <w:rPr>
                <w:sz w:val="20"/>
                <w:szCs w:val="20"/>
                <w:color w:val="auto"/>
              </w:rPr>
            </w:pPr>
            <w:r>
              <w:rPr>
                <w:rFonts w:ascii="Arial" w:cs="Arial" w:eastAsia="Arial" w:hAnsi="Arial"/>
                <w:sz w:val="16"/>
                <w:szCs w:val="16"/>
                <w:color w:val="auto"/>
              </w:rPr>
              <w:t>Colorado Electric</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1,362</w:t>
            </w:r>
          </w:p>
        </w:tc>
        <w:tc>
          <w:tcPr>
            <w:tcW w:w="154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rPr>
              <w:t>9%</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39%</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w:t>
            </w:r>
          </w:p>
        </w:tc>
        <w:tc>
          <w:tcPr>
            <w:tcW w:w="14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9"/>
              </w:rPr>
              <w:t>54%</w:t>
            </w:r>
          </w:p>
        </w:tc>
      </w:tr>
      <w:tr>
        <w:trPr>
          <w:trHeight w:val="215"/>
        </w:trPr>
        <w:tc>
          <w:tcPr>
            <w:tcW w:w="3200" w:type="dxa"/>
            <w:vAlign w:val="bottom"/>
          </w:tcPr>
          <w:p>
            <w:pPr>
              <w:ind w:left="200"/>
              <w:spacing w:after="0"/>
              <w:rPr>
                <w:sz w:val="20"/>
                <w:szCs w:val="20"/>
                <w:color w:val="auto"/>
              </w:rPr>
            </w:pPr>
            <w:r>
              <w:rPr>
                <w:rFonts w:ascii="Arial" w:cs="Arial" w:eastAsia="Arial" w:hAnsi="Arial"/>
                <w:sz w:val="16"/>
                <w:szCs w:val="16"/>
                <w:color w:val="auto"/>
              </w:rPr>
              <w:t>South Dakota Electric</w:t>
            </w:r>
          </w:p>
        </w:tc>
        <w:tc>
          <w:tcPr>
            <w:tcW w:w="1100" w:type="dxa"/>
            <w:vAlign w:val="bottom"/>
          </w:tcPr>
          <w:p>
            <w:pPr>
              <w:jc w:val="right"/>
              <w:spacing w:after="0"/>
              <w:rPr>
                <w:sz w:val="20"/>
                <w:szCs w:val="20"/>
                <w:color w:val="auto"/>
              </w:rPr>
            </w:pPr>
            <w:r>
              <w:rPr>
                <w:rFonts w:ascii="Arial" w:cs="Arial" w:eastAsia="Arial" w:hAnsi="Arial"/>
                <w:sz w:val="16"/>
                <w:szCs w:val="16"/>
                <w:color w:val="auto"/>
              </w:rPr>
              <w:t>814</w:t>
            </w:r>
          </w:p>
        </w:tc>
        <w:tc>
          <w:tcPr>
            <w:tcW w:w="1540" w:type="dxa"/>
            <w:vAlign w:val="bottom"/>
          </w:tcPr>
          <w:p>
            <w:pPr>
              <w:jc w:val="center"/>
              <w:ind w:left="219"/>
              <w:spacing w:after="0"/>
              <w:rPr>
                <w:sz w:val="20"/>
                <w:szCs w:val="20"/>
                <w:color w:val="auto"/>
              </w:rPr>
            </w:pPr>
            <w:r>
              <w:rPr>
                <w:rFonts w:ascii="Arial" w:cs="Arial" w:eastAsia="Arial" w:hAnsi="Arial"/>
                <w:sz w:val="16"/>
                <w:szCs w:val="16"/>
                <w:color w:val="auto"/>
                <w:w w:val="99"/>
              </w:rPr>
              <w:t>27%</w:t>
            </w:r>
          </w:p>
        </w:tc>
        <w:tc>
          <w:tcPr>
            <w:tcW w:w="1220" w:type="dxa"/>
            <w:vAlign w:val="bottom"/>
          </w:tcPr>
          <w:p>
            <w:pPr>
              <w:jc w:val="right"/>
              <w:spacing w:after="0"/>
              <w:rPr>
                <w:sz w:val="20"/>
                <w:szCs w:val="20"/>
                <w:color w:val="auto"/>
              </w:rPr>
            </w:pPr>
            <w:r>
              <w:rPr>
                <w:rFonts w:ascii="Arial" w:cs="Arial" w:eastAsia="Arial" w:hAnsi="Arial"/>
                <w:sz w:val="16"/>
                <w:szCs w:val="16"/>
                <w:color w:val="auto"/>
              </w:rPr>
              <w:t>827</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1020" w:type="dxa"/>
            <w:vAlign w:val="bottom"/>
          </w:tcPr>
          <w:p>
            <w:pPr>
              <w:jc w:val="right"/>
              <w:spacing w:after="0"/>
              <w:rPr>
                <w:sz w:val="20"/>
                <w:szCs w:val="20"/>
                <w:color w:val="auto"/>
              </w:rPr>
            </w:pPr>
            <w:r>
              <w:rPr>
                <w:rFonts w:ascii="Arial" w:cs="Arial" w:eastAsia="Arial" w:hAnsi="Arial"/>
                <w:sz w:val="16"/>
                <w:szCs w:val="16"/>
                <w:color w:val="auto"/>
              </w:rPr>
              <w:t>682</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rPr>
              <w:t>7%</w:t>
            </w:r>
          </w:p>
        </w:tc>
      </w:tr>
      <w:tr>
        <w:trPr>
          <w:trHeight w:val="217"/>
        </w:trPr>
        <w:tc>
          <w:tcPr>
            <w:tcW w:w="3200" w:type="dxa"/>
            <w:vAlign w:val="bottom"/>
            <w:shd w:val="clear" w:color="auto" w:fill="CFF0FC"/>
          </w:tcPr>
          <w:p>
            <w:pPr>
              <w:jc w:val="center"/>
              <w:ind w:right="1459"/>
              <w:spacing w:after="0"/>
              <w:rPr>
                <w:sz w:val="20"/>
                <w:szCs w:val="20"/>
                <w:color w:val="auto"/>
              </w:rPr>
            </w:pPr>
            <w:r>
              <w:rPr>
                <w:rFonts w:ascii="Arial" w:cs="Arial" w:eastAsia="Arial" w:hAnsi="Arial"/>
                <w:sz w:val="16"/>
                <w:szCs w:val="16"/>
                <w:color w:val="auto"/>
              </w:rPr>
              <w:t>Wyoming Electric</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1540" w:type="dxa"/>
            <w:vAlign w:val="bottom"/>
            <w:shd w:val="clear" w:color="auto" w:fill="CFF0FC"/>
          </w:tcPr>
          <w:p>
            <w:pPr>
              <w:jc w:val="center"/>
              <w:ind w:left="219"/>
              <w:spacing w:after="0"/>
              <w:rPr>
                <w:sz w:val="20"/>
                <w:szCs w:val="20"/>
                <w:color w:val="auto"/>
              </w:rPr>
            </w:pPr>
            <w:r>
              <w:rPr>
                <w:rFonts w:ascii="Arial" w:cs="Arial" w:eastAsia="Arial" w:hAnsi="Arial"/>
                <w:sz w:val="16"/>
                <w:szCs w:val="16"/>
                <w:color w:val="auto"/>
                <w:w w:val="99"/>
              </w:rPr>
              <w:t>47%</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w:t>
            </w:r>
          </w:p>
        </w:tc>
        <w:tc>
          <w:tcPr>
            <w:tcW w:w="1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74%</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4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9"/>
              </w:rPr>
              <w:t>71%</w:t>
            </w:r>
          </w:p>
        </w:tc>
      </w:tr>
      <w:tr>
        <w:trPr>
          <w:trHeight w:val="290"/>
        </w:trPr>
        <w:tc>
          <w:tcPr>
            <w:tcW w:w="3200" w:type="dxa"/>
            <w:vAlign w:val="bottom"/>
          </w:tcPr>
          <w:p>
            <w:pPr>
              <w:jc w:val="center"/>
              <w:ind w:right="1439"/>
              <w:spacing w:after="0"/>
              <w:rPr>
                <w:sz w:val="20"/>
                <w:szCs w:val="20"/>
                <w:color w:val="auto"/>
              </w:rPr>
            </w:pPr>
            <w:r>
              <w:rPr>
                <w:rFonts w:ascii="Arial" w:cs="Arial" w:eastAsia="Arial" w:hAnsi="Arial"/>
                <w:sz w:val="16"/>
                <w:szCs w:val="16"/>
                <w:color w:val="auto"/>
                <w:w w:val="97"/>
              </w:rPr>
              <w:t xml:space="preserve">Combined </w:t>
            </w:r>
            <w:r>
              <w:rPr>
                <w:rFonts w:ascii="Arial" w:cs="Arial" w:eastAsia="Arial" w:hAnsi="Arial"/>
                <w:sz w:val="21"/>
                <w:szCs w:val="21"/>
                <w:color w:val="auto"/>
                <w:w w:val="97"/>
                <w:vertAlign w:val="superscript"/>
              </w:rPr>
              <w:t>(a)</w:t>
            </w:r>
          </w:p>
        </w:tc>
        <w:tc>
          <w:tcPr>
            <w:tcW w:w="1100" w:type="dxa"/>
            <w:vAlign w:val="bottom"/>
          </w:tcPr>
          <w:p>
            <w:pPr>
              <w:jc w:val="right"/>
              <w:spacing w:after="0"/>
              <w:rPr>
                <w:sz w:val="20"/>
                <w:szCs w:val="20"/>
                <w:color w:val="auto"/>
              </w:rPr>
            </w:pPr>
            <w:r>
              <w:rPr>
                <w:rFonts w:ascii="Arial" w:cs="Arial" w:eastAsia="Arial" w:hAnsi="Arial"/>
                <w:sz w:val="16"/>
                <w:szCs w:val="16"/>
                <w:color w:val="auto"/>
              </w:rPr>
              <w:t>1,040</w:t>
            </w:r>
          </w:p>
        </w:tc>
        <w:tc>
          <w:tcPr>
            <w:tcW w:w="1540" w:type="dxa"/>
            <w:vAlign w:val="bottom"/>
          </w:tcPr>
          <w:p>
            <w:pPr>
              <w:jc w:val="center"/>
              <w:ind w:left="219"/>
              <w:spacing w:after="0"/>
              <w:rPr>
                <w:sz w:val="20"/>
                <w:szCs w:val="20"/>
                <w:color w:val="auto"/>
              </w:rPr>
            </w:pPr>
            <w:r>
              <w:rPr>
                <w:rFonts w:ascii="Arial" w:cs="Arial" w:eastAsia="Arial" w:hAnsi="Arial"/>
                <w:sz w:val="16"/>
                <w:szCs w:val="16"/>
                <w:color w:val="auto"/>
                <w:w w:val="99"/>
              </w:rPr>
              <w:t>18%</w:t>
            </w:r>
          </w:p>
        </w:tc>
        <w:tc>
          <w:tcPr>
            <w:tcW w:w="1220" w:type="dxa"/>
            <w:vAlign w:val="bottom"/>
          </w:tcPr>
          <w:p>
            <w:pPr>
              <w:jc w:val="right"/>
              <w:spacing w:after="0"/>
              <w:rPr>
                <w:sz w:val="20"/>
                <w:szCs w:val="20"/>
                <w:color w:val="auto"/>
              </w:rPr>
            </w:pPr>
            <w:r>
              <w:rPr>
                <w:rFonts w:ascii="Arial" w:cs="Arial" w:eastAsia="Arial" w:hAnsi="Arial"/>
                <w:sz w:val="16"/>
                <w:szCs w:val="16"/>
                <w:color w:val="auto"/>
              </w:rPr>
              <w:t>973</w:t>
            </w:r>
          </w:p>
        </w:tc>
        <w:tc>
          <w:tcPr>
            <w:tcW w:w="168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20" w:type="dxa"/>
            <w:vAlign w:val="bottom"/>
          </w:tcPr>
          <w:p>
            <w:pPr>
              <w:jc w:val="right"/>
              <w:spacing w:after="0"/>
              <w:rPr>
                <w:sz w:val="20"/>
                <w:szCs w:val="20"/>
                <w:color w:val="auto"/>
              </w:rPr>
            </w:pPr>
            <w:r>
              <w:rPr>
                <w:rFonts w:ascii="Arial" w:cs="Arial" w:eastAsia="Arial" w:hAnsi="Arial"/>
                <w:sz w:val="16"/>
                <w:szCs w:val="16"/>
                <w:color w:val="auto"/>
              </w:rPr>
              <w:t>985</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9"/>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Contracted generating facilities availability by fuel type </w:t>
            </w:r>
            <w:r>
              <w:rPr>
                <w:rFonts w:ascii="Arial" w:cs="Arial" w:eastAsia="Arial" w:hAnsi="Arial"/>
                <w:sz w:val="21"/>
                <w:szCs w:val="21"/>
                <w:b w:val="1"/>
                <w:bCs w:val="1"/>
                <w:color w:val="auto"/>
                <w:vertAlign w:val="superscript"/>
              </w:rPr>
              <w:t>(a)</w:t>
            </w:r>
          </w:p>
        </w:tc>
        <w:tc>
          <w:tcPr>
            <w:tcW w:w="3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2022</w:t>
            </w:r>
          </w:p>
        </w:tc>
        <w:tc>
          <w:tcPr>
            <w:tcW w:w="18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91.5 %</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86.7 %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94.3 %</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96.1 %</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95.5 %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84.6 %</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Wind</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93.7 %</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95.8 %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95.1 %</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94.4 %</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93.2 %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89.2 %</w:t>
            </w:r>
          </w:p>
        </w:tc>
        <w:tc>
          <w:tcPr>
            <w:tcW w:w="0" w:type="dxa"/>
            <w:vAlign w:val="bottom"/>
          </w:tcPr>
          <w:p>
            <w:pPr>
              <w:spacing w:after="0"/>
              <w:rPr>
                <w:sz w:val="1"/>
                <w:szCs w:val="1"/>
                <w:color w:val="auto"/>
              </w:rPr>
            </w:pPr>
          </w:p>
        </w:tc>
      </w:tr>
      <w:tr>
        <w:trPr>
          <w:trHeight w:val="432"/>
        </w:trPr>
        <w:tc>
          <w:tcPr>
            <w:tcW w:w="656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34.7 %</w:t>
            </w:r>
          </w:p>
        </w:tc>
        <w:tc>
          <w:tcPr>
            <w:tcW w:w="1800" w:type="dxa"/>
            <w:vAlign w:val="bottom"/>
          </w:tcPr>
          <w:p>
            <w:pPr>
              <w:jc w:val="right"/>
              <w:ind w:right="399"/>
              <w:spacing w:after="0"/>
              <w:rPr>
                <w:sz w:val="20"/>
                <w:szCs w:val="20"/>
                <w:color w:val="auto"/>
              </w:rPr>
            </w:pPr>
            <w:r>
              <w:rPr>
                <w:rFonts w:ascii="Arial" w:cs="Arial" w:eastAsia="Arial" w:hAnsi="Arial"/>
                <w:sz w:val="16"/>
                <w:szCs w:val="16"/>
                <w:color w:val="auto"/>
              </w:rPr>
              <w:t>34.0 %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19030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43"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II, and Wygen III and unplanned outages at Wygen I, Neil Simpson II and Wyodak Plant.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Gas Utilities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2022 vs 2021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2021 vs 2020</w:t>
            </w:r>
          </w:p>
        </w:tc>
      </w:tr>
      <w:tr>
        <w:trPr>
          <w:trHeight w:val="217"/>
        </w:trPr>
        <w:tc>
          <w:tcPr>
            <w:tcW w:w="3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Natural gas - regulated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1,584,634</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1,051,610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533,024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900,637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150,973</w:t>
            </w:r>
          </w:p>
        </w:tc>
      </w:tr>
      <w:tr>
        <w:trPr>
          <w:trHeight w:val="216"/>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 non-regulated services</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84,456</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73,255</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11,201</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74,033</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(778 )</w:t>
            </w:r>
          </w:p>
        </w:tc>
      </w:tr>
      <w:tr>
        <w:trPr>
          <w:trHeight w:val="210"/>
        </w:trPr>
        <w:tc>
          <w:tcPr>
            <w:tcW w:w="328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1,669,089</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1,124,865</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544,224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974,670</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150,195</w:t>
            </w:r>
          </w:p>
        </w:tc>
      </w:tr>
      <w:tr>
        <w:trPr>
          <w:trHeight w:val="210"/>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natural gas sold:</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3280" w:type="dxa"/>
            <w:vAlign w:val="bottom"/>
          </w:tcPr>
          <w:p>
            <w:pPr>
              <w:ind w:left="200"/>
              <w:spacing w:after="0"/>
              <w:rPr>
                <w:sz w:val="20"/>
                <w:szCs w:val="20"/>
                <w:color w:val="auto"/>
              </w:rPr>
            </w:pPr>
            <w:r>
              <w:rPr>
                <w:rFonts w:ascii="Arial" w:cs="Arial" w:eastAsia="Arial" w:hAnsi="Arial"/>
                <w:sz w:val="16"/>
                <w:szCs w:val="16"/>
                <w:color w:val="auto"/>
              </w:rPr>
              <w:t>Natural gas - regulated</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942,148</w:t>
            </w:r>
          </w:p>
        </w:tc>
        <w:tc>
          <w:tcPr>
            <w:tcW w:w="4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480,293</w:t>
            </w:r>
          </w:p>
        </w:tc>
        <w:tc>
          <w:tcPr>
            <w:tcW w:w="2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461,855</w:t>
            </w:r>
          </w:p>
        </w:tc>
        <w:tc>
          <w:tcPr>
            <w:tcW w:w="4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347,611</w:t>
            </w:r>
          </w:p>
        </w:tc>
        <w:tc>
          <w:tcPr>
            <w:tcW w:w="3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132,682</w:t>
            </w:r>
          </w:p>
        </w:tc>
      </w:tr>
      <w:tr>
        <w:trPr>
          <w:trHeight w:val="216"/>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 non-regulated services</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22,960</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14,445</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8,515</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7,034</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7,411</w:t>
            </w:r>
          </w:p>
        </w:tc>
      </w:tr>
      <w:tr>
        <w:trPr>
          <w:trHeight w:val="209"/>
        </w:trPr>
        <w:tc>
          <w:tcPr>
            <w:tcW w:w="3280" w:type="dxa"/>
            <w:vAlign w:val="bottom"/>
          </w:tcPr>
          <w:p>
            <w:pPr>
              <w:ind w:left="380"/>
              <w:spacing w:after="0"/>
              <w:rPr>
                <w:sz w:val="20"/>
                <w:szCs w:val="20"/>
                <w:color w:val="auto"/>
              </w:rPr>
            </w:pPr>
            <w:r>
              <w:rPr>
                <w:rFonts w:ascii="Arial" w:cs="Arial" w:eastAsia="Arial" w:hAnsi="Arial"/>
                <w:sz w:val="16"/>
                <w:szCs w:val="16"/>
                <w:color w:val="auto"/>
              </w:rPr>
              <w:t>Total cost of natural gas sold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965,108</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494,738</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470,370</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354,645</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140,093</w:t>
            </w:r>
          </w:p>
        </w:tc>
      </w:tr>
      <w:tr>
        <w:trPr>
          <w:trHeight w:val="210"/>
        </w:trPr>
        <w:tc>
          <w:tcPr>
            <w:tcW w:w="3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703,982</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630,127</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73,855</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620,025</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10,102</w:t>
            </w:r>
          </w:p>
        </w:tc>
      </w:tr>
      <w:tr>
        <w:trPr>
          <w:trHeight w:val="425"/>
        </w:trPr>
        <w:tc>
          <w:tcPr>
            <w:tcW w:w="32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345,143</w:t>
            </w:r>
          </w:p>
        </w:tc>
        <w:tc>
          <w:tcPr>
            <w:tcW w:w="46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314,810</w:t>
            </w:r>
          </w:p>
        </w:tc>
        <w:tc>
          <w:tcPr>
            <w:tcW w:w="22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30,333</w:t>
            </w:r>
          </w:p>
        </w:tc>
        <w:tc>
          <w:tcPr>
            <w:tcW w:w="44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303,577</w:t>
            </w:r>
          </w:p>
        </w:tc>
        <w:tc>
          <w:tcPr>
            <w:tcW w:w="30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11,233</w:t>
            </w: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114,679</w:t>
            </w:r>
          </w:p>
        </w:tc>
        <w:tc>
          <w:tcPr>
            <w:tcW w:w="4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104,160</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10,519</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100,559</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3,601</w:t>
            </w:r>
          </w:p>
        </w:tc>
      </w:tr>
      <w:tr>
        <w:trPr>
          <w:trHeight w:val="209"/>
        </w:trPr>
        <w:tc>
          <w:tcPr>
            <w:tcW w:w="32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459,822</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418,970</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40,852</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404,136</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14,834</w:t>
            </w:r>
          </w:p>
        </w:tc>
      </w:tr>
      <w:tr>
        <w:trPr>
          <w:trHeight w:val="210"/>
        </w:trPr>
        <w:tc>
          <w:tcPr>
            <w:tcW w:w="3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4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244,160</w:t>
            </w:r>
          </w:p>
        </w:tc>
        <w:tc>
          <w:tcPr>
            <w:tcW w:w="4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211,157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33,003</w:t>
            </w:r>
          </w:p>
        </w:tc>
        <w:tc>
          <w:tcPr>
            <w:tcW w:w="4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215,889</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(4,732 )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over the prior year as a result of:</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Weather</w:t>
      </w:r>
    </w:p>
    <w:p>
      <w:pPr>
        <w:ind w:left="120"/>
        <w:spacing w:after="0" w:line="229" w:lineRule="auto"/>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0" w:right="3200"/>
        <w:spacing w:after="0" w:line="279" w:lineRule="auto"/>
        <w:rPr>
          <w:sz w:val="20"/>
          <w:szCs w:val="20"/>
          <w:color w:val="auto"/>
        </w:rPr>
      </w:pPr>
      <w:r>
        <w:rPr>
          <w:rFonts w:ascii="Arial" w:cs="Arial" w:eastAsia="Arial" w:hAnsi="Arial"/>
          <w:sz w:val="16"/>
          <w:szCs w:val="16"/>
          <w:color w:val="auto"/>
        </w:rPr>
        <w:t xml:space="preserve">Prior year Black Hills Energy Services Winter Storm Uri costs </w:t>
      </w:r>
      <w:r>
        <w:rPr>
          <w:rFonts w:ascii="Arial" w:cs="Arial" w:eastAsia="Arial" w:hAnsi="Arial"/>
          <w:sz w:val="21"/>
          <w:szCs w:val="21"/>
          <w:color w:val="auto"/>
          <w:vertAlign w:val="superscript"/>
        </w:rPr>
        <w:t>(b)</w:t>
      </w:r>
      <w:r>
        <w:rPr>
          <w:rFonts w:ascii="Arial" w:cs="Arial" w:eastAsia="Arial" w:hAnsi="Arial"/>
          <w:sz w:val="16"/>
          <w:szCs w:val="16"/>
          <w:color w:val="auto"/>
        </w:rPr>
        <w:t xml:space="preserve"> Customer growth and increased usage per customer Mark-to-market on non-utility natural gas commodity contracts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1903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(in millions)</w:t>
            </w:r>
          </w:p>
        </w:tc>
      </w:tr>
      <w:tr>
        <w:trPr>
          <w:trHeight w:val="209"/>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30.0</w:t>
            </w:r>
          </w:p>
        </w:tc>
      </w:tr>
      <w:tr>
        <w:trPr>
          <w:trHeight w:val="215"/>
        </w:trPr>
        <w:tc>
          <w:tcPr>
            <w:tcW w:w="48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18.5</w:t>
            </w:r>
          </w:p>
        </w:tc>
      </w:tr>
      <w:tr>
        <w:trPr>
          <w:trHeight w:val="216"/>
        </w:trPr>
        <w:tc>
          <w:tcPr>
            <w:tcW w:w="48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17.9</w:t>
            </w:r>
          </w:p>
        </w:tc>
      </w:tr>
      <w:tr>
        <w:trPr>
          <w:trHeight w:val="216"/>
        </w:trPr>
        <w:tc>
          <w:tcPr>
            <w:tcW w:w="48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8.2</w:t>
            </w:r>
          </w:p>
        </w:tc>
      </w:tr>
      <w:tr>
        <w:trPr>
          <w:trHeight w:val="216"/>
        </w:trPr>
        <w:tc>
          <w:tcPr>
            <w:tcW w:w="480" w:type="dxa"/>
            <w:vAlign w:val="bottom"/>
          </w:tcPr>
          <w:p>
            <w:pPr>
              <w:spacing w:after="0"/>
              <w:rPr>
                <w:sz w:val="18"/>
                <w:szCs w:val="18"/>
                <w:color w:val="auto"/>
              </w:rPr>
            </w:pP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16"/>
        </w:trPr>
        <w:tc>
          <w:tcPr>
            <w:tcW w:w="4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7"/>
        </w:trPr>
        <w:tc>
          <w:tcPr>
            <w:tcW w:w="4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660"/>
          </w:cols>
          <w:pgMar w:left="320" w:top="125" w:right="339" w:bottom="1440" w:gutter="0" w:footer="0" w:header="0"/>
          <w:type w:val="continuous"/>
        </w:sectPr>
      </w:pPr>
    </w:p>
    <w:p>
      <w:pPr>
        <w:spacing w:after="0" w:line="47" w:lineRule="exact"/>
        <w:rPr>
          <w:sz w:val="20"/>
          <w:szCs w:val="20"/>
          <w:color w:val="auto"/>
        </w:rPr>
      </w:pPr>
    </w:p>
    <w:p>
      <w:pPr>
        <w:ind w:left="520" w:right="20" w:hanging="512"/>
        <w:spacing w:after="0" w:line="248"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Additionally, the carrying costs accrued during the year ended December 31, 2022 included a one-time, $10.3 million true-up to reflect commission authorized rates. See </w:t>
      </w:r>
      <w:r>
        <w:rPr>
          <w:rFonts w:ascii="Arial" w:cs="Arial" w:eastAsia="Arial" w:hAnsi="Arial"/>
          <w:sz w:val="14"/>
          <w:szCs w:val="14"/>
          <w:u w:val="single" w:color="auto"/>
          <w:color w:val="0000FF"/>
        </w:rPr>
        <w:t>Note 2</w:t>
      </w:r>
      <w:r>
        <w:rPr>
          <w:rFonts w:ascii="Arial" w:cs="Arial" w:eastAsia="Arial" w:hAnsi="Arial"/>
          <w:sz w:val="14"/>
          <w:szCs w:val="14"/>
          <w:color w:val="0000FF"/>
        </w:rPr>
        <w:t xml:space="preserve"> </w:t>
      </w:r>
      <w:r>
        <w:rPr>
          <w:rFonts w:ascii="Arial" w:cs="Arial" w:eastAsia="Arial" w:hAnsi="Arial"/>
          <w:sz w:val="14"/>
          <w:szCs w:val="14"/>
          <w:color w:val="000000"/>
        </w:rPr>
        <w:t>of the Notes to Consolidated Financial Statements in this Annual Report on Form 10-K for additional details.</w:t>
      </w:r>
    </w:p>
    <w:p>
      <w:pPr>
        <w:ind w:left="520" w:right="80" w:hanging="512"/>
        <w:spacing w:after="0" w:line="264" w:lineRule="auto"/>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was not recoverable through a regulatory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-235585</wp:posOffset>
            </wp:positionV>
            <wp:extent cx="2692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due to $11.6 million of higher outside services and materials expenses driven primarily by higher contractor and consultant fees, $5.0 million of increased bad debt expense primarily attributable to higher customer billings, $4.6 million of higher cloud computing licensing costs, $3.2 million of higher property taxes driven by a higher asset base on recent capital expenditures, $2.1 million of higher vehicle expense driven by higher fuel costs, $1.6 million of higher employee-related expenses and $1.2 million increased travel and training expenses.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 (in thousands)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Quantities Sold and Transported (Dth)</w:t>
            </w:r>
          </w:p>
        </w:tc>
      </w:tr>
      <w:tr>
        <w:trPr>
          <w:trHeight w:val="187"/>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For the year ended December 31,</w:t>
            </w: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185"/>
        </w:trPr>
        <w:tc>
          <w:tcPr>
            <w:tcW w:w="3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7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940,201</w:t>
            </w:r>
          </w:p>
        </w:tc>
        <w:tc>
          <w:tcPr>
            <w:tcW w:w="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613,475</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527,518</w:t>
            </w:r>
          </w:p>
        </w:tc>
        <w:tc>
          <w:tcPr>
            <w:tcW w:w="1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66,915,630</w:t>
            </w:r>
          </w:p>
        </w:tc>
        <w:tc>
          <w:tcPr>
            <w:tcW w:w="170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60,080,805</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61,962,171</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398,585</w:t>
            </w:r>
          </w:p>
        </w:tc>
        <w:tc>
          <w:tcPr>
            <w:tcW w:w="34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242,115</w:t>
            </w:r>
          </w:p>
        </w:tc>
        <w:tc>
          <w:tcPr>
            <w:tcW w:w="160" w:type="dxa"/>
            <w:vAlign w:val="bottom"/>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193,017</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32,362,343</w:t>
            </w:r>
          </w:p>
        </w:tc>
        <w:tc>
          <w:tcPr>
            <w:tcW w:w="1700" w:type="dxa"/>
            <w:vAlign w:val="bottom"/>
          </w:tcPr>
          <w:p>
            <w:pPr>
              <w:jc w:val="right"/>
              <w:ind w:right="508"/>
              <w:spacing w:after="0"/>
              <w:rPr>
                <w:sz w:val="20"/>
                <w:szCs w:val="20"/>
                <w:color w:val="auto"/>
              </w:rPr>
            </w:pPr>
            <w:r>
              <w:rPr>
                <w:rFonts w:ascii="Arial" w:cs="Arial" w:eastAsia="Arial" w:hAnsi="Arial"/>
                <w:sz w:val="14"/>
                <w:szCs w:val="14"/>
                <w:color w:val="auto"/>
              </w:rPr>
              <w:t>29,091,657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28,784,319</w:t>
            </w: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Industrial</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63,035</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33,368</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24,014</w:t>
            </w:r>
          </w:p>
        </w:tc>
        <w:tc>
          <w:tcPr>
            <w:tcW w:w="1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7,667,231</w:t>
            </w:r>
          </w:p>
        </w:tc>
        <w:tc>
          <w:tcPr>
            <w:tcW w:w="170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6,260,235</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6,881,354</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8,693</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3,816</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582</w:t>
            </w: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r>
      <w:tr>
        <w:trPr>
          <w:trHeight w:val="183"/>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Distribution</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1,410,514</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892,774</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745,131</w:t>
            </w:r>
          </w:p>
        </w:tc>
        <w:tc>
          <w:tcPr>
            <w:tcW w:w="1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106,945,204</w:t>
            </w:r>
          </w:p>
        </w:tc>
        <w:tc>
          <w:tcPr>
            <w:tcW w:w="170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95,432,697</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97,627,844</w:t>
            </w:r>
          </w:p>
        </w:tc>
      </w:tr>
      <w:tr>
        <w:trPr>
          <w:trHeight w:val="383"/>
        </w:trPr>
        <w:tc>
          <w:tcPr>
            <w:tcW w:w="3580" w:type="dxa"/>
            <w:vAlign w:val="bottom"/>
          </w:tcPr>
          <w:p>
            <w:pPr>
              <w:ind w:left="20"/>
              <w:spacing w:after="0"/>
              <w:rPr>
                <w:sz w:val="20"/>
                <w:szCs w:val="20"/>
                <w:color w:val="auto"/>
              </w:rPr>
            </w:pPr>
            <w:r>
              <w:rPr>
                <w:rFonts w:ascii="Arial" w:cs="Arial" w:eastAsia="Arial" w:hAnsi="Arial"/>
                <w:sz w:val="14"/>
                <w:szCs w:val="14"/>
                <w:color w:val="auto"/>
              </w:rPr>
              <w:t>Transportation and Transmission</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174,120</w:t>
            </w:r>
          </w:p>
        </w:tc>
        <w:tc>
          <w:tcPr>
            <w:tcW w:w="340" w:type="dxa"/>
            <w:vAlign w:val="bottom"/>
          </w:tcPr>
          <w:p>
            <w:pPr>
              <w:spacing w:after="0"/>
              <w:rPr>
                <w:sz w:val="24"/>
                <w:szCs w:val="24"/>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158,836</w:t>
            </w:r>
          </w:p>
        </w:tc>
        <w:tc>
          <w:tcPr>
            <w:tcW w:w="160" w:type="dxa"/>
            <w:vAlign w:val="bottom"/>
          </w:tcPr>
          <w:p>
            <w:pPr>
              <w:spacing w:after="0"/>
              <w:rPr>
                <w:sz w:val="24"/>
                <w:szCs w:val="2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155,506</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160,917,802</w:t>
            </w:r>
          </w:p>
        </w:tc>
        <w:tc>
          <w:tcPr>
            <w:tcW w:w="1700" w:type="dxa"/>
            <w:vAlign w:val="bottom"/>
          </w:tcPr>
          <w:p>
            <w:pPr>
              <w:jc w:val="right"/>
              <w:ind w:right="508"/>
              <w:spacing w:after="0"/>
              <w:rPr>
                <w:sz w:val="20"/>
                <w:szCs w:val="20"/>
                <w:color w:val="auto"/>
              </w:rPr>
            </w:pPr>
            <w:r>
              <w:rPr>
                <w:rFonts w:ascii="Arial" w:cs="Arial" w:eastAsia="Arial" w:hAnsi="Arial"/>
                <w:sz w:val="14"/>
                <w:szCs w:val="14"/>
                <w:color w:val="auto"/>
              </w:rPr>
              <w:t>154,570,280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149,062,476</w:t>
            </w:r>
          </w:p>
        </w:tc>
      </w:tr>
      <w:tr>
        <w:trPr>
          <w:trHeight w:val="183"/>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3"/>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Regulated</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1,584,634</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1,051,610</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900,637</w:t>
            </w:r>
          </w:p>
        </w:tc>
        <w:tc>
          <w:tcPr>
            <w:tcW w:w="1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267,863,006</w:t>
            </w:r>
          </w:p>
        </w:tc>
        <w:tc>
          <w:tcPr>
            <w:tcW w:w="170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250,002,977</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246,690,320</w:t>
            </w:r>
          </w:p>
        </w:tc>
      </w:tr>
      <w:tr>
        <w:trPr>
          <w:trHeight w:val="431"/>
        </w:trPr>
        <w:tc>
          <w:tcPr>
            <w:tcW w:w="3580" w:type="dxa"/>
            <w:vAlign w:val="bottom"/>
          </w:tcPr>
          <w:p>
            <w:pPr>
              <w:ind w:left="20"/>
              <w:spacing w:after="0"/>
              <w:rPr>
                <w:sz w:val="20"/>
                <w:szCs w:val="20"/>
                <w:color w:val="auto"/>
              </w:rPr>
            </w:pPr>
            <w:r>
              <w:rPr>
                <w:rFonts w:ascii="Arial" w:cs="Arial" w:eastAsia="Arial" w:hAnsi="Arial"/>
                <w:sz w:val="14"/>
                <w:szCs w:val="14"/>
                <w:color w:val="auto"/>
              </w:rPr>
              <w:t xml:space="preserve">Non-regulated Services </w:t>
            </w:r>
            <w:r>
              <w:rPr>
                <w:rFonts w:ascii="Arial" w:cs="Arial" w:eastAsia="Arial" w:hAnsi="Arial"/>
                <w:sz w:val="19"/>
                <w:szCs w:val="19"/>
                <w:color w:val="auto"/>
                <w:vertAlign w:val="superscript"/>
              </w:rPr>
              <w:t>(a)</w:t>
            </w:r>
          </w:p>
        </w:tc>
        <w:tc>
          <w:tcPr>
            <w:tcW w:w="22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84,456</w:t>
            </w:r>
          </w:p>
        </w:tc>
        <w:tc>
          <w:tcPr>
            <w:tcW w:w="340" w:type="dxa"/>
            <w:vAlign w:val="bottom"/>
          </w:tcPr>
          <w:p>
            <w:pPr>
              <w:spacing w:after="0"/>
              <w:rPr>
                <w:sz w:val="24"/>
                <w:szCs w:val="24"/>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color w:val="auto"/>
              </w:rPr>
              <w:t>73,255</w:t>
            </w:r>
          </w:p>
        </w:tc>
        <w:tc>
          <w:tcPr>
            <w:tcW w:w="160" w:type="dxa"/>
            <w:vAlign w:val="bottom"/>
          </w:tcPr>
          <w:p>
            <w:pPr>
              <w:spacing w:after="0"/>
              <w:rPr>
                <w:sz w:val="24"/>
                <w:szCs w:val="2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74,033</w:t>
            </w:r>
          </w:p>
        </w:tc>
        <w:tc>
          <w:tcPr>
            <w:tcW w:w="13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36"/>
        </w:trPr>
        <w:tc>
          <w:tcPr>
            <w:tcW w:w="35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223"/>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1,669,089</w:t>
            </w: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1,124,865</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974,670</w:t>
            </w:r>
          </w:p>
        </w:tc>
        <w:tc>
          <w:tcPr>
            <w:tcW w:w="1380" w:type="dxa"/>
            <w:vAlign w:val="bottom"/>
            <w:tcBorders>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rPr>
              <w:t>267,863,006</w:t>
            </w:r>
          </w:p>
        </w:tc>
        <w:tc>
          <w:tcPr>
            <w:tcW w:w="170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rPr>
              <w:t>250,002,977</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246,690,320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 (in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Quantities Sold and Transported (Dth)</w:t>
            </w:r>
          </w:p>
        </w:tc>
      </w:tr>
      <w:tr>
        <w:trPr>
          <w:trHeight w:val="187"/>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5"/>
          </w:tcPr>
          <w:p>
            <w:pPr>
              <w:jc w:val="right"/>
              <w:ind w:right="768"/>
              <w:spacing w:after="0"/>
              <w:rPr>
                <w:sz w:val="20"/>
                <w:szCs w:val="20"/>
                <w:color w:val="auto"/>
              </w:rPr>
            </w:pPr>
            <w:r>
              <w:rPr>
                <w:rFonts w:ascii="Arial" w:cs="Arial" w:eastAsia="Arial" w:hAnsi="Arial"/>
                <w:sz w:val="14"/>
                <w:szCs w:val="14"/>
                <w:b w:val="1"/>
                <w:bCs w:val="1"/>
                <w:color w:val="auto"/>
              </w:rPr>
              <w:t>For the year ended December 31,</w:t>
            </w:r>
          </w:p>
        </w:tc>
        <w:tc>
          <w:tcPr>
            <w:tcW w:w="39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rPr>
              <w:t>For the year ended December 31,</w:t>
            </w:r>
          </w:p>
        </w:tc>
      </w:tr>
      <w:tr>
        <w:trPr>
          <w:trHeight w:val="185"/>
        </w:trPr>
        <w:tc>
          <w:tcPr>
            <w:tcW w:w="3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Arkansas Gas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311,239</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218,497</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184,849</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32,282,324</w:t>
            </w:r>
          </w:p>
        </w:tc>
        <w:tc>
          <w:tcPr>
            <w:tcW w:w="1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31,478,303</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28,572,621</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Colorado Gas</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320,890</w:t>
            </w:r>
          </w:p>
        </w:tc>
        <w:tc>
          <w:tcPr>
            <w:tcW w:w="360" w:type="dxa"/>
            <w:vAlign w:val="bottom"/>
          </w:tcPr>
          <w:p>
            <w:pPr>
              <w:spacing w:after="0"/>
              <w:rPr>
                <w:sz w:val="16"/>
                <w:szCs w:val="16"/>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208,019</w:t>
            </w:r>
          </w:p>
        </w:tc>
        <w:tc>
          <w:tcPr>
            <w:tcW w:w="20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186,085</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34,343,485</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32,247,042</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32,077,083</w:t>
            </w: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Iowa Gas</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283,938</w:t>
            </w: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171,673</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137,982</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40,883,742</w:t>
            </w:r>
          </w:p>
        </w:tc>
        <w:tc>
          <w:tcPr>
            <w:tcW w:w="1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38,022,801</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36,824,548</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Kansas Gas</w:t>
            </w:r>
          </w:p>
        </w:tc>
        <w:tc>
          <w:tcPr>
            <w:tcW w:w="2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191,392</w:t>
            </w:r>
          </w:p>
        </w:tc>
        <w:tc>
          <w:tcPr>
            <w:tcW w:w="360" w:type="dxa"/>
            <w:vAlign w:val="bottom"/>
          </w:tcPr>
          <w:p>
            <w:pPr>
              <w:spacing w:after="0"/>
              <w:rPr>
                <w:sz w:val="16"/>
                <w:szCs w:val="16"/>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121,603</w:t>
            </w:r>
          </w:p>
        </w:tc>
        <w:tc>
          <w:tcPr>
            <w:tcW w:w="200" w:type="dxa"/>
            <w:vAlign w:val="bottom"/>
          </w:tcPr>
          <w:p>
            <w:pPr>
              <w:spacing w:after="0"/>
              <w:rPr>
                <w:sz w:val="16"/>
                <w:szCs w:val="16"/>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101,118</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38,630,944</w:t>
            </w:r>
          </w:p>
        </w:tc>
        <w:tc>
          <w:tcPr>
            <w:tcW w:w="1400" w:type="dxa"/>
            <w:vAlign w:val="bottom"/>
          </w:tcPr>
          <w:p>
            <w:pPr>
              <w:jc w:val="right"/>
              <w:ind w:right="228"/>
              <w:spacing w:after="0"/>
              <w:rPr>
                <w:sz w:val="20"/>
                <w:szCs w:val="20"/>
                <w:color w:val="auto"/>
              </w:rPr>
            </w:pPr>
            <w:r>
              <w:rPr>
                <w:rFonts w:ascii="Arial" w:cs="Arial" w:eastAsia="Arial" w:hAnsi="Arial"/>
                <w:sz w:val="14"/>
                <w:szCs w:val="14"/>
                <w:color w:val="auto"/>
              </w:rPr>
              <w:t>34,475,799</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33,732,897</w:t>
            </w:r>
          </w:p>
        </w:tc>
      </w:tr>
      <w:tr>
        <w:trPr>
          <w:trHeight w:val="189"/>
        </w:trPr>
        <w:tc>
          <w:tcPr>
            <w:tcW w:w="3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Nebraska Gas</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384,823</w:t>
            </w: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273,361</w:t>
            </w: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246,381</w:t>
            </w:r>
          </w:p>
        </w:tc>
        <w:tc>
          <w:tcPr>
            <w:tcW w:w="13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85,050,323</w:t>
            </w:r>
          </w:p>
        </w:tc>
        <w:tc>
          <w:tcPr>
            <w:tcW w:w="1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81,035,572</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80,202,783</w:t>
            </w: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Wyoming Gas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176,807</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131,712</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118,255</w:t>
            </w:r>
          </w:p>
        </w:tc>
        <w:tc>
          <w:tcPr>
            <w:tcW w:w="13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36,672,188</w:t>
            </w: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32,743,460</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35,280,388</w:t>
            </w:r>
          </w:p>
        </w:tc>
      </w:tr>
      <w:tr>
        <w:trPr>
          <w:trHeight w:val="223"/>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and Quantities Sold</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1,669,089</w:t>
            </w:r>
          </w:p>
        </w:tc>
        <w:tc>
          <w:tcPr>
            <w:tcW w:w="3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1,124,865</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974,670</w:t>
            </w:r>
          </w:p>
        </w:tc>
        <w:tc>
          <w:tcPr>
            <w:tcW w:w="13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267,863,006</w:t>
            </w:r>
          </w:p>
        </w:tc>
        <w:tc>
          <w:tcPr>
            <w:tcW w:w="14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rPr>
              <w:t>250,002,977</w:t>
            </w: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246,690,320</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1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For the year ended December 31,</w:t>
            </w: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7"/>
        </w:trPr>
        <w:tc>
          <w:tcPr>
            <w:tcW w:w="22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w w:val="95"/>
              </w:rPr>
              <w:t>2021</w:t>
            </w:r>
          </w:p>
        </w:tc>
        <w:tc>
          <w:tcPr>
            <w:tcW w:w="1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w w:val="95"/>
              </w:rPr>
              <w:t>2020</w:t>
            </w:r>
          </w:p>
        </w:tc>
      </w:tr>
      <w:tr>
        <w:trPr>
          <w:trHeight w:val="182"/>
        </w:trPr>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700" w:type="dxa"/>
            <w:vAlign w:val="bottom"/>
          </w:tcPr>
          <w:p>
            <w:pPr>
              <w:jc w:val="center"/>
              <w:ind w:left="119"/>
              <w:spacing w:after="0" w:line="182" w:lineRule="exact"/>
              <w:rPr>
                <w:sz w:val="20"/>
                <w:szCs w:val="20"/>
                <w:color w:val="auto"/>
              </w:rPr>
            </w:pPr>
            <w:r>
              <w:rPr>
                <w:rFonts w:ascii="Arial" w:cs="Arial" w:eastAsia="Arial" w:hAnsi="Arial"/>
                <w:sz w:val="16"/>
                <w:szCs w:val="16"/>
                <w:b w:val="1"/>
                <w:bCs w:val="1"/>
                <w:color w:val="auto"/>
                <w:w w:val="98"/>
              </w:rPr>
              <w:t>Variance From</w:t>
            </w:r>
          </w:p>
        </w:tc>
        <w:tc>
          <w:tcPr>
            <w:tcW w:w="1320" w:type="dxa"/>
            <w:vAlign w:val="bottom"/>
          </w:tcPr>
          <w:p>
            <w:pPr>
              <w:spacing w:after="0"/>
              <w:rPr>
                <w:sz w:val="15"/>
                <w:szCs w:val="15"/>
                <w:color w:val="auto"/>
              </w:rPr>
            </w:pPr>
          </w:p>
        </w:tc>
        <w:tc>
          <w:tcPr>
            <w:tcW w:w="17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1180" w:type="dxa"/>
            <w:vAlign w:val="bottom"/>
          </w:tcPr>
          <w:p>
            <w:pPr>
              <w:spacing w:after="0"/>
              <w:rPr>
                <w:sz w:val="15"/>
                <w:szCs w:val="15"/>
                <w:color w:val="auto"/>
              </w:rPr>
            </w:pPr>
          </w:p>
        </w:tc>
        <w:tc>
          <w:tcPr>
            <w:tcW w:w="1620" w:type="dxa"/>
            <w:vAlign w:val="bottom"/>
          </w:tcPr>
          <w:p>
            <w:pPr>
              <w:jc w:val="center"/>
              <w:ind w:left="119"/>
              <w:spacing w:after="0" w:line="182" w:lineRule="exact"/>
              <w:rPr>
                <w:sz w:val="20"/>
                <w:szCs w:val="20"/>
                <w:color w:val="auto"/>
              </w:rPr>
            </w:pPr>
            <w:r>
              <w:rPr>
                <w:rFonts w:ascii="Arial" w:cs="Arial" w:eastAsia="Arial" w:hAnsi="Arial"/>
                <w:sz w:val="16"/>
                <w:szCs w:val="16"/>
                <w:b w:val="1"/>
                <w:bCs w:val="1"/>
                <w:color w:val="auto"/>
                <w:w w:val="98"/>
              </w:rPr>
              <w:t>Variance From</w:t>
            </w:r>
          </w:p>
        </w:tc>
      </w:tr>
      <w:tr>
        <w:trPr>
          <w:trHeight w:val="217"/>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Heating Degree Days</w:t>
            </w: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17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Normal</w:t>
            </w: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16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Normal</w:t>
            </w:r>
          </w:p>
        </w:tc>
      </w:tr>
      <w:tr>
        <w:trPr>
          <w:trHeight w:val="210"/>
        </w:trPr>
        <w:tc>
          <w:tcPr>
            <w:tcW w:w="22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3,844</w:t>
            </w:r>
          </w:p>
        </w:tc>
        <w:tc>
          <w:tcPr>
            <w:tcW w:w="1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4"/>
              </w:rPr>
              <w:t>2%</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w:t>
            </w:r>
          </w:p>
        </w:tc>
        <w:tc>
          <w:tcPr>
            <w:tcW w:w="1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(12)%</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3,442</w:t>
            </w:r>
          </w:p>
        </w:tc>
        <w:tc>
          <w:tcPr>
            <w:tcW w:w="16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8"/>
              </w:rPr>
              <w:t>(15)%</w:t>
            </w: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380" w:type="dxa"/>
            <w:vAlign w:val="bottom"/>
          </w:tcPr>
          <w:p>
            <w:pPr>
              <w:jc w:val="right"/>
              <w:spacing w:after="0"/>
              <w:rPr>
                <w:sz w:val="20"/>
                <w:szCs w:val="20"/>
                <w:color w:val="auto"/>
              </w:rPr>
            </w:pPr>
            <w:r>
              <w:rPr>
                <w:rFonts w:ascii="Arial" w:cs="Arial" w:eastAsia="Arial" w:hAnsi="Arial"/>
                <w:sz w:val="16"/>
                <w:szCs w:val="16"/>
                <w:color w:val="auto"/>
              </w:rPr>
              <w:t>6,325</w:t>
            </w:r>
          </w:p>
        </w:tc>
        <w:tc>
          <w:tcPr>
            <w:tcW w:w="1700" w:type="dxa"/>
            <w:vAlign w:val="bottom"/>
          </w:tcPr>
          <w:p>
            <w:pPr>
              <w:jc w:val="center"/>
              <w:ind w:left="159"/>
              <w:spacing w:after="0"/>
              <w:rPr>
                <w:sz w:val="20"/>
                <w:szCs w:val="20"/>
                <w:color w:val="auto"/>
              </w:rPr>
            </w:pPr>
            <w:r>
              <w:rPr>
                <w:rFonts w:ascii="Arial" w:cs="Arial" w:eastAsia="Arial" w:hAnsi="Arial"/>
                <w:sz w:val="16"/>
                <w:szCs w:val="16"/>
                <w:color w:val="auto"/>
                <w:w w:val="94"/>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5,866</w:t>
            </w: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1180" w:type="dxa"/>
            <w:vAlign w:val="bottom"/>
          </w:tcPr>
          <w:p>
            <w:pPr>
              <w:jc w:val="right"/>
              <w:spacing w:after="0"/>
              <w:rPr>
                <w:sz w:val="20"/>
                <w:szCs w:val="20"/>
                <w:color w:val="auto"/>
              </w:rPr>
            </w:pPr>
            <w:r>
              <w:rPr>
                <w:rFonts w:ascii="Arial" w:cs="Arial" w:eastAsia="Arial" w:hAnsi="Arial"/>
                <w:sz w:val="16"/>
                <w:szCs w:val="16"/>
                <w:color w:val="auto"/>
              </w:rPr>
              <w:t>6,068</w:t>
            </w:r>
          </w:p>
        </w:tc>
        <w:tc>
          <w:tcPr>
            <w:tcW w:w="1620" w:type="dxa"/>
            <w:vAlign w:val="bottom"/>
          </w:tcPr>
          <w:p>
            <w:pPr>
              <w:jc w:val="center"/>
              <w:ind w:left="159"/>
              <w:spacing w:after="0"/>
              <w:rPr>
                <w:sz w:val="20"/>
                <w:szCs w:val="20"/>
                <w:color w:val="auto"/>
              </w:rPr>
            </w:pPr>
            <w:r>
              <w:rPr>
                <w:rFonts w:ascii="Arial" w:cs="Arial" w:eastAsia="Arial" w:hAnsi="Arial"/>
                <w:sz w:val="16"/>
                <w:szCs w:val="16"/>
                <w:color w:val="auto"/>
              </w:rPr>
              <w:t>(8)%</w:t>
            </w:r>
          </w:p>
        </w:tc>
      </w:tr>
      <w:tr>
        <w:trPr>
          <w:trHeight w:val="217"/>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7,037</w:t>
            </w:r>
          </w:p>
        </w:tc>
        <w:tc>
          <w:tcPr>
            <w:tcW w:w="1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4"/>
              </w:rPr>
              <w:t>7%</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6,239</w:t>
            </w:r>
          </w:p>
        </w:tc>
        <w:tc>
          <w:tcPr>
            <w:tcW w:w="1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6,504</w:t>
            </w:r>
          </w:p>
        </w:tc>
        <w:tc>
          <w:tcPr>
            <w:tcW w:w="16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(4)%</w:t>
            </w:r>
          </w:p>
        </w:tc>
      </w:tr>
      <w:tr>
        <w:trPr>
          <w:trHeight w:val="216"/>
        </w:trPr>
        <w:tc>
          <w:tcPr>
            <w:tcW w:w="22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380" w:type="dxa"/>
            <w:vAlign w:val="bottom"/>
          </w:tcPr>
          <w:p>
            <w:pPr>
              <w:jc w:val="right"/>
              <w:spacing w:after="0"/>
              <w:rPr>
                <w:sz w:val="20"/>
                <w:szCs w:val="20"/>
                <w:color w:val="auto"/>
              </w:rPr>
            </w:pPr>
            <w:r>
              <w:rPr>
                <w:rFonts w:ascii="Arial" w:cs="Arial" w:eastAsia="Arial" w:hAnsi="Arial"/>
                <w:sz w:val="16"/>
                <w:szCs w:val="16"/>
                <w:color w:val="auto"/>
              </w:rPr>
              <w:t>4,968</w:t>
            </w:r>
          </w:p>
        </w:tc>
        <w:tc>
          <w:tcPr>
            <w:tcW w:w="1700" w:type="dxa"/>
            <w:vAlign w:val="bottom"/>
          </w:tcPr>
          <w:p>
            <w:pPr>
              <w:jc w:val="center"/>
              <w:ind w:left="159"/>
              <w:spacing w:after="0"/>
              <w:rPr>
                <w:sz w:val="20"/>
                <w:szCs w:val="20"/>
                <w:color w:val="auto"/>
              </w:rPr>
            </w:pPr>
            <w:r>
              <w:rPr>
                <w:rFonts w:ascii="Arial" w:cs="Arial" w:eastAsia="Arial" w:hAnsi="Arial"/>
                <w:sz w:val="16"/>
                <w:szCs w:val="16"/>
                <w:color w:val="auto"/>
                <w:w w:val="94"/>
              </w:rPr>
              <w:t>7%</w:t>
            </w:r>
          </w:p>
        </w:tc>
        <w:tc>
          <w:tcPr>
            <w:tcW w:w="1320" w:type="dxa"/>
            <w:vAlign w:val="bottom"/>
          </w:tcPr>
          <w:p>
            <w:pPr>
              <w:jc w:val="right"/>
              <w:spacing w:after="0"/>
              <w:rPr>
                <w:sz w:val="20"/>
                <w:szCs w:val="20"/>
                <w:color w:val="auto"/>
              </w:rPr>
            </w:pPr>
            <w:r>
              <w:rPr>
                <w:rFonts w:ascii="Arial" w:cs="Arial" w:eastAsia="Arial" w:hAnsi="Arial"/>
                <w:sz w:val="16"/>
                <w:szCs w:val="16"/>
                <w:color w:val="auto"/>
              </w:rPr>
              <w:t>4,508</w:t>
            </w:r>
          </w:p>
        </w:tc>
        <w:tc>
          <w:tcPr>
            <w:tcW w:w="1780" w:type="dxa"/>
            <w:vAlign w:val="bottom"/>
          </w:tcPr>
          <w:p>
            <w:pPr>
              <w:jc w:val="center"/>
              <w:spacing w:after="0"/>
              <w:rPr>
                <w:sz w:val="20"/>
                <w:szCs w:val="20"/>
                <w:color w:val="auto"/>
              </w:rPr>
            </w:pPr>
            <w:r>
              <w:rPr>
                <w:rFonts w:ascii="Arial" w:cs="Arial" w:eastAsia="Arial" w:hAnsi="Arial"/>
                <w:sz w:val="16"/>
                <w:szCs w:val="16"/>
                <w:color w:val="auto"/>
              </w:rPr>
              <w:t>(8)%</w:t>
            </w:r>
          </w:p>
        </w:tc>
        <w:tc>
          <w:tcPr>
            <w:tcW w:w="1180" w:type="dxa"/>
            <w:vAlign w:val="bottom"/>
          </w:tcPr>
          <w:p>
            <w:pPr>
              <w:jc w:val="right"/>
              <w:spacing w:after="0"/>
              <w:rPr>
                <w:sz w:val="20"/>
                <w:szCs w:val="20"/>
                <w:color w:val="auto"/>
              </w:rPr>
            </w:pPr>
            <w:r>
              <w:rPr>
                <w:rFonts w:ascii="Arial" w:cs="Arial" w:eastAsia="Arial" w:hAnsi="Arial"/>
                <w:sz w:val="16"/>
                <w:szCs w:val="16"/>
                <w:color w:val="auto"/>
              </w:rPr>
              <w:t>4,648</w:t>
            </w:r>
          </w:p>
        </w:tc>
        <w:tc>
          <w:tcPr>
            <w:tcW w:w="1620" w:type="dxa"/>
            <w:vAlign w:val="bottom"/>
          </w:tcPr>
          <w:p>
            <w:pPr>
              <w:jc w:val="center"/>
              <w:ind w:left="159"/>
              <w:spacing w:after="0"/>
              <w:rPr>
                <w:sz w:val="20"/>
                <w:szCs w:val="20"/>
                <w:color w:val="auto"/>
              </w:rPr>
            </w:pPr>
            <w:r>
              <w:rPr>
                <w:rFonts w:ascii="Arial" w:cs="Arial" w:eastAsia="Arial" w:hAnsi="Arial"/>
                <w:sz w:val="16"/>
                <w:szCs w:val="16"/>
                <w:color w:val="auto"/>
              </w:rPr>
              <w:t>(5)%</w:t>
            </w:r>
          </w:p>
        </w:tc>
      </w:tr>
      <w:tr>
        <w:trPr>
          <w:trHeight w:val="216"/>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6,220</w:t>
            </w:r>
          </w:p>
        </w:tc>
        <w:tc>
          <w:tcPr>
            <w:tcW w:w="1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4"/>
              </w:rPr>
              <w:t>4%</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5,599</w:t>
            </w:r>
          </w:p>
        </w:tc>
        <w:tc>
          <w:tcPr>
            <w:tcW w:w="1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16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(5)%</w:t>
            </w: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380" w:type="dxa"/>
            <w:vAlign w:val="bottom"/>
          </w:tcPr>
          <w:p>
            <w:pPr>
              <w:jc w:val="right"/>
              <w:spacing w:after="0"/>
              <w:rPr>
                <w:sz w:val="20"/>
                <w:szCs w:val="20"/>
                <w:color w:val="auto"/>
              </w:rPr>
            </w:pPr>
            <w:r>
              <w:rPr>
                <w:rFonts w:ascii="Arial" w:cs="Arial" w:eastAsia="Arial" w:hAnsi="Arial"/>
                <w:sz w:val="16"/>
                <w:szCs w:val="16"/>
                <w:color w:val="auto"/>
              </w:rPr>
              <w:t>7,644</w:t>
            </w:r>
          </w:p>
        </w:tc>
        <w:tc>
          <w:tcPr>
            <w:tcW w:w="1700" w:type="dxa"/>
            <w:vAlign w:val="bottom"/>
          </w:tcPr>
          <w:p>
            <w:pPr>
              <w:jc w:val="center"/>
              <w:ind w:left="159"/>
              <w:spacing w:after="0"/>
              <w:rPr>
                <w:sz w:val="20"/>
                <w:szCs w:val="20"/>
                <w:color w:val="auto"/>
              </w:rPr>
            </w:pPr>
            <w:r>
              <w:rPr>
                <w:rFonts w:ascii="Arial" w:cs="Arial" w:eastAsia="Arial" w:hAnsi="Arial"/>
                <w:sz w:val="16"/>
                <w:szCs w:val="16"/>
                <w:color w:val="auto"/>
              </w:rPr>
              <w:t>12%</w:t>
            </w:r>
          </w:p>
        </w:tc>
        <w:tc>
          <w:tcPr>
            <w:tcW w:w="1320" w:type="dxa"/>
            <w:vAlign w:val="bottom"/>
          </w:tcPr>
          <w:p>
            <w:pPr>
              <w:jc w:val="right"/>
              <w:spacing w:after="0"/>
              <w:rPr>
                <w:sz w:val="20"/>
                <w:szCs w:val="20"/>
                <w:color w:val="auto"/>
              </w:rPr>
            </w:pPr>
            <w:r>
              <w:rPr>
                <w:rFonts w:ascii="Arial" w:cs="Arial" w:eastAsia="Arial" w:hAnsi="Arial"/>
                <w:sz w:val="16"/>
                <w:szCs w:val="16"/>
                <w:color w:val="auto"/>
              </w:rPr>
              <w:t>7,074</w:t>
            </w:r>
          </w:p>
        </w:tc>
        <w:tc>
          <w:tcPr>
            <w:tcW w:w="1780" w:type="dxa"/>
            <w:vAlign w:val="bottom"/>
          </w:tcPr>
          <w:p>
            <w:pPr>
              <w:jc w:val="center"/>
              <w:spacing w:after="0"/>
              <w:rPr>
                <w:sz w:val="20"/>
                <w:szCs w:val="20"/>
                <w:color w:val="auto"/>
              </w:rPr>
            </w:pPr>
            <w:r>
              <w:rPr>
                <w:rFonts w:ascii="Arial" w:cs="Arial" w:eastAsia="Arial" w:hAnsi="Arial"/>
                <w:sz w:val="16"/>
                <w:szCs w:val="16"/>
                <w:color w:val="auto"/>
              </w:rPr>
              <w:t>(7)%</w:t>
            </w:r>
          </w:p>
        </w:tc>
        <w:tc>
          <w:tcPr>
            <w:tcW w:w="1180" w:type="dxa"/>
            <w:vAlign w:val="bottom"/>
          </w:tcPr>
          <w:p>
            <w:pPr>
              <w:jc w:val="right"/>
              <w:spacing w:after="0"/>
              <w:rPr>
                <w:sz w:val="20"/>
                <w:szCs w:val="20"/>
                <w:color w:val="auto"/>
              </w:rPr>
            </w:pPr>
            <w:r>
              <w:rPr>
                <w:rFonts w:ascii="Arial" w:cs="Arial" w:eastAsia="Arial" w:hAnsi="Arial"/>
                <w:sz w:val="16"/>
                <w:szCs w:val="16"/>
                <w:color w:val="auto"/>
              </w:rPr>
              <w:t>7,289</w:t>
            </w:r>
          </w:p>
        </w:tc>
        <w:tc>
          <w:tcPr>
            <w:tcW w:w="1620" w:type="dxa"/>
            <w:vAlign w:val="bottom"/>
          </w:tcPr>
          <w:p>
            <w:pPr>
              <w:jc w:val="center"/>
              <w:ind w:left="159"/>
              <w:spacing w:after="0"/>
              <w:rPr>
                <w:sz w:val="20"/>
                <w:szCs w:val="20"/>
                <w:color w:val="auto"/>
              </w:rPr>
            </w:pPr>
            <w:r>
              <w:rPr>
                <w:rFonts w:ascii="Arial" w:cs="Arial" w:eastAsia="Arial" w:hAnsi="Arial"/>
                <w:sz w:val="16"/>
                <w:szCs w:val="16"/>
                <w:color w:val="auto"/>
              </w:rPr>
              <w:t>(4)%</w:t>
            </w:r>
          </w:p>
        </w:tc>
      </w:tr>
      <w:tr>
        <w:trPr>
          <w:trHeight w:val="217"/>
        </w:trPr>
        <w:tc>
          <w:tcPr>
            <w:tcW w:w="2260" w:type="dxa"/>
            <w:vAlign w:val="bottom"/>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170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w w:val="94"/>
              </w:rPr>
              <w:t>5%</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5,948</w:t>
            </w:r>
          </w:p>
        </w:tc>
        <w:tc>
          <w:tcPr>
            <w:tcW w:w="17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6,038</w:t>
            </w:r>
          </w:p>
        </w:tc>
        <w:tc>
          <w:tcPr>
            <w:tcW w:w="1620" w:type="dxa"/>
            <w:vAlign w:val="bottom"/>
            <w:shd w:val="clear" w:color="auto" w:fill="CFF0FC"/>
          </w:tcPr>
          <w:p>
            <w:pPr>
              <w:jc w:val="center"/>
              <w:ind w:left="159"/>
              <w:spacing w:after="0"/>
              <w:rPr>
                <w:sz w:val="20"/>
                <w:szCs w:val="20"/>
                <w:color w:val="auto"/>
              </w:rPr>
            </w:pPr>
            <w:r>
              <w:rPr>
                <w:rFonts w:ascii="Arial" w:cs="Arial" w:eastAsia="Arial" w:hAnsi="Arial"/>
                <w:sz w:val="16"/>
                <w:szCs w:val="16"/>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Gas Utility margins.</w:t>
      </w:r>
    </w:p>
    <w:p>
      <w:pPr>
        <w:spacing w:after="0" w:line="15" w:lineRule="exact"/>
        <w:rPr>
          <w:rFonts w:ascii="Arial" w:cs="Arial" w:eastAsia="Arial" w:hAnsi="Arial"/>
          <w:sz w:val="14"/>
          <w:szCs w:val="14"/>
          <w:color w:val="auto"/>
        </w:rPr>
      </w:pPr>
    </w:p>
    <w:p>
      <w:pPr>
        <w:ind w:left="520" w:right="120" w:hanging="512"/>
        <w:spacing w:after="0" w:line="264"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for the years ended December 31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ind w:left="60"/>
              <w:spacing w:after="0"/>
              <w:rPr>
                <w:sz w:val="20"/>
                <w:szCs w:val="20"/>
                <w:color w:val="auto"/>
              </w:rPr>
            </w:pPr>
            <w:r>
              <w:rPr>
                <w:rFonts w:ascii="Arial" w:cs="Arial" w:eastAsia="Arial" w:hAnsi="Arial"/>
                <w:sz w:val="16"/>
                <w:szCs w:val="16"/>
                <w:b w:val="1"/>
                <w:bCs w:val="1"/>
                <w:color w:val="auto"/>
              </w:rPr>
              <w:t>2021 vs</w:t>
            </w:r>
          </w:p>
        </w:tc>
      </w:tr>
      <w:tr>
        <w:trPr>
          <w:trHeight w:val="189"/>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2022 vs 2021</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Variance</w:t>
            </w:r>
          </w:p>
        </w:tc>
      </w:tr>
      <w:tr>
        <w:trPr>
          <w:trHeight w:val="210"/>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(3,174 )  $</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(4,404 )</w:t>
            </w:r>
          </w:p>
        </w:tc>
        <w:tc>
          <w:tcPr>
            <w:tcW w:w="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(5,844 )</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variance in Operating income (loss) was primarily due to an allocation of a 2020 employee cost true-up in the first quarter of 2021, which was offset in our business segments.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Benefit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 vs</w:t>
            </w:r>
          </w:p>
        </w:tc>
      </w:tr>
      <w:tr>
        <w:trPr>
          <w:trHeight w:val="189"/>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2022 vs 2021</w:t>
            </w:r>
          </w:p>
        </w:tc>
        <w:tc>
          <w:tcPr>
            <w:tcW w:w="1160" w:type="dxa"/>
            <w:vAlign w:val="bottom"/>
          </w:tcPr>
          <w:p>
            <w:pPr>
              <w:spacing w:after="0"/>
              <w:rPr>
                <w:sz w:val="16"/>
                <w:szCs w:val="16"/>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r>
      <w:tr>
        <w:trPr>
          <w:trHeight w:val="217"/>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Variance</w:t>
            </w: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Variance</w:t>
            </w:r>
          </w:p>
        </w:tc>
      </w:tr>
      <w:tr>
        <w:trPr>
          <w:trHeight w:val="223"/>
        </w:trPr>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(160,989 )  $</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(152,404 )</w:t>
            </w:r>
          </w:p>
        </w:tc>
        <w:tc>
          <w:tcPr>
            <w:tcW w:w="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(8,585 )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(143,470 )  $</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(8,934 )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36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(6,859 )</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6,859</w:t>
            </w:r>
          </w:p>
        </w:tc>
      </w:tr>
      <w:tr>
        <w:trPr>
          <w:trHeight w:val="217"/>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1,708</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1,404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304</w:t>
            </w: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(2,293 )</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3,697</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8"/>
                <w:szCs w:val="18"/>
                <w:color w:val="auto"/>
              </w:rPr>
            </w:pPr>
          </w:p>
        </w:tc>
        <w:tc>
          <w:tcPr>
            <w:tcW w:w="1280" w:type="dxa"/>
            <w:vAlign w:val="bottom"/>
          </w:tcPr>
          <w:p>
            <w:pPr>
              <w:jc w:val="right"/>
              <w:ind w:right="319"/>
              <w:spacing w:after="0"/>
              <w:rPr>
                <w:sz w:val="20"/>
                <w:szCs w:val="20"/>
                <w:color w:val="auto"/>
              </w:rPr>
            </w:pPr>
            <w:r>
              <w:rPr>
                <w:rFonts w:ascii="Arial" w:cs="Arial" w:eastAsia="Arial" w:hAnsi="Arial"/>
                <w:sz w:val="16"/>
                <w:szCs w:val="16"/>
                <w:color w:val="auto"/>
              </w:rPr>
              <w:t>(25,205 )</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(7,169 )</w:t>
            </w:r>
          </w:p>
        </w:tc>
        <w:tc>
          <w:tcPr>
            <w:tcW w:w="22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(18,036 )</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(32,918 )</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25,749</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increase in Interest expense, net was due to higher interest rates on higher short-term debt balances.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-165735</wp:posOffset>
            </wp:positionV>
            <wp:extent cx="302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92"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Other income (expense), net was comparable to the prior year primarily due to lower costs for our non-qualified benefit plans which were driven by market performance mostly offset by a prior year recognition of death benefits from Company-owned life insurance and higher non-service pension costs primarily driven by a higher discount rate.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Income tax expense increased due to higher pre-tax income and a higher effective tax rate. For the year ended December 31, 2022, the effective tax rate was 8.5% compared to 2.8% in 2021. The higher effective tax rate was primarily due to $10 million of prior year tax benefits from Colorado Electric TCJA-related bill credits to customers (which were offset by reduced revenue) and $5.4 million decreased flow-through tax benefits driven by prior year repairs and gain deferral partially offset by $4.0 million of current year tax benefits from various state rate changes, and $1.8 million of increased tax benefits from federal PTCs driven by a current year PTC rate increase (inflation adjustment).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-149225</wp:posOffset>
            </wp:positionV>
            <wp:extent cx="3600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five-year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during periods of high natural gas prices, and during the construction season which typically peaks in spring and summer.</w:t>
      </w:r>
    </w:p>
    <w:p>
      <w:pPr>
        <w:spacing w:after="0" w:line="12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financial position as of December 31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Financial Position Summary</w:t>
            </w:r>
          </w:p>
        </w:tc>
        <w:tc>
          <w:tcPr>
            <w:tcW w:w="2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9"/>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21,430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8,921</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Restricted cash and equivalents</w:t>
            </w:r>
          </w:p>
        </w:tc>
        <w:tc>
          <w:tcPr>
            <w:tcW w:w="2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5,555</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4,889</w:t>
            </w:r>
          </w:p>
        </w:tc>
      </w:tr>
      <w:tr>
        <w:trPr>
          <w:trHeight w:val="217"/>
        </w:trPr>
        <w:tc>
          <w:tcPr>
            <w:tcW w:w="5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Notes payable</w:t>
            </w:r>
          </w:p>
        </w:tc>
        <w:tc>
          <w:tcPr>
            <w:tcW w:w="2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535,600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420,180</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2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525,000</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(a)</w:t>
            </w:r>
          </w:p>
        </w:tc>
        <w:tc>
          <w:tcPr>
            <w:tcW w:w="2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3,607,340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4,126,923</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2,994,913</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2,787,094</w:t>
            </w: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FF0FC"/>
          </w:tcPr>
          <w:p>
            <w:pPr>
              <w:spacing w:after="0"/>
              <w:rPr>
                <w:sz w:val="16"/>
                <w:szCs w:val="16"/>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Ratios</w:t>
            </w:r>
          </w:p>
        </w:tc>
        <w:tc>
          <w:tcPr>
            <w:tcW w:w="48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48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Long-term debt ratio </w:t>
            </w:r>
            <w:r>
              <w:rPr>
                <w:rFonts w:ascii="Arial" w:cs="Arial" w:eastAsia="Arial" w:hAnsi="Arial"/>
                <w:sz w:val="21"/>
                <w:szCs w:val="21"/>
                <w:color w:val="auto"/>
                <w:vertAlign w:val="superscript"/>
              </w:rPr>
              <w:t>(b)</w:t>
            </w:r>
          </w:p>
        </w:tc>
        <w:tc>
          <w:tcPr>
            <w:tcW w:w="4820" w:type="dxa"/>
            <w:vAlign w:val="bottom"/>
          </w:tcPr>
          <w:p>
            <w:pPr>
              <w:jc w:val="right"/>
              <w:ind w:right="679"/>
              <w:spacing w:after="0"/>
              <w:rPr>
                <w:sz w:val="20"/>
                <w:szCs w:val="20"/>
                <w:color w:val="auto"/>
              </w:rPr>
            </w:pPr>
            <w:r>
              <w:rPr>
                <w:rFonts w:ascii="Arial" w:cs="Arial" w:eastAsia="Arial" w:hAnsi="Arial"/>
                <w:sz w:val="16"/>
                <w:szCs w:val="16"/>
                <w:color w:val="auto"/>
              </w:rPr>
              <w:t>55 %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6"/>
                <w:szCs w:val="16"/>
                <w:color w:val="auto"/>
              </w:rPr>
              <w:t xml:space="preserve">Total debt ratio </w:t>
            </w:r>
            <w:r>
              <w:rPr>
                <w:rFonts w:ascii="Arial" w:cs="Arial" w:eastAsia="Arial" w:hAnsi="Arial"/>
                <w:sz w:val="21"/>
                <w:szCs w:val="21"/>
                <w:color w:val="auto"/>
                <w:vertAlign w:val="superscript"/>
              </w:rPr>
              <w:t>(c)</w:t>
            </w:r>
          </w:p>
        </w:tc>
        <w:tc>
          <w:tcPr>
            <w:tcW w:w="4820" w:type="dxa"/>
            <w:vAlign w:val="bottom"/>
          </w:tcPr>
          <w:p>
            <w:pPr>
              <w:jc w:val="right"/>
              <w:ind w:right="679"/>
              <w:spacing w:after="0"/>
              <w:rPr>
                <w:sz w:val="20"/>
                <w:szCs w:val="20"/>
                <w:color w:val="auto"/>
              </w:rPr>
            </w:pPr>
            <w:r>
              <w:rPr>
                <w:rFonts w:ascii="Arial" w:cs="Arial" w:eastAsia="Arial" w:hAnsi="Arial"/>
                <w:sz w:val="16"/>
                <w:szCs w:val="16"/>
                <w:color w:val="auto"/>
              </w:rPr>
              <w:t>61 %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7"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Carrying value of long-term debt is net of deferred financing costs.</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Long-term debt as a percentage of long-term debt and stockholders' equity combined.</w:t>
      </w:r>
    </w:p>
    <w:p>
      <w:pPr>
        <w:spacing w:after="0" w:line="29" w:lineRule="exact"/>
        <w:rPr>
          <w:rFonts w:ascii="Arial" w:cs="Arial" w:eastAsia="Arial" w:hAnsi="Arial"/>
          <w:sz w:val="14"/>
          <w:szCs w:val="14"/>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Total debt (notes payable, current maturities of long-term debt and long-term debt) as a percentage of total debt and stockholders' equity combined.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years ended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85"/>
        </w:trPr>
        <w:tc>
          <w:tcPr>
            <w:tcW w:w="4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2022 vs. 2021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2021 vs. 2020</w:t>
            </w:r>
          </w:p>
        </w:tc>
      </w:tr>
      <w:tr>
        <w:trPr>
          <w:trHeight w:val="210"/>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earnings (net income plus non-cash adjustments)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566,392</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527,705</w:t>
            </w: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38,687</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549,092</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(21,387 )</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49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(259,851 )</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(78,877 ) $</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(180,974 )</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(8,088 )</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(70,789 )</w:t>
            </w: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89,405</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10,660</w:t>
            </w:r>
          </w:p>
        </w:tc>
        <w:tc>
          <w:tcPr>
            <w:tcW w:w="3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78,745</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24,659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(13,999 )</w:t>
            </w:r>
          </w:p>
        </w:tc>
      </w:tr>
      <w:tr>
        <w:trPr>
          <w:trHeight w:val="217"/>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 and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203,869</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(524,220 )</w:t>
            </w: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728,089</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(15,753 )</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(508,467 )</w:t>
            </w:r>
          </w:p>
        </w:tc>
      </w:tr>
      <w:tr>
        <w:trPr>
          <w:trHeight w:val="209"/>
        </w:trPr>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33,423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(592,437 )</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625,860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(593,255 )</w:t>
            </w:r>
          </w:p>
        </w:tc>
      </w:tr>
      <w:tr>
        <w:trPr>
          <w:trHeight w:val="210"/>
        </w:trPr>
        <w:tc>
          <w:tcPr>
            <w:tcW w:w="4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Contributions to defined benefit pension plans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(12,700 )</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12,700</w:t>
            </w:r>
          </w:p>
        </w:tc>
      </w:tr>
      <w:tr>
        <w:trPr>
          <w:trHeight w:val="215"/>
        </w:trPr>
        <w:tc>
          <w:tcPr>
            <w:tcW w:w="4920" w:type="dxa"/>
            <w:vAlign w:val="bottom"/>
          </w:tcPr>
          <w:p>
            <w:pPr>
              <w:ind w:left="20"/>
              <w:spacing w:after="0"/>
              <w:rPr>
                <w:sz w:val="20"/>
                <w:szCs w:val="20"/>
                <w:color w:val="auto"/>
              </w:rPr>
            </w:pPr>
            <w:r>
              <w:rPr>
                <w:rFonts w:ascii="Arial" w:cs="Arial" w:eastAsia="Arial" w:hAnsi="Arial"/>
                <w:sz w:val="16"/>
                <w:szCs w:val="16"/>
                <w:color w:val="auto"/>
              </w:rPr>
              <w:t>Other operating activities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(15,014 )</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(15,181 )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4,653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(4,486 )</w:t>
            </w:r>
          </w:p>
        </w:tc>
      </w:tr>
      <w:tr>
        <w:trPr>
          <w:trHeight w:val="250"/>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584,801</w:t>
            </w: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(64,565 ) $</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649,366</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541,863</w:t>
            </w: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(606,428 )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Cash earnings (income from continuing operations plus non-cash adjustments) were $39 million higher than prior year primarily due to increased Electric and Gas Utility margins due to new rates and rider revenues and prior year impacts from Winter Storm Uri.</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Net inflows from changes in certain operating assets and liabilities were $626 million higher than prior year, primarily attributable to:</w:t>
      </w:r>
    </w:p>
    <w:p>
      <w:pPr>
        <w:spacing w:after="0" w:line="208" w:lineRule="exact"/>
        <w:rPr>
          <w:sz w:val="20"/>
          <w:szCs w:val="20"/>
          <w:color w:val="auto"/>
        </w:rPr>
      </w:pPr>
    </w:p>
    <w:p>
      <w:pPr>
        <w:ind w:left="1020" w:right="20" w:hanging="503"/>
        <w:spacing w:after="0" w:line="25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increased by approximately $728 million primarily as a result of changes in our regulatory assets and liabilities primarily driven by prior year incremental fuel, purchased power and natural gas costs due to Winter Storm Uri and current year recovery of a portion of Winter Storm Uri incremental and carrying costs from customers;</w:t>
      </w:r>
    </w:p>
    <w:p>
      <w:pPr>
        <w:spacing w:after="0" w:line="170"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outflows increased by approximately $181 million primarily as a result of changes in accounts receivable and other current assets driven by increased revenue due to higher commodity prices and colder weather and increased purchases of natural gas in storage;</w:t>
      </w:r>
    </w:p>
    <w:p>
      <w:pPr>
        <w:spacing w:after="0" w:line="163"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increased by approximately $79 million as a result of changes in accounts payable and other current liabilities driven by payment timing related to natural gas and power purchases and other working capital requirements;</w:t>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Cash outflows increased $15.2 million from other operating activities primarily due to higher cloud computing licensing costs, increased payments on settled commodity derivatives and higher preliminary survey charges.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86"/>
        </w:trPr>
        <w:tc>
          <w:tcPr>
            <w:tcW w:w="4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2022 vs. 2021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2021 vs. 2020</w:t>
            </w:r>
          </w:p>
        </w:tc>
      </w:tr>
      <w:tr>
        <w:trPr>
          <w:trHeight w:val="209"/>
        </w:trPr>
        <w:tc>
          <w:tcPr>
            <w:tcW w:w="49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(604,365 ) $</w:t>
            </w:r>
          </w:p>
        </w:tc>
        <w:tc>
          <w:tcPr>
            <w:tcW w:w="13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(677,492 ) $</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73,127</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(767,404 ) $</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89,912</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485</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13,262</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(12,777 )</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7,522</w:t>
            </w:r>
          </w:p>
        </w:tc>
      </w:tr>
      <w:tr>
        <w:trPr>
          <w:trHeight w:val="250"/>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(603,880 ) $</w:t>
            </w:r>
          </w:p>
        </w:tc>
        <w:tc>
          <w:tcPr>
            <w:tcW w:w="1380" w:type="dxa"/>
            <w:vAlign w:val="bottom"/>
            <w:tcBorders>
              <w:bottom w:val="single" w:sz="8" w:color="auto"/>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(664,230 ) $</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60,350</w:t>
            </w: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(761,664 ) $</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97,434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4"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Capital expenditures of approximately $604 million in 2022 compared to $677 million in 2021. Lower current year expenditures are driven by lower programmatic safety, reliability and integrity spending at our Gas and Electric Utilities; and</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Cash inflows decreased $13 million for other investing activities which was primarily driven by prior year sales of transmission assets and facilities, none of which were individually material.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86"/>
        </w:trPr>
        <w:tc>
          <w:tcPr>
            <w:tcW w:w="4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5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2022 vs. 2021</w:t>
            </w: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2021 vs. 2020</w:t>
            </w:r>
          </w:p>
        </w:tc>
      </w:tr>
      <w:tr>
        <w:trPr>
          <w:trHeight w:val="210"/>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(156,723 ) $</w:t>
            </w:r>
          </w:p>
        </w:tc>
        <w:tc>
          <w:tcPr>
            <w:tcW w:w="13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(145,023 ) $</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(11,700 ) $</w:t>
            </w:r>
          </w:p>
        </w:tc>
        <w:tc>
          <w:tcPr>
            <w:tcW w:w="12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(135,439 )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(9,584 )</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2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90,044</w:t>
            </w:r>
          </w:p>
        </w:tc>
        <w:tc>
          <w:tcPr>
            <w:tcW w:w="28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118,979</w:t>
            </w:r>
          </w:p>
        </w:tc>
        <w:tc>
          <w:tcPr>
            <w:tcW w:w="32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(28,935 )</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99,278</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19,701</w:t>
            </w:r>
          </w:p>
        </w:tc>
      </w:tr>
      <w:tr>
        <w:trPr>
          <w:trHeight w:val="217"/>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borrowings, net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115,420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777,704</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(662,284 )</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275,943</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501,761</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(17,418 )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(15,749 )</w:t>
            </w:r>
          </w:p>
        </w:tc>
        <w:tc>
          <w:tcPr>
            <w:tcW w:w="32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(1,669 )</w:t>
            </w:r>
          </w:p>
        </w:tc>
        <w:tc>
          <w:tcPr>
            <w:tcW w:w="960" w:type="dxa"/>
            <w:vAlign w:val="bottom"/>
          </w:tcPr>
          <w:p>
            <w:pPr>
              <w:jc w:val="right"/>
              <w:spacing w:after="0"/>
              <w:rPr>
                <w:sz w:val="20"/>
                <w:szCs w:val="20"/>
                <w:color w:val="auto"/>
              </w:rPr>
            </w:pPr>
            <w:r>
              <w:rPr>
                <w:rFonts w:ascii="Arial" w:cs="Arial" w:eastAsia="Arial" w:hAnsi="Arial"/>
                <w:sz w:val="16"/>
                <w:szCs w:val="16"/>
                <w:color w:val="auto"/>
              </w:rPr>
              <w:t>(15,839 )</w:t>
            </w:r>
          </w:p>
        </w:tc>
        <w:tc>
          <w:tcPr>
            <w:tcW w:w="3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931</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(4,045 )</w:t>
            </w: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4,976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(7,061 )</w:t>
            </w: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3,016</w:t>
            </w:r>
          </w:p>
        </w:tc>
      </w:tr>
      <w:tr>
        <w:trPr>
          <w:trHeight w:val="210"/>
        </w:trPr>
        <w:tc>
          <w:tcPr>
            <w:tcW w:w="49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32,254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731,866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(699,612 ) $</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216,882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514,984</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2022 Compared to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decreased $700 million primarily due to prior year financing activities related to Winter Storm Uri.</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have a $750 million Revolving Credit Facility that matures on July 19, 2026, with two one-year extension options (subject to consent from lenders). This facility includes an accordion feature that allows us to increase total commitments up to $1.0 billion with the consent of the administrative agent, the issuing agents and each bank increasing or providing a new commitment. We also have a $750 million, unsecured CP Program that is backstopped by the Revolving Credit Facility. Amounts outstanding under the Revolving Credit Facility and the CP Program, either individually or in the aggregate, cannot exceed $750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prohibits us from paying cash dividends if a default or an event of default exists prior to, or would result after, paying a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contractual restrictions exist, we do not anticipate triggering any default measures or restrictions.</w:t>
      </w:r>
    </w:p>
    <w:p>
      <w:pPr>
        <w:spacing w:after="0" w:line="17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Revolving Credit Facility contains cross-default provisions that could result in a default under such agreements if BHC or its material subsidiaries failed to 1) make timely payments of debt obligations; or 2) triggered other default provisions under any debt agreement totaling, in the aggregate principal amount of $50 million or more that permit the acceleration of debt maturities or mandatory debt prepayment.</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more information on our Revolving Credit Facility and CP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on our long-term debt,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-4445</wp:posOffset>
            </wp:positionV>
            <wp:extent cx="3028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2022.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-45720</wp:posOffset>
            </wp:positionV>
            <wp:extent cx="302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Shelf Registration</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have a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The shelf registration expires in August 2023. Our articles of incorporation authorize the issuance of 100 million shares of common stock and 25 million shares of preferred stock. As of December 31, 2022, we had approximately 66 million shares of common stock outstanding and no shares of preferred stock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ATM</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ATM allows us to sell shares of our common stock with an aggregate value of up to $400 million. The shares may be offered from time to time pursuant to a sales agreement dated August 4, 2020. Shares of common stock are offered pursuant to our shelf registration statement filed with the SEC.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additional information regarding equity,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-4445</wp:posOffset>
            </wp:positionV>
            <wp:extent cx="302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the issuance of common stock under our ATM program or in an opportunistic block trade. In the first quarter of 2023, we plan to re-finance a portion of our short-term borrowings into long-term debt. We also plan to re-finance our $525 million, 4.25%, senior unsecured notes due November 30, 2023, at or before maturity date. Additionally, we plan to renew our ATM and shelf registration at or before shelf expiration in August 2023.</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Rating Agency</w:t>
            </w:r>
          </w:p>
        </w:tc>
        <w:tc>
          <w:tcPr>
            <w:tcW w:w="4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Senior Unsecured Rating</w:t>
            </w:r>
          </w:p>
        </w:tc>
        <w:tc>
          <w:tcPr>
            <w:tcW w:w="35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Outlook</w:t>
            </w:r>
          </w:p>
        </w:tc>
      </w:tr>
      <w:tr>
        <w:trPr>
          <w:trHeight w:val="210"/>
        </w:trPr>
        <w:tc>
          <w:tcPr>
            <w:tcW w:w="3380" w:type="dxa"/>
            <w:vAlign w:val="bottom"/>
            <w:shd w:val="clear" w:color="auto" w:fill="CFF0FC"/>
          </w:tcPr>
          <w:p>
            <w:pPr>
              <w:ind w:left="20"/>
              <w:spacing w:after="0" w:line="210"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4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BBB+</w:t>
            </w:r>
          </w:p>
        </w:tc>
        <w:tc>
          <w:tcPr>
            <w:tcW w:w="3560" w:type="dxa"/>
            <w:vAlign w:val="bottom"/>
            <w:shd w:val="clear" w:color="auto" w:fill="CFF0FC"/>
          </w:tcPr>
          <w:p>
            <w:pPr>
              <w:jc w:val="center"/>
              <w:ind w:right="299"/>
              <w:spacing w:after="0"/>
              <w:rPr>
                <w:sz w:val="20"/>
                <w:szCs w:val="20"/>
                <w:color w:val="auto"/>
              </w:rPr>
            </w:pPr>
            <w:r>
              <w:rPr>
                <w:rFonts w:ascii="Arial" w:cs="Arial" w:eastAsia="Arial" w:hAnsi="Arial"/>
                <w:sz w:val="16"/>
                <w:szCs w:val="16"/>
                <w:color w:val="auto"/>
              </w:rPr>
              <w:t>Stable</w:t>
            </w:r>
          </w:p>
        </w:tc>
      </w:tr>
      <w:tr>
        <w:trPr>
          <w:trHeight w:val="216"/>
        </w:trPr>
        <w:tc>
          <w:tcPr>
            <w:tcW w:w="3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300" w:type="dxa"/>
            <w:vAlign w:val="bottom"/>
          </w:tcPr>
          <w:p>
            <w:pPr>
              <w:jc w:val="center"/>
              <w:ind w:right="159"/>
              <w:spacing w:after="0"/>
              <w:rPr>
                <w:sz w:val="20"/>
                <w:szCs w:val="20"/>
                <w:color w:val="auto"/>
              </w:rPr>
            </w:pPr>
            <w:r>
              <w:rPr>
                <w:rFonts w:ascii="Arial" w:cs="Arial" w:eastAsia="Arial" w:hAnsi="Arial"/>
                <w:sz w:val="16"/>
                <w:szCs w:val="16"/>
                <w:color w:val="auto"/>
              </w:rPr>
              <w:t>Baa2</w:t>
            </w:r>
          </w:p>
        </w:tc>
        <w:tc>
          <w:tcPr>
            <w:tcW w:w="3560" w:type="dxa"/>
            <w:vAlign w:val="bottom"/>
          </w:tcPr>
          <w:p>
            <w:pPr>
              <w:jc w:val="center"/>
              <w:ind w:right="299"/>
              <w:spacing w:after="0"/>
              <w:rPr>
                <w:sz w:val="20"/>
                <w:szCs w:val="20"/>
                <w:color w:val="auto"/>
              </w:rPr>
            </w:pPr>
            <w:r>
              <w:rPr>
                <w:rFonts w:ascii="Arial" w:cs="Arial" w:eastAsia="Arial" w:hAnsi="Arial"/>
                <w:sz w:val="16"/>
                <w:szCs w:val="16"/>
                <w:color w:val="auto"/>
              </w:rPr>
              <w:t>Stable</w:t>
            </w:r>
          </w:p>
        </w:tc>
      </w:tr>
      <w:tr>
        <w:trPr>
          <w:trHeight w:val="216"/>
        </w:trPr>
        <w:tc>
          <w:tcPr>
            <w:tcW w:w="338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30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BBB+</w:t>
            </w:r>
          </w:p>
        </w:tc>
        <w:tc>
          <w:tcPr>
            <w:tcW w:w="3560" w:type="dxa"/>
            <w:vAlign w:val="bottom"/>
            <w:shd w:val="clear" w:color="auto" w:fill="CFF0FC"/>
          </w:tcPr>
          <w:p>
            <w:pPr>
              <w:jc w:val="center"/>
              <w:ind w:right="299"/>
              <w:spacing w:after="0"/>
              <w:rPr>
                <w:sz w:val="20"/>
                <w:szCs w:val="20"/>
                <w:color w:val="auto"/>
              </w:rPr>
            </w:pPr>
            <w:r>
              <w:rPr>
                <w:rFonts w:ascii="Arial" w:cs="Arial" w:eastAsia="Arial" w:hAnsi="Arial"/>
                <w:sz w:val="16"/>
                <w:szCs w:val="16"/>
                <w:color w:val="auto"/>
              </w:rPr>
              <w:t>Stable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030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August 26, 2022, S&amp;P reported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December 20, 2022, Moody's reported our Baa2 rating and maintained a Stable outlook.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October 6, 2022, Fitch reported BBB+ rating and maintained a Stable outlook.</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Certain fees and interest rates under our Revolving Credit Facility are based on our credit ratings at all three rating agencies. If all of our ratings are at the same level, or if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downgrades our senior unsecured debt, we will be required to pay higher fees and interest rates under our Revolving Credit Facility.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December 31, 2022:</w:t>
            </w:r>
          </w:p>
        </w:tc>
        <w:tc>
          <w:tcPr>
            <w:tcW w:w="3940" w:type="dxa"/>
            <w:vAlign w:val="bottom"/>
          </w:tcPr>
          <w:p>
            <w:pPr>
              <w:spacing w:after="0"/>
              <w:rPr>
                <w:sz w:val="18"/>
                <w:szCs w:val="18"/>
                <w:color w:val="auto"/>
              </w:rPr>
            </w:pPr>
          </w:p>
        </w:tc>
      </w:tr>
      <w:tr>
        <w:trPr>
          <w:trHeight w:val="393"/>
        </w:trPr>
        <w:tc>
          <w:tcPr>
            <w:tcW w:w="7300" w:type="dxa"/>
            <w:vAlign w:val="bottom"/>
            <w:tcBorders>
              <w:bottom w:val="single" w:sz="8" w:color="auto"/>
            </w:tcBorders>
          </w:tcPr>
          <w:p>
            <w:pPr>
              <w:ind w:left="2360"/>
              <w:spacing w:after="0"/>
              <w:rPr>
                <w:sz w:val="20"/>
                <w:szCs w:val="20"/>
                <w:color w:val="auto"/>
              </w:rPr>
            </w:pPr>
            <w:r>
              <w:rPr>
                <w:rFonts w:ascii="Arial" w:cs="Arial" w:eastAsia="Arial" w:hAnsi="Arial"/>
                <w:sz w:val="16"/>
                <w:szCs w:val="16"/>
                <w:b w:val="1"/>
                <w:bCs w:val="1"/>
                <w:color w:val="auto"/>
              </w:rPr>
              <w:t>Rating Agency</w:t>
            </w:r>
          </w:p>
        </w:tc>
        <w:tc>
          <w:tcPr>
            <w:tcW w:w="3940" w:type="dxa"/>
            <w:vAlign w:val="bottom"/>
            <w:tcBorders>
              <w:bottom w:val="single" w:sz="8" w:color="auto"/>
            </w:tcBorders>
          </w:tcPr>
          <w:p>
            <w:pPr>
              <w:jc w:val="center"/>
              <w:ind w:right="1259"/>
              <w:spacing w:after="0"/>
              <w:rPr>
                <w:sz w:val="20"/>
                <w:szCs w:val="20"/>
                <w:color w:val="auto"/>
              </w:rPr>
            </w:pPr>
            <w:r>
              <w:rPr>
                <w:rFonts w:ascii="Arial" w:cs="Arial" w:eastAsia="Arial" w:hAnsi="Arial"/>
                <w:sz w:val="16"/>
                <w:szCs w:val="16"/>
                <w:b w:val="1"/>
                <w:bCs w:val="1"/>
                <w:color w:val="auto"/>
              </w:rPr>
              <w:t>Senior Secured Rating</w:t>
            </w:r>
          </w:p>
        </w:tc>
      </w:tr>
      <w:tr>
        <w:trPr>
          <w:trHeight w:val="210"/>
        </w:trPr>
        <w:tc>
          <w:tcPr>
            <w:tcW w:w="730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940" w:type="dxa"/>
            <w:vAlign w:val="bottom"/>
            <w:shd w:val="clear" w:color="auto" w:fill="CFF0FC"/>
          </w:tcPr>
          <w:p>
            <w:pPr>
              <w:jc w:val="center"/>
              <w:ind w:right="1259"/>
              <w:spacing w:after="0"/>
              <w:rPr>
                <w:sz w:val="20"/>
                <w:szCs w:val="20"/>
                <w:color w:val="auto"/>
              </w:rPr>
            </w:pPr>
            <w:r>
              <w:rPr>
                <w:rFonts w:ascii="Arial" w:cs="Arial" w:eastAsia="Arial" w:hAnsi="Arial"/>
                <w:sz w:val="16"/>
                <w:szCs w:val="16"/>
                <w:color w:val="auto"/>
              </w:rPr>
              <w:t>A</w:t>
            </w:r>
          </w:p>
        </w:tc>
      </w:tr>
      <w:tr>
        <w:trPr>
          <w:trHeight w:val="290"/>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940" w:type="dxa"/>
            <w:vAlign w:val="bottom"/>
          </w:tcPr>
          <w:p>
            <w:pPr>
              <w:jc w:val="center"/>
              <w:ind w:right="1259"/>
              <w:spacing w:after="0"/>
              <w:rPr>
                <w:sz w:val="20"/>
                <w:szCs w:val="20"/>
                <w:color w:val="auto"/>
              </w:rPr>
            </w:pPr>
            <w:r>
              <w:rPr>
                <w:rFonts w:ascii="Arial" w:cs="Arial" w:eastAsia="Arial" w:hAnsi="Arial"/>
                <w:sz w:val="16"/>
                <w:szCs w:val="16"/>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4"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March 31, 2022, S&amp;P reported A rating.</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October 6, 2022, Fitch reported A rating.</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Capital expenditures are a substantial portion of our cash requirements each year and we continue to forecast a robust capital expenditure program during the next five years. See above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for forecasted capital expenditure requirements. A significant portion of our capital expenditures are for safety, reliability and integrity of our system and is included in utility rate base and eligible for recovery from our utility customers with regulatory approval. Those capital expenditures also earn a rate of return authorized by the commissions in the jurisdictions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-271780</wp:posOffset>
            </wp:positionV>
            <wp:extent cx="17837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Our historical capital expenditures by reportable segment are shown in </w:t>
      </w:r>
      <w:r>
        <w:rPr>
          <w:rFonts w:ascii="Arial" w:cs="Arial" w:eastAsia="Arial" w:hAnsi="Arial"/>
          <w:sz w:val="16"/>
          <w:szCs w:val="16"/>
          <w:u w:val="single" w:color="auto"/>
          <w:color w:val="0000FF"/>
        </w:rPr>
        <w:t>Note 16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-165735</wp:posOffset>
            </wp:positionV>
            <wp:extent cx="3600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For information relating to repayments of our short- and long-term debt and associated interest payments,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-165735</wp:posOffset>
            </wp:positionV>
            <wp:extent cx="302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-151765</wp:posOffset>
            </wp:positionV>
            <wp:extent cx="302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 xml:space="preserve">We have one defined benefit pension plan, the Black Hills Retirement Plan (Pension Plan). The unfunded status of the Pension Plan is defined as the amount the projected benefit obligation exceeds the plan assets. The unfunded status of the Pension Plan is $35 million as of December 31, 2022, compared to $20 million as of December 31, 2021. The increase in the unfunded status of the Pension Plan was primarily driven by an increase in the discount rate. We do not have required contributions and we do not expect to make contributions to our Pension Plan in 2023. See further information in </w:t>
      </w:r>
      <w:r>
        <w:rPr>
          <w:rFonts w:ascii="Arial" w:cs="Arial" w:eastAsia="Arial" w:hAnsi="Arial"/>
          <w:sz w:val="16"/>
          <w:szCs w:val="16"/>
          <w:u w:val="single" w:color="auto"/>
          <w:color w:val="0000FF"/>
        </w:rPr>
        <w:t>Note 13</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3600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-31750</wp:posOffset>
            </wp:positionV>
            <wp:extent cx="302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January 25, 2023, our Board of Directors declared a quarterly dividend of $0.625 per share, equivalent to an annual dividend rate of $2.50 per share. The table below provides our dividends paid (in thousands), dividend payout ratio and dividends paid per share for the three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Dividends Paid</w:t>
            </w:r>
          </w:p>
        </w:tc>
        <w:tc>
          <w:tcPr>
            <w:tcW w:w="4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156,723</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145,023</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135,439</w:t>
            </w:r>
          </w:p>
        </w:tc>
        <w:tc>
          <w:tcPr>
            <w:tcW w:w="40" w:type="dxa"/>
            <w:vAlign w:val="bottom"/>
          </w:tcPr>
          <w:p>
            <w:pPr>
              <w:spacing w:after="0"/>
              <w:rPr>
                <w:sz w:val="18"/>
                <w:szCs w:val="18"/>
                <w:color w:val="auto"/>
              </w:rPr>
            </w:pPr>
          </w:p>
        </w:tc>
      </w:tr>
      <w:tr>
        <w:trPr>
          <w:trHeight w:val="215"/>
        </w:trPr>
        <w:tc>
          <w:tcPr>
            <w:tcW w:w="636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61 %</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61 %</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60 %</w:t>
            </w:r>
          </w:p>
        </w:tc>
      </w:tr>
      <w:tr>
        <w:trPr>
          <w:trHeight w:val="217"/>
        </w:trPr>
        <w:tc>
          <w:tcPr>
            <w:tcW w:w="6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Per Share</w:t>
            </w:r>
          </w:p>
        </w:tc>
        <w:tc>
          <w:tcPr>
            <w:tcW w:w="4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2.41</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2.29</w:t>
            </w:r>
          </w:p>
        </w:tc>
        <w:tc>
          <w:tcPr>
            <w:tcW w:w="3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w:t>
            </w:r>
          </w:p>
        </w:tc>
        <w:tc>
          <w:tcPr>
            <w:tcW w:w="40" w:type="dxa"/>
            <w:vAlign w:val="bottom"/>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three-year compound annualized dividend growth rate was 5.5%.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2022, we had sufficient liquidity to cover collateral that could be required to be posted under these contracts. The cash collateral we were required to post at December 31, 2022 was not material. 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-148590</wp:posOffset>
            </wp:positionV>
            <wp:extent cx="302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-45720</wp:posOffset>
            </wp:positionV>
            <wp:extent cx="3028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macroeconomic environment and related impacts on our critical accounting estimates including, but not limited to, collectability of customer receivables, recoverability of regulatory assets, impairment risk of goodwill and long-lived assets,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6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 xml:space="preserve">The following discussion of our critical accounting estimates should be read in conjunction with </w:t>
      </w:r>
      <w:r>
        <w:rPr>
          <w:rFonts w:ascii="Arial" w:cs="Arial" w:eastAsia="Arial" w:hAnsi="Arial"/>
          <w:sz w:val="16"/>
          <w:szCs w:val="16"/>
          <w:u w:val="single" w:color="auto"/>
          <w:color w:val="0000FF"/>
        </w:rPr>
        <w:t>Note 1</w:t>
      </w:r>
      <w:r>
        <w:rPr>
          <w:rFonts w:ascii="Arial" w:cs="Arial" w:eastAsia="Arial" w:hAnsi="Arial"/>
          <w:sz w:val="16"/>
          <w:szCs w:val="16"/>
          <w:color w:val="auto"/>
        </w:rPr>
        <w:t>, “</w:t>
      </w:r>
      <w:r>
        <w:rPr>
          <w:rFonts w:ascii="Arial" w:cs="Arial" w:eastAsia="Arial" w:hAnsi="Arial"/>
          <w:sz w:val="16"/>
          <w:szCs w:val="16"/>
          <w:u w:val="single" w:color="auto"/>
          <w:color w:val="0000FF"/>
        </w:rPr>
        <w:t>Business Description and Significant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Policies</w:t>
      </w:r>
      <w:r>
        <w:rPr>
          <w:rFonts w:ascii="Arial" w:cs="Arial" w:eastAsia="Arial" w:hAnsi="Arial"/>
          <w:sz w:val="16"/>
          <w:szCs w:val="16"/>
          <w:color w:val="000000"/>
        </w:rPr>
        <w:t>”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-165735</wp:posOffset>
            </wp:positionV>
            <wp:extent cx="26244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3543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433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5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14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 xml:space="preserve">As of December 31, 2022 and 2021, we had total regulatory assets of $653 million and $797 million, respectively, and total regulatory liabilities of $519 million and $503 million, respectively.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1935480</wp:posOffset>
            </wp:positionH>
            <wp:positionV relativeFrom="paragraph">
              <wp:posOffset>-156210</wp:posOffset>
            </wp:positionV>
            <wp:extent cx="302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the CODM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6.9% to 7.0% and long-term growth rate projections of 1.75% were utilized in the goodwill impairment test performed as of October 1, 2022. Although 1.75% was used for a long-term growth rate projection, the short-term projected growth rate is higher with planned recovery of capital investments through rider mechanisms and rate reviews.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6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At October 1, 2022, fair value exceeded the carrying value at all reporting units. However, the Gas Utilities reporting unit’s fair value exceeded its carrying value by less than 10% and could be at risk for impairment if adverse macroeconomic conditions persist or deteriorate. The decrease in the fair value cushion of the Gas Utilities reporting unit when compared to the prior year was primarily due to an increase in the weighted average cost of capital.</w:t>
      </w:r>
    </w:p>
    <w:p>
      <w:pPr>
        <w:spacing w:after="0" w:line="144"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The estimates and assumptions used in our impairment assessments are based on available market information and we believe they are reasonable. However, variations in any of the assumptions could result in materially different calculations of fair value and determinations of whether or not an impairment is indicated.</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years ended December 31, 2022, 2021, and 2020, there were no impairment losses recorded. At December 31, 2022, the fair value exceeded the carrying value at all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549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made in the period such determination was made. These adjustments may increase or decrease earnings.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5" w:lineRule="exact"/>
        <w:rPr>
          <w:sz w:val="20"/>
          <w:szCs w:val="20"/>
          <w:color w:val="auto"/>
        </w:rPr>
      </w:pPr>
    </w:p>
    <w:p>
      <w:pPr>
        <w:ind w:left="5540" w:right="2240" w:hanging="5525"/>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information.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-165735</wp:posOffset>
            </wp:positionV>
            <wp:extent cx="3600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48" w:lineRule="exact"/>
        <w:rPr>
          <w:sz w:val="20"/>
          <w:szCs w:val="20"/>
          <w:color w:val="auto"/>
        </w:rPr>
      </w:pPr>
    </w:p>
    <w:p>
      <w:pPr>
        <w:ind w:left="520" w:right="20" w:hanging="512"/>
        <w:spacing w:after="0" w:line="259" w:lineRule="auto"/>
        <w:tabs>
          <w:tab w:leader="none" w:pos="5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the COVID-19 pandemic, weather (e.g. Winter Storm Uri), geopolitical events, market speculation, recession, inflation, pipeline constraints, and other factors that may impact natural gas and electric energy supply and demand; and</w:t>
      </w:r>
    </w:p>
    <w:p>
      <w:pPr>
        <w:spacing w:after="0" w:line="69" w:lineRule="exact"/>
        <w:rPr>
          <w:rFonts w:ascii="Times New Roman" w:cs="Times New Roman" w:eastAsia="Times New Roman" w:hAnsi="Times New Roman"/>
          <w:sz w:val="16"/>
          <w:szCs w:val="16"/>
          <w:color w:val="auto"/>
        </w:rPr>
      </w:pPr>
    </w:p>
    <w:p>
      <w:pPr>
        <w:ind w:left="520" w:right="340" w:hanging="512"/>
        <w:spacing w:after="0" w:line="285" w:lineRule="auto"/>
        <w:tabs>
          <w:tab w:leader="none" w:pos="5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any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 If state regulatory commissions decide to discontinue these tariff-based adjustment mechanisms, or there are delays in the timing of recovery under these mechanisms, we may be more exposed to commodity price risk.</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-31750</wp:posOffset>
            </wp:positionV>
            <wp:extent cx="302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and do not qualify for the normal purchase and normal sales exception for derivative accounting. Changes in the fair value of these commodity derivatives are recognized in the Consolidated Statements of Income.</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potential risk related to wholesale power sales is the price risk arising from the sale of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Black Hills Energy Services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To support our Choice Gas Program customers, we buy and sell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December 31, 2022 and 2021, a 10% change in market prices for our derivative instruments would not materially impact pre-tax income, the fair values of our derivative assets and liabilities, or OCI.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additional commodity risk and derivative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-4445</wp:posOffset>
            </wp:positionV>
            <wp:extent cx="302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2022, we had no interest rate swaps in place. Further details of past swap agreements are set forth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-151765</wp:posOffset>
            </wp:positionV>
            <wp:extent cx="3028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At December 31, 2022, 88% of our debt is fixed rate debt, which limits our exposure to variable interest rate fluctuations. A hypothetical 100 basis point increase in the benchmark rate on our variable rate debt would have increased annual pretax interest expense by approximately $4.1 million and $2.7 million for the years ended December 31, 2022 and 2021, respectively.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further information on cash amounts outstanding under short- and long-term variable 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-151765</wp:posOffset>
            </wp:positionV>
            <wp:extent cx="302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r>
        <w:rPr>
          <w:rFonts w:ascii="Arial" w:cs="Arial" w:eastAsia="Arial" w:hAnsi="Arial"/>
          <w:sz w:val="16"/>
          <w:szCs w:val="16"/>
          <w:u w:val="single" w:color="auto"/>
          <w:color w:val="0000FF"/>
        </w:rPr>
        <w:t>Critical Accounting Estimates</w:t>
      </w:r>
      <w:r>
        <w:rPr>
          <w:rFonts w:ascii="Arial" w:cs="Arial" w:eastAsia="Arial" w:hAnsi="Arial"/>
          <w:sz w:val="16"/>
          <w:szCs w:val="16"/>
          <w:color w:val="auto"/>
        </w:rPr>
        <w:t xml:space="preserve">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-31750</wp:posOffset>
            </wp:positionV>
            <wp:extent cx="2343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4378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2022 was concentrated primarily among retail utility customers, investment grade companies, cooperative utilities and federal agencies.</w:t>
      </w:r>
    </w:p>
    <w:p>
      <w:pPr>
        <w:spacing w:after="0" w:line="151" w:lineRule="exact"/>
        <w:rPr>
          <w:sz w:val="20"/>
          <w:szCs w:val="20"/>
          <w:color w:val="auto"/>
        </w:rPr>
      </w:pPr>
    </w:p>
    <w:p>
      <w:pPr>
        <w:ind w:left="5540" w:right="2160" w:hanging="5525"/>
        <w:spacing w:after="0" w:line="286" w:lineRule="auto"/>
        <w:rPr>
          <w:sz w:val="20"/>
          <w:szCs w:val="20"/>
          <w:color w:val="auto"/>
        </w:rPr>
      </w:pPr>
      <w:r>
        <w:rPr>
          <w:rFonts w:ascii="Arial" w:cs="Arial" w:eastAsia="Arial" w:hAnsi="Arial"/>
          <w:sz w:val="16"/>
          <w:szCs w:val="16"/>
          <w:color w:val="auto"/>
        </w:rPr>
        <w:t xml:space="preserve">See more information in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9</w:t>
      </w:r>
      <w:r>
        <w:rPr>
          <w:rFonts w:ascii="Arial" w:cs="Arial" w:eastAsia="Arial" w:hAnsi="Arial"/>
          <w:sz w:val="16"/>
          <w:szCs w:val="16"/>
          <w:color w:val="auto"/>
        </w:rPr>
        <w:t xml:space="preserve"> of the Notes to Consolidated Financial Statements in this Annual Report on Form 10-K.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-165735</wp:posOffset>
            </wp:positionV>
            <wp:extent cx="571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-165735</wp:posOffset>
            </wp:positionV>
            <wp:extent cx="571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8.FINANCIAL STATEMENTS AND SUPPLEMENTARY DATA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2022,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2022.</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2022. Deloitte &amp; Touche LLP's report on Black Hills Corporation's internal control over financial reporting is included herein.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2022 and 2021, the related consolidated statements of income, comprehensive income,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14, 2023, expressed an unqualified opinion on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a reasonable return on invested capital.</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194" w:lineRule="exact"/>
        <w:rPr>
          <w:sz w:val="20"/>
          <w:szCs w:val="20"/>
          <w:color w:val="auto"/>
        </w:rPr>
      </w:pPr>
    </w:p>
    <w:p>
      <w:pPr>
        <w:ind w:left="520" w:right="160" w:hanging="512"/>
        <w:spacing w:after="0" w:line="256" w:lineRule="auto"/>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70" w:lineRule="exact"/>
        <w:rPr>
          <w:rFonts w:ascii="Times New Roman" w:cs="Times New Roman" w:eastAsia="Times New Roman" w:hAnsi="Times New Roman"/>
          <w:sz w:val="16"/>
          <w:szCs w:val="16"/>
          <w:color w:val="auto"/>
        </w:rPr>
      </w:pPr>
    </w:p>
    <w:p>
      <w:pPr>
        <w:ind w:left="520" w:right="20" w:hanging="512"/>
        <w:spacing w:after="0" w:line="259" w:lineRule="auto"/>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read relevant regulatory orders issued by the Commissions, procedural memorandums, filings made by the Company, and other publicly available information, as appropriate, to assess the likelihood of recovery in future rates or of a future reduction in rates based on precedence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69" w:lineRule="exact"/>
        <w:rPr>
          <w:rFonts w:ascii="Times New Roman" w:cs="Times New Roman" w:eastAsia="Times New Roman" w:hAnsi="Times New Roman"/>
          <w:sz w:val="16"/>
          <w:szCs w:val="16"/>
          <w:color w:val="auto"/>
        </w:rPr>
      </w:pPr>
    </w:p>
    <w:p>
      <w:pPr>
        <w:jc w:val="both"/>
        <w:ind w:left="520" w:hanging="512"/>
        <w:spacing w:after="0" w:line="266" w:lineRule="auto"/>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to assess management’s assertion that amounts are probable of recovery or of a future reduction in rates.</w:t>
      </w:r>
    </w:p>
    <w:p>
      <w:pPr>
        <w:spacing w:after="0" w:line="62" w:lineRule="exact"/>
        <w:rPr>
          <w:rFonts w:ascii="Times New Roman" w:cs="Times New Roman" w:eastAsia="Times New Roman" w:hAnsi="Times New Roman"/>
          <w:sz w:val="16"/>
          <w:szCs w:val="16"/>
          <w:color w:val="auto"/>
        </w:rPr>
      </w:pPr>
    </w:p>
    <w:p>
      <w:pPr>
        <w:ind w:left="520" w:right="640" w:hanging="512"/>
        <w:spacing w:after="0" w:line="285" w:lineRule="auto"/>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2022, of the Company and our report dated February 14, 2023, expressed an unqualified opinion on those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4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38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98"/>
        </w:trPr>
        <w:tc>
          <w:tcPr>
            <w:tcW w:w="136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30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BLACK HILLS CORPORATION</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46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CONSOLIDATED STATEMENTS OF INCOME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12"/>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24"/>
                <w:szCs w:val="24"/>
                <w:color w:val="auto"/>
              </w:rPr>
            </w:pPr>
          </w:p>
        </w:tc>
        <w:tc>
          <w:tcPr>
            <w:tcW w:w="13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24"/>
                <w:szCs w:val="24"/>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1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209"/>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2,551,816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1,949,102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1,696,941</w:t>
            </w:r>
          </w:p>
        </w:tc>
      </w:tr>
      <w:tr>
        <w:trPr>
          <w:trHeight w:val="425"/>
        </w:trPr>
        <w:tc>
          <w:tcPr>
            <w:tcW w:w="382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9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17"/>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1,230,550</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741,934</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492,404</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Operations and maintenance</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548,430</w:t>
            </w: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501,690</w:t>
            </w:r>
          </w:p>
        </w:tc>
        <w:tc>
          <w:tcPr>
            <w:tcW w:w="12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495,404</w:t>
            </w:r>
          </w:p>
        </w:tc>
      </w:tr>
      <w:tr>
        <w:trPr>
          <w:trHeight w:val="217"/>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250,909</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235,953</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224,457</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Taxes - property and production</w:t>
            </w:r>
          </w:p>
        </w:tc>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66,683</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60,096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56,373</w:t>
            </w:r>
          </w:p>
        </w:tc>
      </w:tr>
      <w:tr>
        <w:trPr>
          <w:trHeight w:val="210"/>
        </w:trPr>
        <w:tc>
          <w:tcPr>
            <w:tcW w:w="38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2,096,572</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1,539,673</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1,268,638</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3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2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455,244</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409,429</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428,303</w:t>
            </w:r>
          </w:p>
        </w:tc>
      </w:tr>
      <w:tr>
        <w:trPr>
          <w:trHeight w:val="210"/>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188"/>
        </w:trPr>
        <w:tc>
          <w:tcPr>
            <w:tcW w:w="6900" w:type="dxa"/>
            <w:vAlign w:val="bottom"/>
            <w:gridSpan w:val="4"/>
          </w:tcPr>
          <w:p>
            <w:pPr>
              <w:ind w:left="20"/>
              <w:spacing w:after="0"/>
              <w:rPr>
                <w:sz w:val="20"/>
                <w:szCs w:val="20"/>
                <w:color w:val="auto"/>
              </w:rPr>
            </w:pPr>
            <w:r>
              <w:rPr>
                <w:rFonts w:ascii="Arial" w:cs="Arial" w:eastAsia="Arial" w:hAnsi="Arial"/>
                <w:sz w:val="16"/>
                <w:szCs w:val="16"/>
                <w:color w:val="auto"/>
              </w:rPr>
              <w:t>Interest expense incurred net of amounts capitalized (including amortization of debt issuance</w:t>
            </w: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costs, premiums and discounts)</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(162,584 )</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(154,112 )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(144,931 )</w:t>
            </w:r>
          </w:p>
        </w:tc>
      </w:tr>
      <w:tr>
        <w:trPr>
          <w:trHeight w:val="217"/>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1,595</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1,708</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1,461</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Impairment of investment</w:t>
            </w: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(6,859 )</w:t>
            </w:r>
          </w:p>
        </w:tc>
      </w:tr>
      <w:tr>
        <w:trPr>
          <w:trHeight w:val="216"/>
        </w:trPr>
        <w:tc>
          <w:tcPr>
            <w:tcW w:w="3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1,708</w:t>
            </w: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1,404</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(2,293 )</w:t>
            </w:r>
          </w:p>
        </w:tc>
      </w:tr>
      <w:tr>
        <w:trPr>
          <w:trHeight w:val="209"/>
        </w:trPr>
        <w:tc>
          <w:tcPr>
            <w:tcW w:w="3820" w:type="dxa"/>
            <w:vAlign w:val="bottom"/>
            <w:gridSpan w:val="2"/>
          </w:tcPr>
          <w:p>
            <w:pPr>
              <w:ind w:left="380"/>
              <w:spacing w:after="0"/>
              <w:rPr>
                <w:sz w:val="20"/>
                <w:szCs w:val="20"/>
                <w:color w:val="auto"/>
              </w:rPr>
            </w:pPr>
            <w:r>
              <w:rPr>
                <w:rFonts w:ascii="Arial" w:cs="Arial" w:eastAsia="Arial" w:hAnsi="Arial"/>
                <w:sz w:val="16"/>
                <w:szCs w:val="16"/>
                <w:color w:val="auto"/>
              </w:rPr>
              <w:t>Total other income (expense)</w:t>
            </w:r>
          </w:p>
        </w:tc>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(159,281 )</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(151,000 )</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(152,622 )</w:t>
            </w:r>
          </w:p>
        </w:tc>
      </w:tr>
      <w:tr>
        <w:trPr>
          <w:trHeight w:val="210"/>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Income before income taxes</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295,963</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258,429</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275,681</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(25,205 )</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(7,169 )</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(32,918 )</w:t>
            </w:r>
          </w:p>
        </w:tc>
      </w:tr>
      <w:tr>
        <w:trPr>
          <w:trHeight w:val="210"/>
        </w:trPr>
        <w:tc>
          <w:tcPr>
            <w:tcW w:w="3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270,758</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251,260</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242,763</w:t>
            </w:r>
          </w:p>
        </w:tc>
      </w:tr>
      <w:tr>
        <w:trPr>
          <w:trHeight w:val="215"/>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(12,371 )</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(14,516 )</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(15,155 )</w:t>
            </w:r>
          </w:p>
        </w:tc>
      </w:tr>
      <w:tr>
        <w:trPr>
          <w:trHeight w:val="249"/>
        </w:trPr>
        <w:tc>
          <w:tcPr>
            <w:tcW w:w="3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2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258,387</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236,744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227,608</w:t>
            </w:r>
          </w:p>
        </w:tc>
      </w:tr>
      <w:tr>
        <w:trPr>
          <w:trHeight w:val="412"/>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Earnings per share of common stock:</w:t>
            </w: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38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Earnings per share, Basic</w:t>
            </w:r>
          </w:p>
        </w:tc>
        <w:tc>
          <w:tcPr>
            <w:tcW w:w="29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3.98</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3.65</w:t>
            </w:r>
          </w:p>
        </w:tc>
      </w:tr>
      <w:tr>
        <w:trPr>
          <w:trHeight w:val="197"/>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Earnings per share, Diluted</w:t>
            </w: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3.65</w:t>
            </w:r>
          </w:p>
        </w:tc>
      </w:tr>
      <w:tr>
        <w:trPr>
          <w:trHeight w:val="20"/>
        </w:trPr>
        <w:tc>
          <w:tcPr>
            <w:tcW w:w="1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3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382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2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64,858</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63,219</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62,378</w:t>
            </w:r>
          </w:p>
        </w:tc>
      </w:tr>
      <w:tr>
        <w:trPr>
          <w:trHeight w:val="20"/>
        </w:trPr>
        <w:tc>
          <w:tcPr>
            <w:tcW w:w="1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38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29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65,021</w:t>
            </w: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63,325</w:t>
            </w:r>
          </w:p>
        </w:tc>
        <w:tc>
          <w:tcPr>
            <w:tcW w:w="1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62,439</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auto"/>
            </w:tcBorders>
          </w:tcPr>
          <w:p>
            <w:pPr>
              <w:ind w:left="3300"/>
              <w:spacing w:after="0"/>
              <w:rPr>
                <w:sz w:val="20"/>
                <w:szCs w:val="20"/>
                <w:color w:val="auto"/>
              </w:rPr>
            </w:pPr>
            <w:r>
              <w:rPr>
                <w:rFonts w:ascii="Arial" w:cs="Arial" w:eastAsia="Arial" w:hAnsi="Arial"/>
                <w:sz w:val="16"/>
                <w:szCs w:val="16"/>
                <w:b w:val="1"/>
                <w:bCs w:val="1"/>
                <w:color w:val="auto"/>
              </w:rPr>
              <w:t>Year ended</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270,758</w:t>
            </w:r>
          </w:p>
        </w:tc>
        <w:tc>
          <w:tcPr>
            <w:tcW w:w="28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251,260</w:t>
            </w:r>
          </w:p>
        </w:tc>
        <w:tc>
          <w:tcPr>
            <w:tcW w:w="26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242,763</w:t>
            </w:r>
          </w:p>
        </w:tc>
        <w:tc>
          <w:tcPr>
            <w:tcW w:w="0" w:type="dxa"/>
            <w:vAlign w:val="bottom"/>
          </w:tcPr>
          <w:p>
            <w:pPr>
              <w:spacing w:after="0"/>
              <w:rPr>
                <w:sz w:val="1"/>
                <w:szCs w:val="1"/>
                <w:color w:val="auto"/>
              </w:rPr>
            </w:pPr>
          </w:p>
        </w:tc>
      </w:tr>
      <w:tr>
        <w:trPr>
          <w:trHeight w:val="425"/>
        </w:trPr>
        <w:tc>
          <w:tcPr>
            <w:tcW w:w="74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Benefit plan liability adjustments - net gain (loss) (net of tax of $(1,505), $(664) and $191,</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4,604</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1,959</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(1,062 )</w:t>
            </w:r>
          </w:p>
        </w:tc>
        <w:tc>
          <w:tcPr>
            <w:tcW w:w="0" w:type="dxa"/>
            <w:vAlign w:val="bottom"/>
          </w:tcPr>
          <w:p>
            <w:pPr>
              <w:spacing w:after="0"/>
              <w:rPr>
                <w:sz w:val="1"/>
                <w:szCs w:val="1"/>
                <w:color w:val="auto"/>
              </w:rPr>
            </w:pPr>
          </w:p>
        </w:tc>
      </w:tr>
      <w:tr>
        <w:trPr>
          <w:trHeight w:val="188"/>
        </w:trPr>
        <w:tc>
          <w:tcPr>
            <w:tcW w:w="7440" w:type="dxa"/>
            <w:vAlign w:val="bottom"/>
          </w:tcPr>
          <w:p>
            <w:pPr>
              <w:ind w:left="380"/>
              <w:spacing w:after="0"/>
              <w:rPr>
                <w:sz w:val="20"/>
                <w:szCs w:val="20"/>
                <w:color w:val="auto"/>
              </w:rPr>
            </w:pPr>
            <w:r>
              <w:rPr>
                <w:rFonts w:ascii="Arial" w:cs="Arial" w:eastAsia="Arial" w:hAnsi="Arial"/>
                <w:sz w:val="16"/>
                <w:szCs w:val="16"/>
                <w:color w:val="auto"/>
              </w:rPr>
              <w:t>Reclassification adjustment of benefit plan liability - net loss (net of tax of $(226), $(665) and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6"/>
                <w:szCs w:val="16"/>
                <w:color w:val="auto"/>
              </w:rPr>
              <w:t>$(958), respectively)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1,726</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Reclassification adjustment of benefit plan liability - prior service cost (net of tax of $28, $27 and</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$23, respectively)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(65 )</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(71 )</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5"/>
        </w:trPr>
        <w:tc>
          <w:tcPr>
            <w:tcW w:w="7440" w:type="dxa"/>
            <w:vAlign w:val="bottom"/>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 swaps (net of tax</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$(721), $(677) and $(287), respectively)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2,174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188"/>
        </w:trPr>
        <w:tc>
          <w:tcPr>
            <w:tcW w:w="7440" w:type="dxa"/>
            <w:vAlign w:val="bottom"/>
          </w:tcPr>
          <w:p>
            <w:pPr>
              <w:ind w:left="380"/>
              <w:spacing w:after="0"/>
              <w:rPr>
                <w:sz w:val="20"/>
                <w:szCs w:val="20"/>
                <w:color w:val="auto"/>
              </w:rPr>
            </w:pPr>
            <w:r>
              <w:rPr>
                <w:rFonts w:ascii="Arial" w:cs="Arial" w:eastAsia="Arial" w:hAnsi="Arial"/>
                <w:sz w:val="16"/>
                <w:szCs w:val="16"/>
                <w:color w:val="auto"/>
              </w:rPr>
              <w:t>Net unrealized gains (losses) on commodity derivatives (net of tax of $193, $(980) and $14,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(631 )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3,023</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 (net of tax of $663,</w:t>
            </w: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(2,045 )</w:t>
            </w: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(1,549 )</w:t>
            </w:r>
          </w:p>
        </w:tc>
        <w:tc>
          <w:tcPr>
            <w:tcW w:w="2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$502 and $(96), respectively)</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4,517</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275,275</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258,522</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246,072</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(12,371 )</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(14,516 )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(15,155 )</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262,904</w:t>
            </w: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244,006</w:t>
            </w:r>
          </w:p>
        </w:tc>
        <w:tc>
          <w:tcPr>
            <w:tcW w:w="2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230,917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-2691130</wp:posOffset>
            </wp:positionV>
            <wp:extent cx="8890"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28257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-736600</wp:posOffset>
            </wp:positionV>
            <wp:extent cx="8890" cy="291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for additional disclosures related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-1270</wp:posOffset>
            </wp:positionV>
            <wp:extent cx="3130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3055"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3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98"/>
        </w:trPr>
        <w:tc>
          <w:tcPr>
            <w:tcW w:w="13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4700" w:type="dxa"/>
            <w:vAlign w:val="bottom"/>
            <w:gridSpan w:val="2"/>
          </w:tcPr>
          <w:p>
            <w:pPr>
              <w:jc w:val="right"/>
              <w:ind w:right="1299"/>
              <w:spacing w:after="0"/>
              <w:rPr>
                <w:sz w:val="20"/>
                <w:szCs w:val="20"/>
                <w:color w:val="auto"/>
              </w:rPr>
            </w:pPr>
            <w:r>
              <w:rPr>
                <w:rFonts w:ascii="Arial" w:cs="Arial" w:eastAsia="Arial" w:hAnsi="Arial"/>
                <w:sz w:val="16"/>
                <w:szCs w:val="16"/>
                <w:b w:val="1"/>
                <w:bCs w:val="1"/>
                <w:color w:val="auto"/>
              </w:rPr>
              <w:t>BLACK HILLS CORPORATION</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700" w:type="dxa"/>
            <w:vAlign w:val="bottom"/>
            <w:gridSpan w:val="2"/>
          </w:tcPr>
          <w:p>
            <w:pPr>
              <w:jc w:val="right"/>
              <w:ind w:right="1039"/>
              <w:spacing w:after="0"/>
              <w:rPr>
                <w:sz w:val="20"/>
                <w:szCs w:val="20"/>
                <w:color w:val="auto"/>
              </w:rPr>
            </w:pPr>
            <w:r>
              <w:rPr>
                <w:rFonts w:ascii="Arial" w:cs="Arial" w:eastAsia="Arial" w:hAnsi="Arial"/>
                <w:sz w:val="16"/>
                <w:szCs w:val="16"/>
                <w:b w:val="1"/>
                <w:bCs w:val="1"/>
                <w:color w:val="auto"/>
              </w:rPr>
              <w:t>CONSOLIDATED BALANCE SHEETS</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506"/>
        </w:trPr>
        <w:tc>
          <w:tcPr>
            <w:tcW w:w="1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As of</w:t>
            </w:r>
          </w:p>
        </w:tc>
        <w:tc>
          <w:tcPr>
            <w:tcW w:w="10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2021</w:t>
            </w:r>
          </w:p>
        </w:tc>
      </w:tr>
      <w:tr>
        <w:trPr>
          <w:trHeight w:val="210"/>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700" w:type="dxa"/>
            <w:vAlign w:val="bottom"/>
            <w:gridSpan w:val="2"/>
            <w:shd w:val="clear" w:color="auto" w:fill="CFF0FC"/>
          </w:tcPr>
          <w:p>
            <w:pPr>
              <w:jc w:val="right"/>
              <w:ind w:right="3979"/>
              <w:spacing w:after="0"/>
              <w:rPr>
                <w:sz w:val="20"/>
                <w:szCs w:val="20"/>
                <w:color w:val="auto"/>
              </w:rPr>
            </w:pPr>
            <w:r>
              <w:rPr>
                <w:rFonts w:ascii="Arial" w:cs="Arial" w:eastAsia="Arial" w:hAnsi="Arial"/>
                <w:sz w:val="16"/>
                <w:szCs w:val="16"/>
                <w:b w:val="1"/>
                <w:bCs w:val="1"/>
                <w:color w:val="auto"/>
                <w:w w:val="96"/>
              </w:rPr>
              <w:t>ASSETS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5"/>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3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470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21,430</w:t>
            </w:r>
          </w:p>
        </w:tc>
        <w:tc>
          <w:tcPr>
            <w:tcW w:w="760" w:type="dxa"/>
            <w:vAlign w:val="bottom"/>
            <w:gridSpan w:val="2"/>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8,921</w:t>
            </w: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Restricted cash and equivalents</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5,555</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4,889</w:t>
            </w:r>
          </w:p>
        </w:tc>
      </w:tr>
      <w:tr>
        <w:trPr>
          <w:trHeight w:val="217"/>
        </w:trPr>
        <w:tc>
          <w:tcPr>
            <w:tcW w:w="3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508,192</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321,652</w:t>
            </w: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Materials, supplies and fuel</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207,421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150,979</w:t>
            </w:r>
          </w:p>
        </w:tc>
      </w:tr>
      <w:tr>
        <w:trPr>
          <w:trHeight w:val="217"/>
        </w:trPr>
        <w:tc>
          <w:tcPr>
            <w:tcW w:w="3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Derivative assets, current</w:t>
            </w:r>
          </w:p>
        </w:tc>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582</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4,373</w:t>
            </w: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Income tax receivable, net</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17,637</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18,017</w:t>
            </w:r>
          </w:p>
        </w:tc>
      </w:tr>
      <w:tr>
        <w:trPr>
          <w:trHeight w:val="217"/>
        </w:trPr>
        <w:tc>
          <w:tcPr>
            <w:tcW w:w="3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current</w:t>
            </w:r>
          </w:p>
        </w:tc>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260,312</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270,290</w:t>
            </w: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Other current assets</w:t>
            </w:r>
          </w:p>
        </w:tc>
        <w:tc>
          <w:tcPr>
            <w:tcW w:w="4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50,579</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29,012</w:t>
            </w:r>
          </w:p>
        </w:tc>
      </w:tr>
      <w:tr>
        <w:trPr>
          <w:trHeight w:val="209"/>
        </w:trPr>
        <w:tc>
          <w:tcPr>
            <w:tcW w:w="34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4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1,071,708</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808,133</w:t>
            </w:r>
          </w:p>
        </w:tc>
      </w:tr>
      <w:tr>
        <w:trPr>
          <w:trHeight w:val="425"/>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w:t>
            </w:r>
          </w:p>
        </w:tc>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8,374,790</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7,856,573</w:t>
            </w:r>
          </w:p>
        </w:tc>
      </w:tr>
      <w:tr>
        <w:trPr>
          <w:trHeight w:val="216"/>
        </w:trPr>
        <w:tc>
          <w:tcPr>
            <w:tcW w:w="34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Less accumulated depreciation and depletion</w:t>
            </w:r>
          </w:p>
        </w:tc>
        <w:tc>
          <w:tcPr>
            <w:tcW w:w="4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(1,576,842 )</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(1,407,397 )</w:t>
            </w:r>
          </w:p>
        </w:tc>
      </w:tr>
      <w:tr>
        <w:trPr>
          <w:trHeight w:val="210"/>
        </w:trPr>
        <w:tc>
          <w:tcPr>
            <w:tcW w:w="3460" w:type="dxa"/>
            <w:vAlign w:val="bottom"/>
            <w:gridSpan w:val="2"/>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4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6,797,948</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6,449,176</w:t>
            </w:r>
          </w:p>
        </w:tc>
      </w:tr>
      <w:tr>
        <w:trPr>
          <w:trHeight w:val="210"/>
        </w:trPr>
        <w:tc>
          <w:tcPr>
            <w:tcW w:w="1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Goodwill</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1,299,454</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1,299,454</w:t>
            </w:r>
          </w:p>
        </w:tc>
      </w:tr>
      <w:tr>
        <w:trPr>
          <w:trHeight w:val="217"/>
        </w:trPr>
        <w:tc>
          <w:tcPr>
            <w:tcW w:w="346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4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9,589</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10,770</w:t>
            </w:r>
          </w:p>
        </w:tc>
      </w:tr>
      <w:tr>
        <w:trPr>
          <w:trHeight w:val="215"/>
        </w:trPr>
        <w:tc>
          <w:tcPr>
            <w:tcW w:w="3460" w:type="dxa"/>
            <w:vAlign w:val="bottom"/>
            <w:gridSpan w:val="2"/>
          </w:tcPr>
          <w:p>
            <w:pPr>
              <w:ind w:left="200"/>
              <w:spacing w:after="0"/>
              <w:rPr>
                <w:sz w:val="20"/>
                <w:szCs w:val="20"/>
                <w:color w:val="auto"/>
              </w:rPr>
            </w:pPr>
            <w:r>
              <w:rPr>
                <w:rFonts w:ascii="Arial" w:cs="Arial" w:eastAsia="Arial" w:hAnsi="Arial"/>
                <w:sz w:val="16"/>
                <w:szCs w:val="16"/>
                <w:color w:val="auto"/>
              </w:rPr>
              <w:t>Regulatory assets, non-current</w:t>
            </w:r>
          </w:p>
        </w:tc>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392,669</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526,309</w:t>
            </w:r>
          </w:p>
        </w:tc>
      </w:tr>
      <w:tr>
        <w:trPr>
          <w:trHeight w:val="216"/>
        </w:trPr>
        <w:tc>
          <w:tcPr>
            <w:tcW w:w="34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assets, non-current</w:t>
            </w:r>
          </w:p>
        </w:tc>
        <w:tc>
          <w:tcPr>
            <w:tcW w:w="4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46,862</w:t>
            </w:r>
          </w:p>
        </w:tc>
        <w:tc>
          <w:tcPr>
            <w:tcW w:w="1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38,054</w:t>
            </w:r>
          </w:p>
        </w:tc>
      </w:tr>
      <w:tr>
        <w:trPr>
          <w:trHeight w:val="209"/>
        </w:trPr>
        <w:tc>
          <w:tcPr>
            <w:tcW w:w="3460" w:type="dxa"/>
            <w:vAlign w:val="bottom"/>
            <w:gridSpan w:val="2"/>
          </w:tcPr>
          <w:p>
            <w:pPr>
              <w:ind w:left="380"/>
              <w:spacing w:after="0"/>
              <w:rPr>
                <w:sz w:val="20"/>
                <w:szCs w:val="20"/>
                <w:color w:val="auto"/>
              </w:rPr>
            </w:pPr>
            <w:r>
              <w:rPr>
                <w:rFonts w:ascii="Arial" w:cs="Arial" w:eastAsia="Arial" w:hAnsi="Arial"/>
                <w:sz w:val="16"/>
                <w:szCs w:val="16"/>
                <w:color w:val="auto"/>
              </w:rPr>
              <w:t>Total other assets, non-current</w:t>
            </w:r>
          </w:p>
        </w:tc>
        <w:tc>
          <w:tcPr>
            <w:tcW w:w="4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1,748,574</w:t>
            </w: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1,874,587</w:t>
            </w:r>
          </w:p>
        </w:tc>
      </w:tr>
      <w:tr>
        <w:trPr>
          <w:trHeight w:val="250"/>
        </w:trPr>
        <w:tc>
          <w:tcPr>
            <w:tcW w:w="34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4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9,618,230</w:t>
            </w:r>
          </w:p>
        </w:tc>
        <w:tc>
          <w:tcPr>
            <w:tcW w:w="1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9,131,896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-1713865</wp:posOffset>
            </wp:positionV>
            <wp:extent cx="111760" cy="282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760" cy="28257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-1293495</wp:posOffset>
            </wp:positionV>
            <wp:extent cx="111760"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29146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11176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76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8"/>
        </w:trPr>
        <w:tc>
          <w:tcPr>
            <w:tcW w:w="1360" w:type="dxa"/>
            <w:vAlign w:val="bottom"/>
            <w:tcBorders>
              <w:top w:val="single" w:sz="8" w:color="0000FF"/>
            </w:tcBorders>
          </w:tcPr>
          <w:p>
            <w:pPr>
              <w:spacing w:after="0"/>
              <w:rPr>
                <w:sz w:val="24"/>
                <w:szCs w:val="24"/>
                <w:color w:val="auto"/>
              </w:rPr>
            </w:pPr>
          </w:p>
        </w:tc>
        <w:tc>
          <w:tcPr>
            <w:tcW w:w="6360" w:type="dxa"/>
            <w:vAlign w:val="bottom"/>
          </w:tcPr>
          <w:p>
            <w:pPr>
              <w:jc w:val="center"/>
              <w:ind w:left="2079"/>
              <w:spacing w:after="0"/>
              <w:rPr>
                <w:sz w:val="20"/>
                <w:szCs w:val="20"/>
                <w:color w:val="auto"/>
              </w:rPr>
            </w:pPr>
            <w:r>
              <w:rPr>
                <w:rFonts w:ascii="Arial" w:cs="Arial" w:eastAsia="Arial" w:hAnsi="Arial"/>
                <w:sz w:val="16"/>
                <w:szCs w:val="16"/>
                <w:b w:val="1"/>
                <w:bCs w:val="1"/>
                <w:color w:val="auto"/>
              </w:rPr>
              <w:t>BLACK HILLS CORPORATION</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6360" w:type="dxa"/>
            <w:vAlign w:val="bottom"/>
          </w:tcPr>
          <w:p>
            <w:pPr>
              <w:jc w:val="center"/>
              <w:ind w:left="2099"/>
              <w:spacing w:after="0"/>
              <w:rPr>
                <w:sz w:val="20"/>
                <w:szCs w:val="20"/>
                <w:color w:val="auto"/>
              </w:rPr>
            </w:pPr>
            <w:r>
              <w:rPr>
                <w:rFonts w:ascii="Arial" w:cs="Arial" w:eastAsia="Arial" w:hAnsi="Arial"/>
                <w:sz w:val="16"/>
                <w:szCs w:val="16"/>
                <w:b w:val="1"/>
                <w:bCs w:val="1"/>
                <w:color w:val="auto"/>
              </w:rPr>
              <w:t>CONSOLIDATED BALANCE SHEETS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1360" w:type="dxa"/>
            <w:vAlign w:val="bottom"/>
          </w:tcPr>
          <w:p>
            <w:pPr>
              <w:spacing w:after="0"/>
              <w:rPr>
                <w:sz w:val="19"/>
                <w:szCs w:val="19"/>
                <w:color w:val="auto"/>
              </w:rPr>
            </w:pPr>
          </w:p>
        </w:tc>
        <w:tc>
          <w:tcPr>
            <w:tcW w:w="6360" w:type="dxa"/>
            <w:vAlign w:val="bottom"/>
          </w:tcPr>
          <w:p>
            <w:pPr>
              <w:jc w:val="center"/>
              <w:ind w:left="2079"/>
              <w:spacing w:after="0"/>
              <w:rPr>
                <w:sz w:val="20"/>
                <w:szCs w:val="20"/>
                <w:color w:val="auto"/>
              </w:rPr>
            </w:pPr>
            <w:r>
              <w:rPr>
                <w:rFonts w:ascii="Arial" w:cs="Arial" w:eastAsia="Arial" w:hAnsi="Arial"/>
                <w:sz w:val="16"/>
                <w:szCs w:val="16"/>
                <w:b w:val="1"/>
                <w:bCs w:val="1"/>
                <w:color w:val="auto"/>
              </w:rPr>
              <w:t>(Continued)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06"/>
        </w:trPr>
        <w:tc>
          <w:tcPr>
            <w:tcW w:w="13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As of</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rPr>
              <w:t>(in thousands, except share amounts)</w:t>
            </w:r>
          </w:p>
        </w:tc>
      </w:tr>
      <w:tr>
        <w:trPr>
          <w:trHeight w:val="216"/>
        </w:trPr>
        <w:tc>
          <w:tcPr>
            <w:tcW w:w="1360" w:type="dxa"/>
            <w:vAlign w:val="bottom"/>
            <w:shd w:val="clear" w:color="auto" w:fill="CFF0FC"/>
          </w:tcPr>
          <w:p>
            <w:pPr>
              <w:spacing w:after="0"/>
              <w:rPr>
                <w:sz w:val="18"/>
                <w:szCs w:val="18"/>
                <w:color w:val="auto"/>
              </w:rPr>
            </w:pPr>
          </w:p>
        </w:tc>
        <w:tc>
          <w:tcPr>
            <w:tcW w:w="6360" w:type="dxa"/>
            <w:vAlign w:val="bottom"/>
            <w:shd w:val="clear" w:color="auto" w:fill="CFF0FC"/>
          </w:tcPr>
          <w:p>
            <w:pPr>
              <w:ind w:left="14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310,020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217,761</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243,457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244,759</w:t>
            </w: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Derivative liabilities, current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Regulatory liabilities, current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46,013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17,574</w:t>
            </w: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Notes payable</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535,600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420,180</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525,000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7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1,666,690</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901,713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3,607,340</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4,126,923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508,941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465,388</w:t>
            </w: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liabilities, non-current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472,560</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485,377</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Benefit plan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116,742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123,925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deferred credits and 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156,062</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141,447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2"/>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1,254,305</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1,216,137</w:t>
            </w:r>
          </w:p>
        </w:tc>
        <w:tc>
          <w:tcPr>
            <w:tcW w:w="10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Commitments, contingencies and guarantees (Note 3)</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431"/>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Stockholders’ equity -</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8"/>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Common stock $1.00 par value; 100,000,000 shares authorized; issued: 66,140,396 and 64,793,095,</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66,140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64,793</w:t>
            </w: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1,882,653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1,783,436</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1,064,122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962,458</w:t>
            </w:r>
          </w:p>
        </w:tc>
        <w:tc>
          <w:tcPr>
            <w:tcW w:w="100" w:type="dxa"/>
            <w:vAlign w:val="bottom"/>
          </w:tcPr>
          <w:p>
            <w:pPr>
              <w:spacing w:after="0"/>
              <w:rPr>
                <w:sz w:val="18"/>
                <w:szCs w:val="18"/>
                <w:color w:val="auto"/>
              </w:rPr>
            </w:pPr>
          </w:p>
        </w:tc>
      </w:tr>
      <w:tr>
        <w:trPr>
          <w:trHeight w:val="217"/>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Treasury stock at cost - 36,726 and 54,078, respectively</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(2,435 )</w:t>
            </w:r>
          </w:p>
        </w:tc>
        <w:tc>
          <w:tcPr>
            <w:tcW w:w="6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(3,509 )</w:t>
            </w:r>
          </w:p>
        </w:tc>
      </w:tr>
      <w:tr>
        <w:trPr>
          <w:trHeight w:val="215"/>
        </w:trPr>
        <w:tc>
          <w:tcPr>
            <w:tcW w:w="7720" w:type="dxa"/>
            <w:vAlign w:val="bottom"/>
            <w:gridSpan w:val="2"/>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(15,567 )</w:t>
            </w:r>
          </w:p>
        </w:tc>
        <w:tc>
          <w:tcPr>
            <w:tcW w:w="6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(20,084 )</w:t>
            </w:r>
          </w:p>
        </w:tc>
      </w:tr>
      <w:tr>
        <w:trPr>
          <w:trHeight w:val="210"/>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2,994,913</w:t>
            </w:r>
          </w:p>
        </w:tc>
        <w:tc>
          <w:tcPr>
            <w:tcW w:w="12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2,787,094</w:t>
            </w:r>
          </w:p>
        </w:tc>
        <w:tc>
          <w:tcPr>
            <w:tcW w:w="100" w:type="dxa"/>
            <w:vAlign w:val="bottom"/>
            <w:shd w:val="clear" w:color="auto" w:fill="CFF0FC"/>
          </w:tcPr>
          <w:p>
            <w:pPr>
              <w:spacing w:after="0"/>
              <w:rPr>
                <w:sz w:val="18"/>
                <w:szCs w:val="18"/>
                <w:color w:val="auto"/>
              </w:rPr>
            </w:pPr>
          </w:p>
        </w:tc>
      </w:tr>
      <w:tr>
        <w:trPr>
          <w:trHeight w:val="215"/>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94,982</w:t>
            </w: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3,089,895</w:t>
            </w: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2,887,123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TOTAL LIABILITIES AND TOTAL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9,618,230</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-3359785</wp:posOffset>
            </wp:positionV>
            <wp:extent cx="68580"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-3076575</wp:posOffset>
            </wp:positionV>
            <wp:extent cx="6858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-2245360</wp:posOffset>
            </wp:positionV>
            <wp:extent cx="68580" cy="291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291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80" w:type="dxa"/>
            <w:vAlign w:val="bottom"/>
          </w:tcPr>
          <w:p>
            <w:pPr>
              <w:spacing w:after="0"/>
              <w:rPr>
                <w:sz w:val="16"/>
                <w:szCs w:val="16"/>
                <w:color w:val="auto"/>
              </w:rPr>
            </w:pPr>
          </w:p>
        </w:tc>
        <w:tc>
          <w:tcPr>
            <w:tcW w:w="13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3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09"/>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270,758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251,260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242,763</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250,909</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235,953</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224,457</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financing cost amortization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9,843</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6,968</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7,883</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Impairment of investment</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6,859</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compensation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8,551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9,655</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5,373</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25,592</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7,261</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38,091</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Employee benefit plans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5,459</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9,590</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11,997</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Other adjustments, net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(4,720 )</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7,018</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11,669</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certain operating assets and liabilities: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Materials, supplies and fuel</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(75,403 )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(35,707 )</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2,755</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 and other current assets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(184,448 )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(43,170 )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(10,843 )</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89,405</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10,660</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24,659</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Regulatory assets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203,869</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(514,687 )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(5,047 )</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Regulatory liabilities</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(9,533 )</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(10,706 )</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Contributions to defined benefit pension plans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(12,700 )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(15,014 )</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4,653</w:t>
            </w:r>
          </w:p>
        </w:tc>
      </w:tr>
      <w:tr>
        <w:trPr>
          <w:trHeight w:val="210"/>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584,801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(64,565 )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541,863</w:t>
            </w: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 additions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(604,365 )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(677,492 )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(767,404 )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13,262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5,740</w:t>
            </w:r>
          </w:p>
        </w:tc>
      </w:tr>
      <w:tr>
        <w:trPr>
          <w:trHeight w:val="210"/>
        </w:trPr>
        <w:tc>
          <w:tcPr>
            <w:tcW w:w="7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(603,880 )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(664,230 )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(761,664 )</w:t>
            </w:r>
          </w:p>
        </w:tc>
      </w:tr>
      <w:tr>
        <w:trPr>
          <w:trHeight w:val="215"/>
        </w:trPr>
        <w:tc>
          <w:tcPr>
            <w:tcW w:w="7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paid on common stock</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(156,723 )</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(145,023 )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(135,439 )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Common stock issued</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90,044</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118,979</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99,278</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Term Loan - borrowings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800,000</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Term Loan - repayments</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(800,000 )</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115,420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186,140</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(115,460 )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Long-term debt - issuance</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400,000</w:t>
            </w: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debt - repayments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(8,436 )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(8,597 )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(17,418 )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(15,749 )</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(15,839 )</w:t>
            </w: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931</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(4,045 )</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(7,061 )</w:t>
            </w:r>
          </w:p>
        </w:tc>
      </w:tr>
      <w:tr>
        <w:trPr>
          <w:trHeight w:val="210"/>
        </w:trPr>
        <w:tc>
          <w:tcPr>
            <w:tcW w:w="718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32,254</w:t>
            </w: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731,866</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216,882</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change in cash, restricted cash and cash equivalents</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13,175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3,071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(2,919 )</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Cash, restricted cash and cash equivalents beginning of year</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13,810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10,739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13,658</w:t>
            </w:r>
          </w:p>
        </w:tc>
      </w:tr>
      <w:tr>
        <w:trPr>
          <w:trHeight w:val="249"/>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Cash, restricted cash and cash equivalents end of year</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26,985</w:t>
            </w:r>
          </w:p>
        </w:tc>
        <w:tc>
          <w:tcPr>
            <w:tcW w:w="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13,810</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10,739</w:t>
            </w:r>
          </w:p>
        </w:tc>
      </w:tr>
      <w:tr>
        <w:trPr>
          <w:trHeight w:val="197"/>
        </w:trPr>
        <w:tc>
          <w:tcPr>
            <w:tcW w:w="718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7"/>
        </w:trPr>
        <w:tc>
          <w:tcPr>
            <w:tcW w:w="7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refunded during the period:</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Interest (net of amounts capitalized)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79"/>
              <w:spacing w:after="0"/>
              <w:rPr>
                <w:sz w:val="20"/>
                <w:szCs w:val="20"/>
                <w:color w:val="auto"/>
              </w:rPr>
            </w:pPr>
            <w:r>
              <w:rPr>
                <w:rFonts w:ascii="Arial" w:cs="Arial" w:eastAsia="Arial" w:hAnsi="Arial"/>
                <w:sz w:val="16"/>
                <w:szCs w:val="16"/>
                <w:color w:val="auto"/>
              </w:rPr>
              <w:t>(152,546 ) $</w:t>
            </w:r>
          </w:p>
        </w:tc>
        <w:tc>
          <w:tcPr>
            <w:tcW w:w="1340" w:type="dxa"/>
            <w:vAlign w:val="bottom"/>
            <w:gridSpan w:val="2"/>
          </w:tcPr>
          <w:p>
            <w:pPr>
              <w:jc w:val="right"/>
              <w:ind w:right="99"/>
              <w:spacing w:after="0"/>
              <w:rPr>
                <w:sz w:val="20"/>
                <w:szCs w:val="20"/>
                <w:color w:val="auto"/>
              </w:rPr>
            </w:pPr>
            <w:r>
              <w:rPr>
                <w:rFonts w:ascii="Arial" w:cs="Arial" w:eastAsia="Arial" w:hAnsi="Arial"/>
                <w:sz w:val="16"/>
                <w:szCs w:val="16"/>
                <w:color w:val="auto"/>
              </w:rPr>
              <w:t>(142,685 ) $</w:t>
            </w:r>
          </w:p>
        </w:tc>
        <w:tc>
          <w:tcPr>
            <w:tcW w:w="1060" w:type="dxa"/>
            <w:vAlign w:val="bottom"/>
          </w:tcPr>
          <w:p>
            <w:pPr>
              <w:jc w:val="right"/>
              <w:spacing w:after="0"/>
              <w:rPr>
                <w:sz w:val="20"/>
                <w:szCs w:val="20"/>
                <w:color w:val="auto"/>
              </w:rPr>
            </w:pPr>
            <w:r>
              <w:rPr>
                <w:rFonts w:ascii="Arial" w:cs="Arial" w:eastAsia="Arial" w:hAnsi="Arial"/>
                <w:sz w:val="16"/>
                <w:szCs w:val="16"/>
                <w:color w:val="auto"/>
              </w:rPr>
              <w:t>(136,549 )</w:t>
            </w: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771</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1,521</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2,172</w:t>
            </w:r>
          </w:p>
        </w:tc>
      </w:tr>
      <w:tr>
        <w:trPr>
          <w:trHeight w:val="215"/>
        </w:trPr>
        <w:tc>
          <w:tcPr>
            <w:tcW w:w="7180" w:type="dxa"/>
            <w:vAlign w:val="bottom"/>
          </w:tcPr>
          <w:p>
            <w:pPr>
              <w:ind w:left="20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7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property, plant and equipment purchases at December 31</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59,347</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68,758</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72,215</w:t>
            </w:r>
          </w:p>
        </w:tc>
      </w:tr>
      <w:tr>
        <w:trPr>
          <w:trHeight w:val="215"/>
        </w:trPr>
        <w:tc>
          <w:tcPr>
            <w:tcW w:w="7180" w:type="dxa"/>
            <w:vAlign w:val="bottom"/>
          </w:tcPr>
          <w:p>
            <w:pPr>
              <w:ind w:left="380"/>
              <w:spacing w:after="0"/>
              <w:rPr>
                <w:sz w:val="20"/>
                <w:szCs w:val="20"/>
                <w:color w:val="auto"/>
              </w:rPr>
            </w:pPr>
            <w:r>
              <w:rPr>
                <w:rFonts w:ascii="Arial" w:cs="Arial" w:eastAsia="Arial" w:hAnsi="Arial"/>
                <w:sz w:val="16"/>
                <w:szCs w:val="16"/>
                <w:color w:val="auto"/>
              </w:rPr>
              <w:t>Increase in capitalized assets associated with asset retirement obligations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14,032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2,109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4,774</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172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0"/>
        </w:trPr>
        <w:tc>
          <w:tcPr>
            <w:tcW w:w="3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328"/>
              <w:spacing w:after="0" w:line="160"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3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Paid in</w:t>
            </w:r>
          </w:p>
        </w:tc>
        <w:tc>
          <w:tcPr>
            <w:tcW w:w="9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controllin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9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AOCI</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 Interest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60"/>
        </w:trPr>
        <w:tc>
          <w:tcPr>
            <w:tcW w:w="314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2019</w:t>
            </w:r>
          </w:p>
        </w:tc>
        <w:tc>
          <w:tcPr>
            <w:tcW w:w="860" w:type="dxa"/>
            <w:vAlign w:val="bottom"/>
            <w:shd w:val="clear" w:color="auto" w:fill="CFF0FC"/>
          </w:tcPr>
          <w:p>
            <w:pPr>
              <w:jc w:val="right"/>
              <w:ind w:right="68"/>
              <w:spacing w:after="0" w:line="160" w:lineRule="exact"/>
              <w:rPr>
                <w:sz w:val="20"/>
                <w:szCs w:val="20"/>
                <w:color w:val="auto"/>
              </w:rPr>
            </w:pPr>
            <w:r>
              <w:rPr>
                <w:rFonts w:ascii="Arial" w:cs="Arial" w:eastAsia="Arial" w:hAnsi="Arial"/>
                <w:sz w:val="14"/>
                <w:szCs w:val="14"/>
                <w:color w:val="auto"/>
              </w:rPr>
              <w:t>61,480,6</w:t>
            </w: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88"/>
              <w:spacing w:after="0" w:line="160" w:lineRule="exact"/>
              <w:rPr>
                <w:sz w:val="20"/>
                <w:szCs w:val="20"/>
                <w:color w:val="auto"/>
              </w:rPr>
            </w:pPr>
            <w:r>
              <w:rPr>
                <w:rFonts w:ascii="Arial" w:cs="Arial" w:eastAsia="Arial" w:hAnsi="Arial"/>
                <w:sz w:val="14"/>
                <w:szCs w:val="14"/>
                <w:color w:val="auto"/>
              </w:rPr>
              <w:t>1,552,78</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08"/>
              <w:spacing w:after="0" w:line="160" w:lineRule="exact"/>
              <w:rPr>
                <w:sz w:val="20"/>
                <w:szCs w:val="20"/>
                <w:color w:val="auto"/>
              </w:rPr>
            </w:pPr>
            <w:r>
              <w:rPr>
                <w:rFonts w:ascii="Arial" w:cs="Arial" w:eastAsia="Arial" w:hAnsi="Arial"/>
                <w:sz w:val="14"/>
                <w:szCs w:val="14"/>
                <w:color w:val="auto"/>
              </w:rPr>
              <w:t>(30,65</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60" w:lineRule="exact"/>
              <w:rPr>
                <w:sz w:val="20"/>
                <w:szCs w:val="20"/>
                <w:color w:val="auto"/>
              </w:rPr>
            </w:pPr>
            <w:r>
              <w:rPr>
                <w:rFonts w:ascii="Arial" w:cs="Arial" w:eastAsia="Arial" w:hAnsi="Arial"/>
                <w:sz w:val="14"/>
                <w:szCs w:val="14"/>
                <w:color w:val="auto"/>
              </w:rPr>
              <w:t>2,464,06</w:t>
            </w:r>
          </w:p>
        </w:tc>
      </w:tr>
      <w:tr>
        <w:trPr>
          <w:trHeight w:val="185"/>
        </w:trPr>
        <w:tc>
          <w:tcPr>
            <w:tcW w:w="3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$ 61,481</w:t>
            </w:r>
          </w:p>
        </w:tc>
        <w:tc>
          <w:tcPr>
            <w:tcW w:w="2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3,956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(267 )</w:t>
            </w:r>
          </w:p>
        </w:tc>
        <w:tc>
          <w:tcPr>
            <w:tcW w:w="2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778,776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5 )</w:t>
            </w:r>
          </w:p>
        </w:tc>
        <w:tc>
          <w:tcPr>
            <w:tcW w:w="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101,946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227,608</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15,155</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242,763</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3,309</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3,309</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Dividends on common stock ($2.17 per share)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(135,439 )</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(135,439 )</w:t>
            </w:r>
          </w:p>
        </w:tc>
      </w:tr>
      <w:tr>
        <w:trPr>
          <w:trHeight w:val="166"/>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28,53</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(1,85</w:t>
            </w: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r>
        <w:trPr>
          <w:trHeight w:val="185"/>
        </w:trPr>
        <w:tc>
          <w:tcPr>
            <w:tcW w:w="3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123,578</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6,923</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5,194</w:t>
            </w:r>
          </w:p>
        </w:tc>
      </w:tr>
      <w:tr>
        <w:trPr>
          <w:trHeight w:val="166"/>
        </w:trPr>
        <w:tc>
          <w:tcPr>
            <w:tcW w:w="31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1,222,94</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3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1,223</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98,777</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100,000</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(1,203 )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(1,203 )</w:t>
            </w:r>
          </w:p>
        </w:tc>
      </w:tr>
      <w:tr>
        <w:trPr>
          <w:trHeight w:val="166"/>
        </w:trPr>
        <w:tc>
          <w:tcPr>
            <w:tcW w:w="3140" w:type="dxa"/>
            <w:vAlign w:val="bottom"/>
          </w:tcPr>
          <w:p>
            <w:pPr>
              <w:ind w:left="20"/>
              <w:spacing w:after="0"/>
              <w:rPr>
                <w:sz w:val="20"/>
                <w:szCs w:val="20"/>
                <w:color w:val="auto"/>
              </w:rPr>
            </w:pPr>
            <w:r>
              <w:rPr>
                <w:rFonts w:ascii="Arial" w:cs="Arial" w:eastAsia="Arial" w:hAnsi="Arial"/>
                <w:sz w:val="14"/>
                <w:szCs w:val="14"/>
                <w:color w:val="auto"/>
              </w:rPr>
              <w:t>Implementation of ASU 2016-13 Financial</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3140" w:type="dxa"/>
            <w:vAlign w:val="bottom"/>
          </w:tcPr>
          <w:p>
            <w:pPr>
              <w:ind w:left="20"/>
              <w:spacing w:after="0"/>
              <w:rPr>
                <w:sz w:val="20"/>
                <w:szCs w:val="20"/>
                <w:color w:val="auto"/>
              </w:rPr>
            </w:pPr>
            <w:r>
              <w:rPr>
                <w:rFonts w:ascii="Arial" w:cs="Arial" w:eastAsia="Arial" w:hAnsi="Arial"/>
                <w:sz w:val="14"/>
                <w:szCs w:val="14"/>
                <w:color w:val="auto"/>
              </w:rPr>
              <w:t>Instruments - Credit Losses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(207 )</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(207 )</w:t>
            </w:r>
          </w:p>
        </w:tc>
      </w:tr>
      <w:tr>
        <w:trPr>
          <w:trHeight w:val="189"/>
        </w:trPr>
        <w:tc>
          <w:tcPr>
            <w:tcW w:w="3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(15,839 )</w:t>
            </w:r>
          </w:p>
        </w:tc>
        <w:tc>
          <w:tcPr>
            <w:tcW w:w="2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(15,839 )</w:t>
            </w:r>
          </w:p>
        </w:tc>
      </w:tr>
      <w:tr>
        <w:trPr>
          <w:trHeight w:val="160"/>
        </w:trPr>
        <w:tc>
          <w:tcPr>
            <w:tcW w:w="314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2020</w:t>
            </w:r>
          </w:p>
        </w:tc>
        <w:tc>
          <w:tcPr>
            <w:tcW w:w="860" w:type="dxa"/>
            <w:vAlign w:val="bottom"/>
          </w:tcPr>
          <w:p>
            <w:pPr>
              <w:jc w:val="right"/>
              <w:ind w:right="68"/>
              <w:spacing w:after="0" w:line="160" w:lineRule="exact"/>
              <w:rPr>
                <w:sz w:val="20"/>
                <w:szCs w:val="20"/>
                <w:color w:val="auto"/>
              </w:rPr>
            </w:pPr>
            <w:r>
              <w:rPr>
                <w:rFonts w:ascii="Arial" w:cs="Arial" w:eastAsia="Arial" w:hAnsi="Arial"/>
                <w:sz w:val="14"/>
                <w:szCs w:val="14"/>
                <w:color w:val="auto"/>
              </w:rPr>
              <w:t>62,827,1</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32,49</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88"/>
              <w:spacing w:after="0" w:line="160" w:lineRule="exact"/>
              <w:rPr>
                <w:sz w:val="20"/>
                <w:szCs w:val="20"/>
                <w:color w:val="auto"/>
              </w:rPr>
            </w:pPr>
            <w:r>
              <w:rPr>
                <w:rFonts w:ascii="Arial" w:cs="Arial" w:eastAsia="Arial" w:hAnsi="Arial"/>
                <w:sz w:val="14"/>
                <w:szCs w:val="14"/>
                <w:color w:val="auto"/>
              </w:rPr>
              <w:t>1,657,28</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(27,34</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48"/>
              <w:spacing w:after="0" w:line="160" w:lineRule="exact"/>
              <w:rPr>
                <w:sz w:val="20"/>
                <w:szCs w:val="20"/>
                <w:color w:val="auto"/>
              </w:rPr>
            </w:pPr>
            <w:r>
              <w:rPr>
                <w:rFonts w:ascii="Arial" w:cs="Arial" w:eastAsia="Arial" w:hAnsi="Arial"/>
                <w:sz w:val="14"/>
                <w:szCs w:val="14"/>
                <w:color w:val="auto"/>
              </w:rPr>
              <w:t>2,662,64</w:t>
            </w:r>
          </w:p>
        </w:tc>
      </w:tr>
      <w:tr>
        <w:trPr>
          <w:trHeight w:val="185"/>
        </w:trPr>
        <w:tc>
          <w:tcPr>
            <w:tcW w:w="3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$ 62,827</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5"/>
              </w:rPr>
              <w:t>(2,119 )</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870,738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6 )</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101,262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236,744</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14,516</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251,260</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7,262</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7,262</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Dividends on common stock ($2.29 per share)</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(145,023 )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(145,023 )</w:t>
            </w:r>
          </w:p>
        </w:tc>
      </w:tr>
      <w:tr>
        <w:trPr>
          <w:trHeight w:val="166"/>
        </w:trPr>
        <w:tc>
          <w:tcPr>
            <w:tcW w:w="31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21,58</w:t>
            </w:r>
          </w:p>
        </w:tc>
        <w:tc>
          <w:tcPr>
            <w:tcW w:w="2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3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153,719</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0 )</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9,256</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8,020</w:t>
            </w:r>
          </w:p>
        </w:tc>
      </w:tr>
      <w:tr>
        <w:trPr>
          <w:trHeight w:val="166"/>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1,812,19</w:t>
            </w: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r>
        <w:trPr>
          <w:trHeight w:val="185"/>
        </w:trPr>
        <w:tc>
          <w:tcPr>
            <w:tcW w:w="3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1,812</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118,112</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119,924</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(1,217 )</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(1,217 )</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(1 )</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(15,749 )</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(15,749 )</w:t>
            </w:r>
          </w:p>
        </w:tc>
      </w:tr>
      <w:tr>
        <w:trPr>
          <w:trHeight w:val="160"/>
        </w:trPr>
        <w:tc>
          <w:tcPr>
            <w:tcW w:w="314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2021</w:t>
            </w:r>
          </w:p>
        </w:tc>
        <w:tc>
          <w:tcPr>
            <w:tcW w:w="860" w:type="dxa"/>
            <w:vAlign w:val="bottom"/>
            <w:shd w:val="clear" w:color="auto" w:fill="CFF0FC"/>
          </w:tcPr>
          <w:p>
            <w:pPr>
              <w:jc w:val="right"/>
              <w:ind w:right="68"/>
              <w:spacing w:after="0" w:line="160" w:lineRule="exact"/>
              <w:rPr>
                <w:sz w:val="20"/>
                <w:szCs w:val="20"/>
                <w:color w:val="auto"/>
              </w:rPr>
            </w:pPr>
            <w:r>
              <w:rPr>
                <w:rFonts w:ascii="Arial" w:cs="Arial" w:eastAsia="Arial" w:hAnsi="Arial"/>
                <w:sz w:val="14"/>
                <w:szCs w:val="14"/>
                <w:color w:val="auto"/>
              </w:rPr>
              <w:t>64,793,0</w:t>
            </w: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08"/>
              <w:spacing w:after="0" w:line="160" w:lineRule="exact"/>
              <w:rPr>
                <w:sz w:val="20"/>
                <w:szCs w:val="20"/>
                <w:color w:val="auto"/>
              </w:rPr>
            </w:pPr>
            <w:r>
              <w:rPr>
                <w:rFonts w:ascii="Arial" w:cs="Arial" w:eastAsia="Arial" w:hAnsi="Arial"/>
                <w:sz w:val="14"/>
                <w:szCs w:val="14"/>
                <w:color w:val="auto"/>
              </w:rPr>
              <w:t>54,07</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8"/>
              <w:spacing w:after="0" w:line="160" w:lineRule="exact"/>
              <w:rPr>
                <w:sz w:val="20"/>
                <w:szCs w:val="20"/>
                <w:color w:val="auto"/>
              </w:rPr>
            </w:pPr>
            <w:r>
              <w:rPr>
                <w:rFonts w:ascii="Arial" w:cs="Arial" w:eastAsia="Arial" w:hAnsi="Arial"/>
                <w:sz w:val="14"/>
                <w:szCs w:val="14"/>
                <w:color w:val="auto"/>
              </w:rPr>
              <w:t>(3,50</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88"/>
              <w:spacing w:after="0" w:line="160" w:lineRule="exact"/>
              <w:rPr>
                <w:sz w:val="20"/>
                <w:szCs w:val="20"/>
                <w:color w:val="auto"/>
              </w:rPr>
            </w:pPr>
            <w:r>
              <w:rPr>
                <w:rFonts w:ascii="Arial" w:cs="Arial" w:eastAsia="Arial" w:hAnsi="Arial"/>
                <w:sz w:val="14"/>
                <w:szCs w:val="14"/>
                <w:color w:val="auto"/>
              </w:rPr>
              <w:t>1,783,43</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08"/>
              <w:spacing w:after="0" w:line="160" w:lineRule="exact"/>
              <w:rPr>
                <w:sz w:val="20"/>
                <w:szCs w:val="20"/>
                <w:color w:val="auto"/>
              </w:rPr>
            </w:pPr>
            <w:r>
              <w:rPr>
                <w:rFonts w:ascii="Arial" w:cs="Arial" w:eastAsia="Arial" w:hAnsi="Arial"/>
                <w:sz w:val="14"/>
                <w:szCs w:val="14"/>
                <w:color w:val="auto"/>
              </w:rPr>
              <w:t>(20,08</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60" w:lineRule="exact"/>
              <w:rPr>
                <w:sz w:val="20"/>
                <w:szCs w:val="20"/>
                <w:color w:val="auto"/>
              </w:rPr>
            </w:pPr>
            <w:r>
              <w:rPr>
                <w:rFonts w:ascii="Arial" w:cs="Arial" w:eastAsia="Arial" w:hAnsi="Arial"/>
                <w:sz w:val="14"/>
                <w:szCs w:val="14"/>
                <w:color w:val="auto"/>
              </w:rPr>
              <w:t>2,887,12</w:t>
            </w:r>
          </w:p>
        </w:tc>
      </w:tr>
      <w:tr>
        <w:trPr>
          <w:trHeight w:val="185"/>
        </w:trPr>
        <w:tc>
          <w:tcPr>
            <w:tcW w:w="3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95</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$ 64,793</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9 )</w:t>
            </w:r>
          </w:p>
        </w:tc>
        <w:tc>
          <w:tcPr>
            <w:tcW w:w="2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962,458</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4 )</w:t>
            </w:r>
          </w:p>
        </w:tc>
        <w:tc>
          <w:tcPr>
            <w:tcW w:w="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100,029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258,387</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12,371</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270,758</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4,517</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4,517</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Dividends on common stock ($2.41 per share)</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(156,723 )</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(156,723 )</w:t>
            </w:r>
          </w:p>
        </w:tc>
      </w:tr>
      <w:tr>
        <w:trPr>
          <w:trHeight w:val="166"/>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8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r>
      <w:tr>
        <w:trPr>
          <w:trHeight w:val="185"/>
        </w:trPr>
        <w:tc>
          <w:tcPr>
            <w:tcW w:w="3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39,546</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52 )</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1,074</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10,481</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11,594</w:t>
            </w:r>
          </w:p>
        </w:tc>
      </w:tr>
      <w:tr>
        <w:trPr>
          <w:trHeight w:val="166"/>
        </w:trPr>
        <w:tc>
          <w:tcPr>
            <w:tcW w:w="314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1,307,75</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5"/>
        </w:trPr>
        <w:tc>
          <w:tcPr>
            <w:tcW w:w="314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1,308</w:t>
            </w:r>
          </w:p>
        </w:tc>
        <w:tc>
          <w:tcPr>
            <w:tcW w:w="260" w:type="dxa"/>
            <w:vAlign w:val="bottom"/>
          </w:tcPr>
          <w:p>
            <w:pPr>
              <w:spacing w:after="0"/>
              <w:rPr>
                <w:sz w:val="16"/>
                <w:szCs w:val="16"/>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89,889</w:t>
            </w:r>
          </w:p>
        </w:tc>
        <w:tc>
          <w:tcPr>
            <w:tcW w:w="20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91,197</w:t>
            </w: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(1,153 )</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(1,153 )</w:t>
            </w:r>
          </w:p>
        </w:tc>
      </w:tr>
      <w:tr>
        <w:trPr>
          <w:trHeight w:val="189"/>
        </w:trPr>
        <w:tc>
          <w:tcPr>
            <w:tcW w:w="314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(17,418 )</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(17,418 )</w:t>
            </w:r>
          </w:p>
        </w:tc>
      </w:tr>
      <w:tr>
        <w:trPr>
          <w:trHeight w:val="160"/>
        </w:trPr>
        <w:tc>
          <w:tcPr>
            <w:tcW w:w="314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2022</w:t>
            </w:r>
          </w:p>
        </w:tc>
        <w:tc>
          <w:tcPr>
            <w:tcW w:w="860" w:type="dxa"/>
            <w:vAlign w:val="bottom"/>
            <w:shd w:val="clear" w:color="auto" w:fill="CFF0FC"/>
          </w:tcPr>
          <w:p>
            <w:pPr>
              <w:jc w:val="right"/>
              <w:ind w:right="68"/>
              <w:spacing w:after="0" w:line="160" w:lineRule="exact"/>
              <w:rPr>
                <w:sz w:val="20"/>
                <w:szCs w:val="20"/>
                <w:color w:val="auto"/>
              </w:rPr>
            </w:pPr>
            <w:r>
              <w:rPr>
                <w:rFonts w:ascii="Arial" w:cs="Arial" w:eastAsia="Arial" w:hAnsi="Arial"/>
                <w:sz w:val="14"/>
                <w:szCs w:val="14"/>
                <w:color w:val="auto"/>
              </w:rPr>
              <w:t>66,140,3</w:t>
            </w: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108"/>
              <w:spacing w:after="0" w:line="160" w:lineRule="exact"/>
              <w:rPr>
                <w:sz w:val="20"/>
                <w:szCs w:val="20"/>
                <w:color w:val="auto"/>
              </w:rPr>
            </w:pPr>
            <w:r>
              <w:rPr>
                <w:rFonts w:ascii="Arial" w:cs="Arial" w:eastAsia="Arial" w:hAnsi="Arial"/>
                <w:sz w:val="14"/>
                <w:szCs w:val="14"/>
                <w:color w:val="auto"/>
              </w:rPr>
              <w:t>36,72</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8"/>
              <w:spacing w:after="0" w:line="160" w:lineRule="exact"/>
              <w:rPr>
                <w:sz w:val="20"/>
                <w:szCs w:val="20"/>
                <w:color w:val="auto"/>
              </w:rPr>
            </w:pPr>
            <w:r>
              <w:rPr>
                <w:rFonts w:ascii="Arial" w:cs="Arial" w:eastAsia="Arial" w:hAnsi="Arial"/>
                <w:sz w:val="14"/>
                <w:szCs w:val="14"/>
                <w:color w:val="auto"/>
              </w:rPr>
              <w:t>(2,43</w:t>
            </w:r>
          </w:p>
        </w:tc>
        <w:tc>
          <w:tcPr>
            <w:tcW w:w="26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88"/>
              <w:spacing w:after="0" w:line="160" w:lineRule="exact"/>
              <w:rPr>
                <w:sz w:val="20"/>
                <w:szCs w:val="20"/>
                <w:color w:val="auto"/>
              </w:rPr>
            </w:pPr>
            <w:r>
              <w:rPr>
                <w:rFonts w:ascii="Arial" w:cs="Arial" w:eastAsia="Arial" w:hAnsi="Arial"/>
                <w:sz w:val="14"/>
                <w:szCs w:val="14"/>
                <w:color w:val="auto"/>
              </w:rPr>
              <w:t>1,882,65</w:t>
            </w: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88"/>
              <w:spacing w:after="0" w:line="160" w:lineRule="exact"/>
              <w:rPr>
                <w:sz w:val="20"/>
                <w:szCs w:val="20"/>
                <w:color w:val="auto"/>
              </w:rPr>
            </w:pPr>
            <w:r>
              <w:rPr>
                <w:rFonts w:ascii="Arial" w:cs="Arial" w:eastAsia="Arial" w:hAnsi="Arial"/>
                <w:sz w:val="14"/>
                <w:szCs w:val="14"/>
                <w:color w:val="auto"/>
              </w:rPr>
              <w:t>1,064,12</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108"/>
              <w:spacing w:after="0" w:line="160" w:lineRule="exact"/>
              <w:rPr>
                <w:sz w:val="20"/>
                <w:szCs w:val="20"/>
                <w:color w:val="auto"/>
              </w:rPr>
            </w:pPr>
            <w:r>
              <w:rPr>
                <w:rFonts w:ascii="Arial" w:cs="Arial" w:eastAsia="Arial" w:hAnsi="Arial"/>
                <w:sz w:val="14"/>
                <w:szCs w:val="14"/>
                <w:color w:val="auto"/>
              </w:rPr>
              <w:t>(15,56</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48"/>
              <w:spacing w:after="0" w:line="160" w:lineRule="exact"/>
              <w:rPr>
                <w:sz w:val="20"/>
                <w:szCs w:val="20"/>
                <w:color w:val="auto"/>
              </w:rPr>
            </w:pPr>
            <w:r>
              <w:rPr>
                <w:rFonts w:ascii="Arial" w:cs="Arial" w:eastAsia="Arial" w:hAnsi="Arial"/>
                <w:sz w:val="14"/>
                <w:szCs w:val="14"/>
                <w:color w:val="auto"/>
              </w:rPr>
              <w:t>3,089,89</w:t>
            </w:r>
          </w:p>
        </w:tc>
      </w:tr>
      <w:tr>
        <w:trPr>
          <w:trHeight w:val="225"/>
        </w:trPr>
        <w:tc>
          <w:tcPr>
            <w:tcW w:w="3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96</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$ 66,140</w:t>
            </w:r>
          </w:p>
        </w:tc>
        <w:tc>
          <w:tcPr>
            <w:tcW w:w="2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2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7 )</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94,982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-1270</wp:posOffset>
            </wp:positionV>
            <wp:extent cx="18027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27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2022, 2021 and 2020</w:t>
      </w:r>
    </w:p>
    <w:p>
      <w:pPr>
        <w:spacing w:after="0" w:line="178" w:lineRule="exact"/>
        <w:rPr>
          <w:sz w:val="20"/>
          <w:szCs w:val="20"/>
          <w:color w:val="auto"/>
        </w:rPr>
      </w:pPr>
    </w:p>
    <w:p>
      <w:pPr>
        <w:ind w:right="5320" w:firstLine="8"/>
        <w:spacing w:after="0" w:line="493" w:lineRule="auto"/>
        <w:tabs>
          <w:tab w:leader="none" w:pos="50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ind w:right="140"/>
        <w:spacing w:after="0" w:line="266"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and Gas Utilities. Certain unallocated corporate expenses that support our operating segments are presented as 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Company’s Consolidated Financial Statements reflect estimates and assumptions made by management that affect the reported amounts of assets and liabilities and disclosure of contingent assets and liabilities at the date of the Consolidated Financial Statements and reported amounts of revenue and expenses during the reporting periods presented. The Company considered the impacts of COVID-19 on the assumptions and estimates used and determined that, for the years ended December 31, 2022, 2021 and 2020, there were no material adverse impacts on the Company’s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intercompany balances and transactions have been eliminated in consolidation. For additional information on intercompany revenues, see </w:t>
      </w:r>
      <w:r>
        <w:rPr>
          <w:rFonts w:ascii="Arial" w:cs="Arial" w:eastAsia="Arial" w:hAnsi="Arial"/>
          <w:sz w:val="16"/>
          <w:szCs w:val="16"/>
          <w:u w:val="single" w:color="auto"/>
          <w:color w:val="0000FF"/>
        </w:rPr>
        <w:t>Note 16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6443980</wp:posOffset>
            </wp:positionH>
            <wp:positionV relativeFrom="paragraph">
              <wp:posOffset>-14605</wp:posOffset>
            </wp:positionV>
            <wp:extent cx="3600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Our Consolidated Statements of Income include operating activity of acquired companies beginning with their acquisition date. We use the proportionate consolidation method to account for our ownership interest in any jointly-owned electric utility generation facility, wind farm or transmission tie. See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6675755</wp:posOffset>
            </wp:positionH>
            <wp:positionV relativeFrom="paragraph">
              <wp:posOffset>-156210</wp:posOffset>
            </wp:positionV>
            <wp:extent cx="3028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w:t>
      </w:r>
      <w:r>
        <w:rPr>
          <w:rFonts w:ascii="Arial" w:cs="Arial" w:eastAsia="Arial" w:hAnsi="Arial"/>
          <w:sz w:val="16"/>
          <w:szCs w:val="16"/>
          <w:u w:val="single" w:color="auto"/>
          <w:color w:val="0000FF"/>
        </w:rPr>
        <w:t>Note 12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-31750</wp:posOffset>
            </wp:positionV>
            <wp:extent cx="3600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151" w:lineRule="exact"/>
        <w:rPr>
          <w:sz w:val="20"/>
          <w:szCs w:val="20"/>
          <w:color w:val="auto"/>
        </w:rPr>
      </w:pPr>
    </w:p>
    <w:p>
      <w:pPr>
        <w:ind w:left="1020" w:right="80" w:hanging="503"/>
        <w:spacing w:after="0" w:line="253"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that provide services to regulated customers under tariff rates, charges, terms and conditions of service and prices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153" w:lineRule="exact"/>
        <w:rPr>
          <w:rFonts w:ascii="Times New Roman" w:cs="Times New Roman" w:eastAsia="Times New Roman" w:hAnsi="Times New Roman"/>
          <w:sz w:val="16"/>
          <w:szCs w:val="16"/>
          <w:color w:val="auto"/>
        </w:rPr>
      </w:pPr>
    </w:p>
    <w:p>
      <w:pPr>
        <w:ind w:left="1020" w:right="40" w:hanging="503"/>
        <w:spacing w:after="0" w:line="252" w:lineRule="auto"/>
        <w:tabs>
          <w:tab w:leader="none" w:pos="10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segment has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9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Other revenues included in the tables in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-155575</wp:posOffset>
            </wp:positionV>
            <wp:extent cx="3028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which is further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information is included in </w:t>
      </w:r>
      <w:r>
        <w:rPr>
          <w:rFonts w:ascii="Arial" w:cs="Arial" w:eastAsia="Arial" w:hAnsi="Arial"/>
          <w:sz w:val="16"/>
          <w:szCs w:val="16"/>
          <w:u w:val="single" w:color="auto"/>
          <w:color w:val="0000FF"/>
        </w:rPr>
        <w:t>Note 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-4445</wp:posOffset>
            </wp:positionV>
            <wp:extent cx="3028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19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Accounts receivable for our Electric and Gas Utilities business segments primarily consists of sales to residential, commercial, industrial, transportation and other customers, all of which do not bear interest. These accounts receivable are stated at billed and estimated unbilled amounts, net of allowance for credit losses. Accounts receivable for our power generation and mining businesses consists of amounts due from sales of electric energy and capacity and coal primarily to affiliates or regional utilities.</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collectability.</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53"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Following is a summary of accounts receivable as of December 31 (in thousands):</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4"/>
        </w:trPr>
        <w:tc>
          <w:tcPr>
            <w:tcW w:w="7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267,571</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181,027</w:t>
            </w: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100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243,574</w:t>
            </w:r>
          </w:p>
        </w:tc>
        <w:tc>
          <w:tcPr>
            <w:tcW w:w="4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142,738</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10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(2,953 )</w:t>
            </w:r>
          </w:p>
        </w:tc>
        <w:tc>
          <w:tcPr>
            <w:tcW w:w="4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(2,113 )</w:t>
            </w:r>
          </w:p>
        </w:tc>
      </w:tr>
      <w:tr>
        <w:trPr>
          <w:trHeight w:val="209"/>
        </w:trPr>
        <w:tc>
          <w:tcPr>
            <w:tcW w:w="770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508,192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321,652</w:t>
            </w: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years ended December 31,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539"/>
              <w:spacing w:after="0"/>
              <w:rPr>
                <w:sz w:val="20"/>
                <w:szCs w:val="20"/>
                <w:color w:val="auto"/>
              </w:rPr>
            </w:pPr>
            <w:r>
              <w:rPr>
                <w:rFonts w:ascii="Arial" w:cs="Arial" w:eastAsia="Arial" w:hAnsi="Arial"/>
                <w:sz w:val="16"/>
                <w:szCs w:val="16"/>
                <w:b w:val="1"/>
                <w:bCs w:val="1"/>
                <w:color w:val="auto"/>
              </w:rPr>
              <w:t>Additions</w:t>
            </w: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b w:val="1"/>
                <w:bCs w:val="1"/>
                <w:color w:val="auto"/>
              </w:rPr>
              <w:t>Balance at</w:t>
            </w:r>
          </w:p>
        </w:tc>
        <w:tc>
          <w:tcPr>
            <w:tcW w:w="186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Charged to Costs</w:t>
            </w:r>
          </w:p>
        </w:tc>
        <w:tc>
          <w:tcPr>
            <w:tcW w:w="360" w:type="dxa"/>
            <w:vAlign w:val="bottom"/>
          </w:tcPr>
          <w:p>
            <w:pPr>
              <w:spacing w:after="0"/>
              <w:rPr>
                <w:sz w:val="16"/>
                <w:szCs w:val="16"/>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rPr>
              <w:t>Recoveries and</w:t>
            </w:r>
          </w:p>
        </w:tc>
        <w:tc>
          <w:tcPr>
            <w:tcW w:w="28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Write-offs and</w:t>
            </w:r>
          </w:p>
        </w:tc>
        <w:tc>
          <w:tcPr>
            <w:tcW w:w="260" w:type="dxa"/>
            <w:vAlign w:val="bottom"/>
          </w:tcPr>
          <w:p>
            <w:pPr>
              <w:spacing w:after="0"/>
              <w:rPr>
                <w:sz w:val="16"/>
                <w:szCs w:val="16"/>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Balance at</w:t>
            </w:r>
          </w:p>
        </w:tc>
      </w:tr>
      <w:tr>
        <w:trPr>
          <w:trHeight w:val="217"/>
        </w:trPr>
        <w:tc>
          <w:tcPr>
            <w:tcW w:w="14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Beginning of Year</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and Expenses</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Other Additions</w:t>
            </w:r>
          </w:p>
        </w:tc>
        <w:tc>
          <w:tcPr>
            <w:tcW w:w="17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Other Deductions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End of Year</w:t>
            </w:r>
          </w:p>
        </w:tc>
      </w:tr>
      <w:tr>
        <w:trPr>
          <w:trHeight w:val="209"/>
        </w:trPr>
        <w:tc>
          <w:tcPr>
            <w:tcW w:w="1480" w:type="dxa"/>
            <w:vAlign w:val="bottom"/>
            <w:shd w:val="clear" w:color="auto" w:fill="CFF0FC"/>
          </w:tcPr>
          <w:p>
            <w:pPr>
              <w:jc w:val="right"/>
              <w:ind w:right="1019"/>
              <w:spacing w:after="0"/>
              <w:rPr>
                <w:sz w:val="20"/>
                <w:szCs w:val="20"/>
                <w:color w:val="auto"/>
              </w:rPr>
            </w:pPr>
            <w:r>
              <w:rPr>
                <w:rFonts w:ascii="Arial" w:cs="Arial" w:eastAsia="Arial" w:hAnsi="Arial"/>
                <w:sz w:val="16"/>
                <w:szCs w:val="16"/>
                <w:color w:val="auto"/>
              </w:rPr>
              <w:t>2022</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2,113</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9,110</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3,529</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(11,799 )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2,953</w:t>
            </w:r>
          </w:p>
        </w:tc>
      </w:tr>
      <w:tr>
        <w:trPr>
          <w:trHeight w:val="215"/>
        </w:trPr>
        <w:tc>
          <w:tcPr>
            <w:tcW w:w="1480" w:type="dxa"/>
            <w:vAlign w:val="bottom"/>
          </w:tcPr>
          <w:p>
            <w:pPr>
              <w:jc w:val="right"/>
              <w:ind w:right="1019"/>
              <w:spacing w:after="0"/>
              <w:rPr>
                <w:sz w:val="20"/>
                <w:szCs w:val="20"/>
                <w:color w:val="auto"/>
              </w:rPr>
            </w:pPr>
            <w:r>
              <w:rPr>
                <w:rFonts w:ascii="Arial" w:cs="Arial" w:eastAsia="Arial" w:hAnsi="Arial"/>
                <w:sz w:val="16"/>
                <w:szCs w:val="16"/>
                <w:color w:val="auto"/>
              </w:rPr>
              <w:t>2021</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7,003</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9"/>
              <w:spacing w:after="0"/>
              <w:rPr>
                <w:sz w:val="20"/>
                <w:szCs w:val="20"/>
                <w:color w:val="auto"/>
              </w:rPr>
            </w:pPr>
            <w:r>
              <w:rPr>
                <w:rFonts w:ascii="Arial" w:cs="Arial" w:eastAsia="Arial" w:hAnsi="Arial"/>
                <w:sz w:val="16"/>
                <w:szCs w:val="16"/>
                <w:color w:val="auto"/>
              </w:rPr>
              <w:t>2,444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3,560</w:t>
            </w:r>
          </w:p>
        </w:tc>
        <w:tc>
          <w:tcPr>
            <w:tcW w:w="280" w:type="dxa"/>
            <w:vAlign w:val="bottom"/>
          </w:tcPr>
          <w:p>
            <w:pPr>
              <w:ind w:lef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(10,894 )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2,113</w:t>
            </w:r>
          </w:p>
        </w:tc>
      </w:tr>
      <w:tr>
        <w:trPr>
          <w:trHeight w:val="217"/>
        </w:trPr>
        <w:tc>
          <w:tcPr>
            <w:tcW w:w="1480" w:type="dxa"/>
            <w:vAlign w:val="bottom"/>
            <w:shd w:val="clear" w:color="auto" w:fill="CFF0FC"/>
          </w:tcPr>
          <w:p>
            <w:pPr>
              <w:jc w:val="right"/>
              <w:ind w:right="1019"/>
              <w:spacing w:after="0"/>
              <w:rPr>
                <w:sz w:val="20"/>
                <w:szCs w:val="20"/>
                <w:color w:val="auto"/>
              </w:rPr>
            </w:pPr>
            <w:r>
              <w:rPr>
                <w:rFonts w:ascii="Arial" w:cs="Arial" w:eastAsia="Arial" w:hAnsi="Arial"/>
                <w:sz w:val="16"/>
                <w:szCs w:val="16"/>
                <w:color w:val="auto"/>
              </w:rPr>
              <w:t>2020</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2,444</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8,927</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4,728</w:t>
            </w:r>
          </w:p>
        </w:tc>
        <w:tc>
          <w:tcPr>
            <w:tcW w:w="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(9,096 )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7,003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Materials and supplies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99,734</w:t>
            </w:r>
          </w:p>
        </w:tc>
        <w:tc>
          <w:tcPr>
            <w:tcW w:w="4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86,400</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Fuel</w:t>
            </w:r>
          </w:p>
        </w:tc>
        <w:tc>
          <w:tcPr>
            <w:tcW w:w="9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3,115</w:t>
            </w:r>
          </w:p>
        </w:tc>
        <w:tc>
          <w:tcPr>
            <w:tcW w:w="4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1,267</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in storage</w:t>
            </w: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6"/>
              </w:rPr>
              <w:t>104,572</w:t>
            </w:r>
          </w:p>
        </w:tc>
        <w:tc>
          <w:tcPr>
            <w:tcW w:w="4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63,312</w:t>
            </w:r>
          </w:p>
        </w:tc>
      </w:tr>
      <w:tr>
        <w:trPr>
          <w:trHeight w:val="209"/>
        </w:trPr>
        <w:tc>
          <w:tcPr>
            <w:tcW w:w="7720" w:type="dxa"/>
            <w:vAlign w:val="bottom"/>
          </w:tcPr>
          <w:p>
            <w:pPr>
              <w:ind w:left="200"/>
              <w:spacing w:after="0"/>
              <w:rPr>
                <w:sz w:val="20"/>
                <w:szCs w:val="20"/>
                <w:color w:val="auto"/>
              </w:rPr>
            </w:pPr>
            <w:r>
              <w:rPr>
                <w:rFonts w:ascii="Arial" w:cs="Arial" w:eastAsia="Arial" w:hAnsi="Arial"/>
                <w:sz w:val="16"/>
                <w:szCs w:val="16"/>
                <w:color w:val="auto"/>
              </w:rPr>
              <w:t>Total materials, supplies and fuel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6"/>
              </w:rPr>
              <w:t>207,421</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150,979</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Materials and supplies represent parts and supplies for business segments. Fuel represents diesel oil and gas used by our Electric Utilities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The following table presents AFUDC amounts (in thousands) for the years ended December 31: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36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Income Statement Location</w:t>
            </w: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82"/>
        </w:trPr>
        <w:tc>
          <w:tcPr>
            <w:tcW w:w="2400" w:type="dxa"/>
            <w:vAlign w:val="bottom"/>
            <w:shd w:val="clear" w:color="auto" w:fill="CFF0FC"/>
          </w:tcPr>
          <w:p>
            <w:pPr>
              <w:spacing w:after="0"/>
              <w:rPr>
                <w:sz w:val="15"/>
                <w:szCs w:val="15"/>
                <w:color w:val="auto"/>
              </w:rPr>
            </w:pPr>
          </w:p>
        </w:tc>
        <w:tc>
          <w:tcPr>
            <w:tcW w:w="366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Interest expense incurred net of amounts</w:t>
            </w:r>
          </w:p>
        </w:tc>
        <w:tc>
          <w:tcPr>
            <w:tcW w:w="8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2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 Borrowed</w:t>
            </w:r>
          </w:p>
        </w:tc>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capitalized (including amortization of debt</w:t>
            </w:r>
          </w:p>
        </w:tc>
        <w:tc>
          <w:tcPr>
            <w:tcW w:w="8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5,638</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4,068</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5,617</w:t>
            </w:r>
          </w:p>
        </w:tc>
      </w:tr>
      <w:tr>
        <w:trPr>
          <w:trHeight w:val="217"/>
        </w:trPr>
        <w:tc>
          <w:tcPr>
            <w:tcW w:w="2400" w:type="dxa"/>
            <w:vAlign w:val="bottom"/>
            <w:shd w:val="clear" w:color="auto" w:fill="CFF0FC"/>
          </w:tcPr>
          <w:p>
            <w:pPr>
              <w:spacing w:after="0"/>
              <w:rPr>
                <w:sz w:val="18"/>
                <w:szCs w:val="18"/>
                <w:color w:val="auto"/>
              </w:rPr>
            </w:pPr>
          </w:p>
        </w:tc>
        <w:tc>
          <w:tcPr>
            <w:tcW w:w="3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costs, premiums and discounts)</w:t>
            </w:r>
          </w:p>
        </w:tc>
        <w:tc>
          <w:tcPr>
            <w:tcW w:w="8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AFUDC Equity</w:t>
            </w:r>
          </w:p>
        </w:tc>
        <w:tc>
          <w:tcPr>
            <w:tcW w:w="36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86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644</w:t>
            </w:r>
          </w:p>
        </w:tc>
        <w:tc>
          <w:tcPr>
            <w:tcW w:w="44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593</w:t>
            </w:r>
          </w:p>
        </w:tc>
        <w:tc>
          <w:tcPr>
            <w:tcW w:w="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318</w:t>
            </w:r>
          </w:p>
        </w:tc>
      </w:tr>
    </w:tbl>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Cushion Gas as Property, plant and equipment.</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cost of regulated utility property, plant and equipment retired, or otherwise disposed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assets result in gains or losses recognized as a component of operating income. Ordinary repairs and maintenance of property, except as allowed under rate regulations, are charged to operations as incurred.</w:t>
      </w:r>
    </w:p>
    <w:p>
      <w:pPr>
        <w:spacing w:after="0" w:line="15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Capitalized mining costs and coal leases are amortized on a unit-of-production method based on volumes produced and estimated reserves. For certain non-regulated power plant components, depreciation is computed on a unit-of-production methodology based on plant hours run.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and regulated operations without a corresponding recovery mechanism, is included within Depreciation, depletion and amortization on the accompanying Consolidated Statements of Income. The accounting for the obligation for regulated operations with a regulatory mechanism has no income statement impact due to the deferral of the adjustments through the establishment of a regulatory asset or a regulatory liability.</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Additional information is included in </w:t>
      </w:r>
      <w:r>
        <w:rPr>
          <w:rFonts w:ascii="Arial" w:cs="Arial" w:eastAsia="Arial" w:hAnsi="Arial"/>
          <w:sz w:val="16"/>
          <w:szCs w:val="16"/>
          <w:u w:val="single" w:color="auto"/>
          <w:color w:val="0000FF"/>
        </w:rPr>
        <w:t>Note 7</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4013835</wp:posOffset>
            </wp:positionH>
            <wp:positionV relativeFrom="paragraph">
              <wp:posOffset>-31750</wp:posOffset>
            </wp:positionV>
            <wp:extent cx="302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or components of an operating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This analysis requires the input of several critical assumptions, including future growth rates, cash flow projections, operating cost escalation rates, rates of return, a risk-adjusted discount rate, timing and level of success in regulatory rate proceedings, the cost of debt and equity capital, long-term earnings and merger multiples for comparable companies.</w:t>
      </w:r>
    </w:p>
    <w:p>
      <w:pPr>
        <w:spacing w:after="0" w:line="15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our Utilities businesses, considering the regulatory environment, and the long-lived cash flow and rate base growth opportunities at our Utilities, and those businesses vertically integrated. Goodwill amounts have not changed since 2016. As of December 31, 2022 and 2021, Goodwill balances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Electric Utilities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Gas Utilities</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257,244</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1,042,210</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1,299,454</w:t>
            </w:r>
          </w:p>
        </w:tc>
      </w:tr>
    </w:tbl>
    <w:p>
      <w:pPr>
        <w:spacing w:after="0" w:line="17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3 years to 37 years. Changes to intangible assets for the years ended December 31,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10"/>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 net, beginning balance</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10,770</w:t>
            </w:r>
          </w:p>
        </w:tc>
        <w:tc>
          <w:tcPr>
            <w:tcW w:w="4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11,944</w:t>
            </w:r>
          </w:p>
        </w:tc>
        <w:tc>
          <w:tcPr>
            <w:tcW w:w="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13,266</w:t>
            </w:r>
          </w:p>
        </w:tc>
      </w:tr>
      <w:tr>
        <w:trPr>
          <w:trHeight w:val="216"/>
        </w:trPr>
        <w:tc>
          <w:tcPr>
            <w:tcW w:w="58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(1,181 )</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(1,174 )</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(1,322 )</w:t>
            </w: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Intangible assets, net, ending balance</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9,589</w:t>
            </w:r>
          </w:p>
        </w:tc>
        <w:tc>
          <w:tcPr>
            <w:tcW w:w="4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10,770</w:t>
            </w:r>
          </w:p>
        </w:tc>
        <w:tc>
          <w:tcPr>
            <w:tcW w:w="4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143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$1.2 million for each year of the next five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62,890</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74,387</w:t>
            </w: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9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52,430</w:t>
            </w:r>
          </w:p>
        </w:tc>
        <w:tc>
          <w:tcPr>
            <w:tcW w:w="5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50,874</w:t>
            </w:r>
          </w:p>
        </w:tc>
      </w:tr>
      <w:tr>
        <w:trPr>
          <w:trHeight w:val="217"/>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47,655</w:t>
            </w:r>
          </w:p>
        </w:tc>
        <w:tc>
          <w:tcPr>
            <w:tcW w:w="5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48,814</w:t>
            </w: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9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33,798</w:t>
            </w:r>
          </w:p>
        </w:tc>
        <w:tc>
          <w:tcPr>
            <w:tcW w:w="5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33,680</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9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46,684</w:t>
            </w:r>
          </w:p>
        </w:tc>
        <w:tc>
          <w:tcPr>
            <w:tcW w:w="5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37,004</w:t>
            </w:r>
          </w:p>
        </w:tc>
      </w:tr>
      <w:tr>
        <w:trPr>
          <w:trHeight w:val="210"/>
        </w:trPr>
        <w:tc>
          <w:tcPr>
            <w:tcW w:w="7700" w:type="dxa"/>
            <w:vAlign w:val="bottom"/>
          </w:tcPr>
          <w:p>
            <w:pPr>
              <w:ind w:left="200"/>
              <w:spacing w:after="0"/>
              <w:rPr>
                <w:sz w:val="20"/>
                <w:szCs w:val="20"/>
                <w:color w:val="auto"/>
              </w:rPr>
            </w:pPr>
            <w:r>
              <w:rPr>
                <w:rFonts w:ascii="Arial" w:cs="Arial" w:eastAsia="Arial" w:hAnsi="Arial"/>
                <w:sz w:val="16"/>
                <w:szCs w:val="16"/>
                <w:color w:val="auto"/>
              </w:rPr>
              <w:t>Total accrued liabilities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6"/>
              </w:rPr>
              <w:t>243,457</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244,759</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wholesale electric energy and natural gas commodity contracts for our Utilities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 information on fair value measurements is included in </w:t>
      </w:r>
      <w:r>
        <w:rPr>
          <w:rFonts w:ascii="Arial" w:cs="Arial" w:eastAsia="Arial" w:hAnsi="Arial"/>
          <w:sz w:val="16"/>
          <w:szCs w:val="16"/>
          <w:u w:val="single" w:color="auto"/>
          <w:color w:val="0000FF"/>
        </w:rPr>
        <w:t>Notes 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-4445</wp:posOffset>
            </wp:positionV>
            <wp:extent cx="4114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3584575</wp:posOffset>
            </wp:positionH>
            <wp:positionV relativeFrom="paragraph">
              <wp:posOffset>-4445</wp:posOffset>
            </wp:positionV>
            <wp:extent cx="1143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pricing is clearly and closely related to the asset being purchased or sold. Normal purchase and sales contracts are recognized when the underlying physical transaction is completed under the accrual basis of accounting.</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12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offset exists. Therefore, the gross amounts are not indicative of either our actual credit or net economic exposures.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additional information in </w:t>
      </w:r>
      <w:r>
        <w:rPr>
          <w:rFonts w:ascii="Arial" w:cs="Arial" w:eastAsia="Arial" w:hAnsi="Arial"/>
          <w:sz w:val="16"/>
          <w:szCs w:val="16"/>
          <w:u w:val="single" w:color="auto"/>
          <w:color w:val="0000FF"/>
        </w:rPr>
        <w:t>Notes 9</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-4445</wp:posOffset>
            </wp:positionV>
            <wp:extent cx="5257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5780"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-4445</wp:posOffset>
            </wp:positionV>
            <wp:extent cx="1066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66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Financing Costs</w:t>
      </w:r>
    </w:p>
    <w:p>
      <w:pPr>
        <w:spacing w:after="0" w:line="194"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Deferred financing costs are amortized over the estimated useful life of the related debt. These costs are presented on the balance sheet as an adjustment to the related debt liabilities.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-36195</wp:posOffset>
            </wp:positionV>
            <wp:extent cx="3028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regulated Electric Utilities and Gas Utilities are subject to cost-of-service regulation and earnings oversight from federal and state regulatory commissions. Our Electric and Gas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144" w:lineRule="exact"/>
        <w:rPr>
          <w:sz w:val="20"/>
          <w:szCs w:val="20"/>
          <w:color w:val="auto"/>
        </w:rPr>
      </w:pPr>
    </w:p>
    <w:p>
      <w:pPr>
        <w:ind w:left="1020" w:right="520" w:hanging="503"/>
        <w:spacing w:after="0" w:line="285" w:lineRule="auto"/>
        <w:tabs>
          <w:tab w:leader="none" w:pos="10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1020" w:right="520" w:hanging="503"/>
        <w:spacing w:after="0" w:line="285"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12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 and its subsidiaries file consolidated federal income tax returns. Each entity records both federal and state income taxes as if it were a separate taxpayer and consolidating expense adjustments are allocated to the subsidiaries based on separate company computations of taxable income or loss.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15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expense on the Consolidated Statements of Income.</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-36195</wp:posOffset>
            </wp:positionV>
            <wp:extent cx="3600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Basic earnings per share is computed by dividing Net income available for common stock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258,387</w:t>
            </w:r>
          </w:p>
        </w:tc>
        <w:tc>
          <w:tcPr>
            <w:tcW w:w="4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236,744</w:t>
            </w:r>
          </w:p>
        </w:tc>
        <w:tc>
          <w:tcPr>
            <w:tcW w:w="4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227,608</w:t>
            </w:r>
          </w:p>
        </w:tc>
      </w:tr>
      <w:tr>
        <w:trPr>
          <w:trHeight w:val="197"/>
        </w:trPr>
        <w:tc>
          <w:tcPr>
            <w:tcW w:w="6600" w:type="dxa"/>
            <w:vAlign w:val="bottom"/>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64,858</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63,219</w:t>
            </w:r>
          </w:p>
        </w:tc>
        <w:tc>
          <w:tcPr>
            <w:tcW w:w="4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62,378</w:t>
            </w:r>
          </w:p>
        </w:tc>
      </w:tr>
      <w:tr>
        <w:trPr>
          <w:trHeight w:val="217"/>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Dilutive effect of:</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6600" w:type="dxa"/>
            <w:vAlign w:val="bottom"/>
          </w:tcPr>
          <w:p>
            <w:pPr>
              <w:ind w:left="200"/>
              <w:spacing w:after="0"/>
              <w:rPr>
                <w:sz w:val="20"/>
                <w:szCs w:val="20"/>
                <w:color w:val="auto"/>
              </w:rPr>
            </w:pPr>
            <w:r>
              <w:rPr>
                <w:rFonts w:ascii="Arial" w:cs="Arial" w:eastAsia="Arial" w:hAnsi="Arial"/>
                <w:sz w:val="16"/>
                <w:szCs w:val="16"/>
                <w:color w:val="auto"/>
              </w:rPr>
              <w:t>Equity compensation</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r>
      <w:tr>
        <w:trPr>
          <w:trHeight w:val="25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65,021</w:t>
            </w:r>
          </w:p>
        </w:tc>
        <w:tc>
          <w:tcPr>
            <w:tcW w:w="4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63,325</w:t>
            </w:r>
          </w:p>
        </w:tc>
        <w:tc>
          <w:tcPr>
            <w:tcW w:w="4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62,439</w:t>
            </w:r>
          </w:p>
        </w:tc>
      </w:tr>
      <w:tr>
        <w:trPr>
          <w:trHeight w:val="196"/>
        </w:trPr>
        <w:tc>
          <w:tcPr>
            <w:tcW w:w="6600" w:type="dxa"/>
            <w:vAlign w:val="bottom"/>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3.97</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3.74</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w:t>
            </w:r>
          </w:p>
        </w:tc>
      </w:tr>
      <w:tr>
        <w:trPr>
          <w:trHeight w:val="20"/>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securities were excluded from the diluted earnings per share computation for the years ended December 31 because of their anti-dilutive nature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1520" w:type="dxa"/>
            <w:vAlign w:val="bottom"/>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13</w:t>
            </w:r>
          </w:p>
        </w:tc>
        <w:tc>
          <w:tcPr>
            <w:tcW w:w="13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152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79"/>
              <w:spacing w:after="0"/>
              <w:rPr>
                <w:sz w:val="20"/>
                <w:szCs w:val="20"/>
                <w:color w:val="auto"/>
              </w:rPr>
            </w:pPr>
            <w:r>
              <w:rPr>
                <w:rFonts w:ascii="Arial" w:cs="Arial" w:eastAsia="Arial" w:hAnsi="Arial"/>
                <w:sz w:val="16"/>
                <w:szCs w:val="16"/>
                <w:color w:val="auto"/>
              </w:rPr>
              <w:t>13</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839"/>
              <w:spacing w:after="0"/>
              <w:rPr>
                <w:sz w:val="20"/>
                <w:szCs w:val="20"/>
                <w:color w:val="auto"/>
              </w:rPr>
            </w:pPr>
            <w:r>
              <w:rPr>
                <w:rFonts w:ascii="Arial" w:cs="Arial" w:eastAsia="Arial" w:hAnsi="Arial"/>
                <w:sz w:val="16"/>
                <w:szCs w:val="16"/>
                <w:color w:val="auto"/>
              </w:rPr>
              <w:t>72</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6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Non-controlling Interests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detail on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-150495</wp:posOffset>
            </wp:positionV>
            <wp:extent cx="3600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additional information in </w:t>
      </w:r>
      <w:r>
        <w:rPr>
          <w:rFonts w:ascii="Arial" w:cs="Arial" w:eastAsia="Arial" w:hAnsi="Arial"/>
          <w:sz w:val="16"/>
          <w:szCs w:val="16"/>
          <w:u w:val="single" w:color="auto"/>
          <w:color w:val="0000FF"/>
        </w:rPr>
        <w:t>Note 14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-30480</wp:posOffset>
            </wp:positionV>
            <wp:extent cx="3600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was subsequently amended by ASU 2021-01 and ASU 2022-06. The standard provides relief for companies preparing for discontinuation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interest rates, 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2024. We are currently evaluating if we will apply the optional guidance as we assess the impact of the discontinuance of LIBOR on our current arrangements. We do not expect the ASU to have a material impact on our financial position, results of operations and cash flows.</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73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70"/>
        </w:trPr>
        <w:tc>
          <w:tcPr>
            <w:tcW w:w="77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as of December 31 (in thousands):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4"/>
        </w:trPr>
        <w:tc>
          <w:tcPr>
            <w:tcW w:w="3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9"/>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Regulatory assets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347,980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509,025</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72,580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59,973</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12,147</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9,488</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8,793</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2,584</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7,333</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7,457</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89,259</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88,923</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1,343</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1,385</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19,213</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21,011</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(b)</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69,529</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63,243</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3,472</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5,961</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21,332</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27,549</w:t>
            </w:r>
          </w:p>
        </w:tc>
      </w:tr>
      <w:tr>
        <w:trPr>
          <w:trHeight w:val="209"/>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652,981</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796,599</w:t>
            </w:r>
          </w:p>
        </w:tc>
      </w:tr>
      <w:tr>
        <w:trPr>
          <w:trHeight w:val="215"/>
        </w:trPr>
        <w:tc>
          <w:tcPr>
            <w:tcW w:w="7700" w:type="dxa"/>
            <w:vAlign w:val="bottom"/>
            <w:gridSpan w:val="2"/>
          </w:tcPr>
          <w:p>
            <w:pPr>
              <w:ind w:left="200"/>
              <w:spacing w:after="0"/>
              <w:rPr>
                <w:sz w:val="20"/>
                <w:szCs w:val="20"/>
                <w:color w:val="auto"/>
              </w:rPr>
            </w:pPr>
            <w:r>
              <w:rPr>
                <w:rFonts w:ascii="Arial" w:cs="Arial" w:eastAsia="Arial" w:hAnsi="Arial"/>
                <w:sz w:val="16"/>
                <w:szCs w:val="16"/>
                <w:color w:val="auto"/>
              </w:rPr>
              <w:t>Less current regulatory assets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(260,312 )</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(270,290 )</w:t>
            </w:r>
          </w:p>
        </w:tc>
      </w:tr>
      <w:tr>
        <w:trPr>
          <w:trHeight w:val="249"/>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392,669</w:t>
            </w:r>
          </w:p>
        </w:tc>
        <w:tc>
          <w:tcPr>
            <w:tcW w:w="4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526,309</w:t>
            </w:r>
          </w:p>
        </w:tc>
      </w:tr>
      <w:tr>
        <w:trPr>
          <w:trHeight w:val="413"/>
        </w:trPr>
        <w:tc>
          <w:tcPr>
            <w:tcW w:w="7700" w:type="dxa"/>
            <w:vAlign w:val="bottom"/>
            <w:gridSpan w:val="2"/>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24,030</w:t>
            </w:r>
          </w:p>
        </w:tc>
        <w:tc>
          <w:tcPr>
            <w:tcW w:w="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6,113</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34,258</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32,241</w:t>
            </w:r>
          </w:p>
        </w:tc>
      </w:tr>
      <w:tr>
        <w:trPr>
          <w:trHeight w:val="216"/>
        </w:trPr>
        <w:tc>
          <w:tcPr>
            <w:tcW w:w="7700" w:type="dxa"/>
            <w:vAlign w:val="bottom"/>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175,614</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179,976</w:t>
            </w:r>
          </w:p>
        </w:tc>
      </w:tr>
      <w:tr>
        <w:trPr>
          <w:trHeight w:val="216"/>
        </w:trPr>
        <w:tc>
          <w:tcPr>
            <w:tcW w:w="770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254,833</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264,042</w:t>
            </w:r>
          </w:p>
        </w:tc>
      </w:tr>
      <w:tr>
        <w:trPr>
          <w:trHeight w:val="216"/>
        </w:trPr>
        <w:tc>
          <w:tcPr>
            <w:tcW w:w="7700" w:type="dxa"/>
            <w:vAlign w:val="bottom"/>
            <w:tcBorders>
              <w:bottom w:val="single" w:sz="8" w:color="CFF0FC"/>
            </w:tcBorders>
            <w:gridSpan w:val="2"/>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29,838</w:t>
            </w:r>
          </w:p>
        </w:tc>
        <w:tc>
          <w:tcPr>
            <w:tcW w:w="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20,579</w:t>
            </w:r>
          </w:p>
        </w:tc>
      </w:tr>
      <w:tr>
        <w:trPr>
          <w:trHeight w:val="209"/>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Total regulatory liabilities</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518,573</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502,951</w:t>
            </w:r>
          </w:p>
        </w:tc>
      </w:tr>
      <w:tr>
        <w:trPr>
          <w:trHeight w:val="216"/>
        </w:trPr>
        <w:tc>
          <w:tcPr>
            <w:tcW w:w="77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Less current regulatory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(46,013 )</w:t>
            </w:r>
          </w:p>
        </w:tc>
        <w:tc>
          <w:tcPr>
            <w:tcW w:w="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(17,574 )</w:t>
            </w:r>
          </w:p>
        </w:tc>
      </w:tr>
      <w:tr>
        <w:trPr>
          <w:trHeight w:val="209"/>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Regulatory liabilities, non-current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472,560</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485,377</w:t>
            </w:r>
          </w:p>
        </w:tc>
      </w:tr>
      <w:tr>
        <w:trPr>
          <w:trHeight w:val="20"/>
        </w:trPr>
        <w:tc>
          <w:tcPr>
            <w:tcW w:w="3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1431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See further information below.</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Winter Storm Uri</w:t>
      </w:r>
      <w:r>
        <w:rPr>
          <w:rFonts w:ascii="Arial" w:cs="Arial" w:eastAsia="Arial" w:hAnsi="Arial"/>
          <w:sz w:val="16"/>
          <w:szCs w:val="16"/>
          <w:color w:val="auto"/>
        </w:rPr>
        <w:t xml:space="preserve"> - See discussion below for Winter Storm Uri regulatory asset information.</w:t>
      </w:r>
    </w:p>
    <w:p>
      <w:pPr>
        <w:spacing w:after="0" w:line="194" w:lineRule="exact"/>
        <w:rPr>
          <w:sz w:val="20"/>
          <w:szCs w:val="20"/>
          <w:color w:val="auto"/>
        </w:rPr>
      </w:pPr>
    </w:p>
    <w:p>
      <w:pPr>
        <w:ind w:left="520" w:right="40"/>
        <w:spacing w:after="0" w:line="256"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20"/>
        <w:spacing w:after="0" w:line="256"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monthly,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2022 are hedged over a maximum forward term of two years.</w:t>
      </w:r>
    </w:p>
    <w:p>
      <w:pPr>
        <w:spacing w:after="0" w:line="151"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300"/>
        <w:spacing w:after="0" w:line="259"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151" w:lineRule="exact"/>
        <w:rPr>
          <w:sz w:val="20"/>
          <w:szCs w:val="20"/>
          <w:color w:val="auto"/>
        </w:rPr>
      </w:pPr>
    </w:p>
    <w:p>
      <w:pPr>
        <w:ind w:left="520" w:right="120"/>
        <w:spacing w:after="0" w:line="286"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129"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151" w:lineRule="exact"/>
        <w:rPr>
          <w:sz w:val="20"/>
          <w:szCs w:val="20"/>
          <w:color w:val="auto"/>
        </w:rPr>
      </w:pPr>
    </w:p>
    <w:p>
      <w:pPr>
        <w:ind w:left="520" w:right="160"/>
        <w:spacing w:after="0" w:line="266" w:lineRule="auto"/>
        <w:rPr>
          <w:sz w:val="20"/>
          <w:szCs w:val="20"/>
          <w:color w:val="auto"/>
        </w:rPr>
      </w:pPr>
      <w:r>
        <w:rPr>
          <w:rFonts w:ascii="Arial" w:cs="Arial" w:eastAsia="Arial" w:hAnsi="Arial"/>
          <w:sz w:val="16"/>
          <w:szCs w:val="16"/>
          <w:u w:val="single" w:color="auto"/>
          <w:color w:val="auto"/>
        </w:rPr>
        <w:t>Decommissioning Costs</w:t>
      </w:r>
      <w:r>
        <w:rPr>
          <w:rFonts w:ascii="Arial" w:cs="Arial" w:eastAsia="Arial" w:hAnsi="Arial"/>
          <w:sz w:val="16"/>
          <w:szCs w:val="16"/>
          <w:color w:val="auto"/>
        </w:rPr>
        <w:t xml:space="preserve"> - South Dakota Electric and Colorado Electric received approval in 2014 for recovery of the remaining net book values and decommissioning costs of their decommissioned coal plants. In 2018, Arkansas Gas received approval to record Liquefied Natural Gas Plant decommissioning costs as a regulatory asset and received approval in 2020 to begin recovering those costs over three years.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194" w:lineRule="exact"/>
        <w:rPr>
          <w:sz w:val="20"/>
          <w:szCs w:val="20"/>
          <w:color w:val="auto"/>
        </w:rPr>
      </w:pPr>
    </w:p>
    <w:p>
      <w:pPr>
        <w:ind w:left="520" w:right="440"/>
        <w:spacing w:after="0" w:line="286" w:lineRule="auto"/>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and gas costs that have been over-recovered through customer rates and will be returned to customers in future periods.</w:t>
      </w:r>
    </w:p>
    <w:p>
      <w:pPr>
        <w:spacing w:after="0" w:line="129"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Employee Benefit Plan Costs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xml:space="preserve">. In addition, this regulatory liability includes the income tax effect of the adjustment required under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18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129" w:lineRule="exact"/>
        <w:rPr>
          <w:sz w:val="20"/>
          <w:szCs w:val="20"/>
          <w:color w:val="auto"/>
        </w:rPr>
      </w:pPr>
    </w:p>
    <w:p>
      <w:pPr>
        <w:ind w:left="520" w:right="160"/>
        <w:spacing w:after="0" w:line="266" w:lineRule="auto"/>
        <w:rPr>
          <w:sz w:val="20"/>
          <w:szCs w:val="20"/>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an excess deferred income tax to be refunded to customers primarily using the normalization principles as prescribed in the TCJA. See </w:t>
      </w:r>
      <w:r>
        <w:rPr>
          <w:rFonts w:ascii="Arial" w:cs="Arial" w:eastAsia="Arial" w:hAnsi="Arial"/>
          <w:sz w:val="16"/>
          <w:szCs w:val="16"/>
          <w:u w:val="single" w:color="auto"/>
          <w:color w:val="0000FF"/>
        </w:rPr>
        <w:t>Note 15</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-36195</wp:posOffset>
            </wp:positionV>
            <wp:extent cx="3600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Recent 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19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In February 2021, Winter Storm Uri caused a substantial increase in heating and energy demand and contributed to unforeseeable and unprecedented market prices for natural gas and electricity. As a result, we incurred significant incremental fuel, purchased power and natural gas costs.</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3.5 years. In these applications, we sought approval to recover carrying costs. We have received final commission approval for all of our Winter Storm Uri cost recovery applications, which will allow our Utilities to recover incremental fuel, purchased power and natural gas costs.</w:t>
      </w:r>
    </w:p>
    <w:p>
      <w:pPr>
        <w:spacing w:after="0" w:line="15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For the years ended December 31, 2022 and 2021, our Utilities collected $174 million and $40 million, respectively, of Winter Storm Uri incremental costs and carrying costs from customers. As of December 31, 2022, we estimate that our remaining Winter Storm Uri regulatory asset has a weighted-average recovery period of 2.6 years.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years ended December 31, 2022 and 2021, $22 million and $4.1 million, respectively, of carrying costs were accrued and recorded to a regulatory asset. The carrying costs accrued during the year ended December 31, 2022 included a one-time, $10 million true-up recorded in the second quarter to reflect commission authorized rates.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our deferred income taxes at the 21% federal tax rate as of December 31, 2017. In 2018 and 2019, the Company successfully delivered several of these tax benefits from the TCJA to its utility customers.</w:t>
      </w:r>
    </w:p>
    <w:p>
      <w:pPr>
        <w:spacing w:after="0" w:line="14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bill credits to its customers. The bill credits, which represent a disposition of excess deferred income tax benefits resulting from the TCJA, were delivered to customers in February 2021.</w:t>
      </w:r>
    </w:p>
    <w:p>
      <w:pPr>
        <w:spacing w:after="0" w:line="14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On January 26, 2021, the NPSC approved Nebraska Gas’s plan to provide $ 2.9 million of TCJA-related bill credits to its customers. The bill credits, which represent a disposition of excess deferred income tax benefits resulting from the TCJA, were delivered to customers in June 2021.</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part of Kansas Gas’ 2021 rate review settlement agreement, Kansas Gas will deliver $9.1 million, or approximately $ 3.0 million of TCJA and state tax reform benefits to customers annually, for three years starting in 2022. For the year ended December 31, 2022, Kansas Gas delivered TCJA and state tax reform benefits to customers of $2.9 million.</w:t>
      </w:r>
    </w:p>
    <w:p>
      <w:pPr>
        <w:spacing w:after="0" w:line="14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These Colorado Electric, Kansas Gas and Nebraska Gas tax benefits delivered to customers, which resulted in a reduction in revenue, were offset by a reduction in income tax expense and resulted in a minimal impact to Net income for the years ended December 31, 2022 and 2021.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December 10, 2021, Arkansas Gas filed a rate review with the APSC seeking recovery of significant infrastructure investments in its 7,200-mile natural gas pipeline system. On October 10, 2022, the APSC approved a partial settlement agreement with all intervening parties for a general rate increase and authorized a capital structure of 45% equity and 55% debt and a return on equity of 9.6%. The APSC’s decision shifts approximately $10 million of rider revenue to base rates and is expected to generate $8.8 million of new annual revenue. The APSC also approved a new comprehensive safety and integrity rider which replaces three former riders. New rates were effective on October 21, 2022.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On January 26, 2023, the WPSC approved a settlement agreement with intervening parties for a general rate increase. The settlement is expected to generate $8.7 million in new annual revenue with a capital structure of 52% equity and 48% debt and a return on equity of 9.75%. New rates will be effective on March 1, 2023. The agreement also includes approval of a new rider that will be filed annually to recover transmission investment and expenses.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RMNG Rate Review</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October 7, 2022, RMNG filed a rate review with the CPUC seeking recovery of significant infrastructure investments in its 600-mile natural gas pipeline system. The rate review requests $ 12.3 million in new annual revenue based on a future test year with a capital structure of 52% equity and 48% debt and a return on equity of 12.3%. The rate review also requests a $7.7 million shift of SSIR revenues to base rates. The request seeks to finalize rates in the third quarter of 2023.</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Colorado Gas Rate Reviews and SSIR</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June 1, 2021, Colorado Gas filed a rate review with the CPUC seeking recovery of significant infrastructure investments in its 7,000-mile natural gas pipeline system. In the fourth quarter of 2021, Colorado Gas reached a settlement agreement with the CPUC staff and various intervenors for a general rate increase, which was subsequently approved by an administrative law judge. N</w:t>
      </w:r>
      <w:r>
        <w:rPr>
          <w:rFonts w:ascii="Arial" w:cs="Arial" w:eastAsia="Arial" w:hAnsi="Arial"/>
          <w:sz w:val="16"/>
          <w:szCs w:val="16"/>
          <w:color w:val="242424"/>
        </w:rPr>
        <w:t>ew rates were effective January 1, 2022, and the settlement is expected to</w:t>
      </w:r>
      <w:r>
        <w:rPr>
          <w:rFonts w:ascii="Arial" w:cs="Arial" w:eastAsia="Arial" w:hAnsi="Arial"/>
          <w:sz w:val="16"/>
          <w:szCs w:val="16"/>
          <w:color w:val="auto"/>
        </w:rPr>
        <w:t xml:space="preserve"> </w:t>
      </w:r>
      <w:r>
        <w:rPr>
          <w:rFonts w:ascii="Arial" w:cs="Arial" w:eastAsia="Arial" w:hAnsi="Arial"/>
          <w:sz w:val="16"/>
          <w:szCs w:val="16"/>
          <w:color w:val="242424"/>
        </w:rPr>
        <w:t>generate $6.5 million of new annual revenue. The new revenue is based on a return on equity of 9.2% and a capital structure of 50.3% equity and 49.7% debt.</w:t>
      </w:r>
    </w:p>
    <w:p>
      <w:pPr>
        <w:spacing w:after="0" w:line="15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 September 11, 2020, in accordance with the final Order from the rate review filed on February 1, 2019, Colorado Gas filed a SSIR proposal with the CPUC that would recover safety and integrity focused investments in its system for five years. On July 6, 2021, Colorado Gas received approval from the CPUC for its SSIR proposal to recover these investments for three years effective January 1, 2022. The return on SSIR investments will be the current weighted-average cost of long-term debt.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6"/>
          <w:szCs w:val="16"/>
          <w:color w:val="auto"/>
        </w:rPr>
        <w:t xml:space="preserve">On June 1, 2021, Iowa Gas filed a rate review with the IUB seeking recovery of significant infrastructure investments in its 5,000-mile natural gas pipeline system. On December 28, 2021, the IUB approved a settlement agreement with all intervening parties for a general rate increase. The settlement shifted $2.2 million of rider revenue to base rates and is expected to generate $3.7 million in new annual revenue with a </w:t>
      </w:r>
      <w:r>
        <w:rPr>
          <w:rFonts w:ascii="Arial" w:cs="Arial" w:eastAsia="Arial" w:hAnsi="Arial"/>
          <w:sz w:val="16"/>
          <w:szCs w:val="16"/>
          <w:color w:val="242424"/>
        </w:rPr>
        <w:t>capital structure of 50% equity and 50%</w:t>
      </w:r>
      <w:r>
        <w:rPr>
          <w:rFonts w:ascii="Arial" w:cs="Arial" w:eastAsia="Arial" w:hAnsi="Arial"/>
          <w:sz w:val="16"/>
          <w:szCs w:val="16"/>
          <w:color w:val="auto"/>
        </w:rPr>
        <w:t xml:space="preserve"> </w:t>
      </w:r>
      <w:r>
        <w:rPr>
          <w:rFonts w:ascii="Arial" w:cs="Arial" w:eastAsia="Arial" w:hAnsi="Arial"/>
          <w:sz w:val="16"/>
          <w:szCs w:val="16"/>
          <w:color w:val="242424"/>
        </w:rPr>
        <w:t xml:space="preserve">debt and a return on equity of 9.6%. Final rates were enacted on January 1, 2022 and replaced </w:t>
      </w:r>
      <w:r>
        <w:rPr>
          <w:rFonts w:ascii="Arial" w:cs="Arial" w:eastAsia="Arial" w:hAnsi="Arial"/>
          <w:sz w:val="16"/>
          <w:szCs w:val="16"/>
          <w:color w:val="000000"/>
        </w:rPr>
        <w:t>interim rates effective June 11,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May 7, 2021, Kansas Gas filed a rate review and rider renewal with the KCC seeking recovery of significant infrastructure investments in its 4,600-mile natural gas pipeline system. On December 30, 2021, Kansas Gas received approval from the KCC on its Global Settlement agreement with KCC staff and various intervenors for a general rate increase and renewal of its safety and integrity rider. The settlement shifted $6.6 million of rider revenue to base rates, effective January 1, 2022, and also allowed rider renewal for at least five more years.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South Dakota Electric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FERC Formula Rate</w:t>
      </w:r>
    </w:p>
    <w:p>
      <w:pPr>
        <w:spacing w:after="0" w:line="192"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The annual rate determination process is governed by the FERC formula rate protocols established in the filed FERC joint-access transmission tariff. Effective January 1, 2022, the annual revenue requirement for the FERC Transmission Formula Rate was $30 million and included estimated weighted average capital additions of $30 million for 2021 and 2022 combined.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Black Hills Wyoming and Wyoming Electric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Wygen I FERC Filing</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October 15, 2020, the FERC approved a settlement agreement that represents a resolution of all issues in the joint application filed by Wyoming Electric and Black Hills Wyoming on August 2, 2019 for approval of a new 60 MW PPA. Under the terms of the settlement, Wyoming Electric will continue to receive 60 MW of capacity and energy from the Wygen I power plant. The new agreement commenced on January 1, 2022, replaced the existing PPA and will expire after 11 years.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6480" w:firstLine="8"/>
        <w:spacing w:after="0" w:line="493" w:lineRule="auto"/>
        <w:tabs>
          <w:tab w:leader="none" w:pos="509"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Unconditional Purchase Obligations</w:t>
      </w:r>
    </w:p>
    <w:p>
      <w:pPr>
        <w:ind w:right="140"/>
        <w:spacing w:after="0" w:line="286" w:lineRule="auto"/>
        <w:rPr>
          <w:sz w:val="20"/>
          <w:szCs w:val="20"/>
          <w:color w:val="auto"/>
        </w:rPr>
      </w:pPr>
      <w:r>
        <w:rPr>
          <w:rFonts w:ascii="Arial" w:cs="Arial" w:eastAsia="Arial" w:hAnsi="Arial"/>
          <w:sz w:val="16"/>
          <w:szCs w:val="16"/>
          <w:color w:val="auto"/>
        </w:rPr>
        <w:t>We have various PPAs and transmission service agreements, which extend to 2030, to support our Electric Utilities' capacity and energy needs beyond our regulated power plants' generation.</w:t>
      </w:r>
    </w:p>
    <w:p>
      <w:pPr>
        <w:spacing w:after="0" w:line="129"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Our Utilities purchase natural gas, including transportation and storage capacity, to meet customers' needs under short-term and long-term purchase contracts. These contracts extend to 2044.</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tcPr>
          <w:p>
            <w:pPr>
              <w:jc w:val="center"/>
              <w:ind w:right="299"/>
              <w:spacing w:after="0"/>
              <w:rPr>
                <w:sz w:val="20"/>
                <w:szCs w:val="20"/>
                <w:color w:val="auto"/>
              </w:rPr>
            </w:pPr>
            <w:r>
              <w:rPr>
                <w:rFonts w:ascii="Arial" w:cs="Arial" w:eastAsia="Arial" w:hAnsi="Arial"/>
                <w:sz w:val="16"/>
                <w:szCs w:val="16"/>
                <w:b w:val="1"/>
                <w:bCs w:val="1"/>
                <w:color w:val="auto"/>
              </w:rPr>
              <w:t>Natural gas supply,</w:t>
            </w: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 xml:space="preserve">PPAs </w:t>
            </w:r>
            <w:r>
              <w:rPr>
                <w:rFonts w:ascii="Arial" w:cs="Arial" w:eastAsia="Arial" w:hAnsi="Arial"/>
                <w:sz w:val="21"/>
                <w:szCs w:val="21"/>
                <w:b w:val="1"/>
                <w:bCs w:val="1"/>
                <w:color w:val="auto"/>
                <w:vertAlign w:val="superscript"/>
              </w:rPr>
              <w:t>(a)</w:t>
            </w:r>
          </w:p>
        </w:tc>
        <w:tc>
          <w:tcPr>
            <w:tcW w:w="360" w:type="dxa"/>
            <w:vAlign w:val="bottom"/>
          </w:tcPr>
          <w:p>
            <w:pPr>
              <w:spacing w:after="0"/>
              <w:rPr>
                <w:sz w:val="14"/>
                <w:szCs w:val="14"/>
                <w:color w:val="auto"/>
              </w:rPr>
            </w:pPr>
          </w:p>
        </w:tc>
        <w:tc>
          <w:tcPr>
            <w:tcW w:w="1640" w:type="dxa"/>
            <w:vAlign w:val="bottom"/>
          </w:tcPr>
          <w:p>
            <w:pPr>
              <w:jc w:val="right"/>
              <w:ind w:right="419"/>
              <w:spacing w:after="0" w:line="163" w:lineRule="exact"/>
              <w:rPr>
                <w:sz w:val="20"/>
                <w:szCs w:val="20"/>
                <w:color w:val="auto"/>
              </w:rPr>
            </w:pPr>
            <w:r>
              <w:rPr>
                <w:rFonts w:ascii="Arial" w:cs="Arial" w:eastAsia="Arial" w:hAnsi="Arial"/>
                <w:sz w:val="16"/>
                <w:szCs w:val="16"/>
                <w:b w:val="1"/>
                <w:bCs w:val="1"/>
                <w:color w:val="auto"/>
              </w:rPr>
              <w:t>Transmission</w:t>
            </w:r>
          </w:p>
        </w:tc>
        <w:tc>
          <w:tcPr>
            <w:tcW w:w="246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transportation and storage</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20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Services Agreements</w:t>
            </w:r>
          </w:p>
        </w:tc>
        <w:tc>
          <w:tcPr>
            <w:tcW w:w="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8"/>
              </w:rPr>
              <w:t xml:space="preserve">agreements </w:t>
            </w:r>
            <w:r>
              <w:rPr>
                <w:rFonts w:ascii="Arial" w:cs="Arial" w:eastAsia="Arial" w:hAnsi="Arial"/>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Future commitments for the year ending December 31,</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11,175</w:t>
            </w:r>
          </w:p>
        </w:tc>
        <w:tc>
          <w:tcPr>
            <w:tcW w:w="3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12,320</w:t>
            </w:r>
          </w:p>
        </w:tc>
        <w:tc>
          <w:tcPr>
            <w:tcW w:w="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130,031</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2,738</w:t>
            </w:r>
          </w:p>
        </w:tc>
        <w:tc>
          <w:tcPr>
            <w:tcW w:w="360" w:type="dxa"/>
            <w:vAlign w:val="bottom"/>
          </w:tcPr>
          <w:p>
            <w:pPr>
              <w:spacing w:after="0"/>
              <w:rPr>
                <w:sz w:val="18"/>
                <w:szCs w:val="18"/>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98,881</w:t>
            </w:r>
          </w:p>
        </w:tc>
        <w:tc>
          <w:tcPr>
            <w:tcW w:w="0" w:type="dxa"/>
            <w:vAlign w:val="bottom"/>
          </w:tcPr>
          <w:p>
            <w:pPr>
              <w:spacing w:after="0"/>
              <w:rPr>
                <w:sz w:val="1"/>
                <w:szCs w:val="1"/>
                <w:color w:val="auto"/>
              </w:rPr>
            </w:pPr>
          </w:p>
        </w:tc>
      </w:tr>
      <w:tr>
        <w:trPr>
          <w:trHeight w:val="217"/>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72,662</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45,102</w:t>
            </w:r>
          </w:p>
        </w:tc>
        <w:tc>
          <w:tcPr>
            <w:tcW w:w="0" w:type="dxa"/>
            <w:vAlign w:val="bottom"/>
          </w:tcPr>
          <w:p>
            <w:pPr>
              <w:spacing w:after="0"/>
              <w:rPr>
                <w:sz w:val="1"/>
                <w:szCs w:val="1"/>
                <w:color w:val="auto"/>
              </w:rPr>
            </w:pPr>
          </w:p>
        </w:tc>
      </w:tr>
      <w:tr>
        <w:trPr>
          <w:trHeight w:val="217"/>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14,862</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56,595</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future commitments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13,913</w:t>
            </w:r>
          </w:p>
        </w:tc>
        <w:tc>
          <w:tcPr>
            <w:tcW w:w="36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12,320</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418,133</w:t>
            </w:r>
          </w:p>
        </w:tc>
        <w:tc>
          <w:tcPr>
            <w:tcW w:w="0" w:type="dxa"/>
            <w:vAlign w:val="bottom"/>
          </w:tcPr>
          <w:p>
            <w:pPr>
              <w:spacing w:after="0"/>
              <w:rPr>
                <w:sz w:val="1"/>
                <w:szCs w:val="1"/>
                <w:color w:val="auto"/>
              </w:rPr>
            </w:pPr>
          </w:p>
        </w:tc>
      </w:tr>
      <w:tr>
        <w:trPr>
          <w:trHeight w:val="174"/>
        </w:trPr>
        <w:tc>
          <w:tcPr>
            <w:tcW w:w="5280" w:type="dxa"/>
            <w:vAlign w:val="bottom"/>
          </w:tcPr>
          <w:p>
            <w:pPr>
              <w:spacing w:after="0" w:line="175" w:lineRule="exact"/>
              <w:rPr>
                <w:sz w:val="20"/>
                <w:szCs w:val="20"/>
                <w:color w:val="auto"/>
              </w:rPr>
            </w:pPr>
            <w:r>
              <w:rPr>
                <w:rFonts w:ascii="Arial" w:cs="Arial" w:eastAsia="Arial" w:hAnsi="Arial"/>
                <w:sz w:val="16"/>
                <w:szCs w:val="16"/>
                <w:color w:val="auto"/>
              </w:rPr>
              <w:t>___________________________</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future obligations since these agreements vary based on weather conditions.</w:t>
      </w:r>
    </w:p>
    <w:p>
      <w:pPr>
        <w:spacing w:after="0" w:line="1" w:lineRule="exact"/>
        <w:rPr>
          <w:rFonts w:ascii="Arial" w:cs="Arial" w:eastAsia="Arial" w:hAnsi="Arial"/>
          <w:sz w:val="14"/>
          <w:szCs w:val="14"/>
          <w:color w:val="auto"/>
        </w:rPr>
      </w:pPr>
    </w:p>
    <w:p>
      <w:pPr>
        <w:ind w:left="520" w:right="220" w:hanging="512"/>
        <w:spacing w:after="0" w:line="264" w:lineRule="auto"/>
        <w:tabs>
          <w:tab w:leader="none" w:pos="426"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Gas Utilities have commitments to purchase physical quantities of natural gas under contracts indexed to various forward natural gas price curves. A portion of our gas purchases are purchased under evergreen contracts and are therefore, for purposes of this disclosure, carried out for 60 days.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Lessee</w:t>
      </w:r>
    </w:p>
    <w:p>
      <w:pPr>
        <w:spacing w:after="0" w:line="194"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33 years, including options to extend that are reasonably certain to be exercised. Our operating and finance leases were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Lessor</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34 years. Lease revenue was not material for the years ended December 31, 2022, 2021 and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scheduled maturities of operating lease payments to be received in future years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Operating Leases</w:t>
            </w:r>
          </w:p>
        </w:tc>
      </w:tr>
      <w:tr>
        <w:trPr>
          <w:trHeight w:val="210"/>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45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2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2,381</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2024</w:t>
            </w:r>
          </w:p>
        </w:tc>
        <w:tc>
          <w:tcPr>
            <w:tcW w:w="4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jc w:val="right"/>
              <w:ind w:right="39"/>
              <w:spacing w:after="0"/>
              <w:rPr>
                <w:sz w:val="20"/>
                <w:szCs w:val="20"/>
                <w:color w:val="auto"/>
              </w:rPr>
            </w:pPr>
            <w:r>
              <w:rPr>
                <w:rFonts w:ascii="Arial" w:cs="Arial" w:eastAsia="Arial" w:hAnsi="Arial"/>
                <w:sz w:val="16"/>
                <w:szCs w:val="16"/>
                <w:color w:val="auto"/>
              </w:rPr>
              <w:t>2,125</w:t>
            </w:r>
          </w:p>
        </w:tc>
      </w:tr>
      <w:tr>
        <w:trPr>
          <w:trHeight w:val="217"/>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4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2,070</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2026</w:t>
            </w:r>
          </w:p>
        </w:tc>
        <w:tc>
          <w:tcPr>
            <w:tcW w:w="4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60" w:type="dxa"/>
            <w:vAlign w:val="bottom"/>
          </w:tcPr>
          <w:p>
            <w:pPr>
              <w:jc w:val="right"/>
              <w:ind w:right="39"/>
              <w:spacing w:after="0"/>
              <w:rPr>
                <w:sz w:val="20"/>
                <w:szCs w:val="20"/>
                <w:color w:val="auto"/>
              </w:rPr>
            </w:pPr>
            <w:r>
              <w:rPr>
                <w:rFonts w:ascii="Arial" w:cs="Arial" w:eastAsia="Arial" w:hAnsi="Arial"/>
                <w:sz w:val="16"/>
                <w:szCs w:val="16"/>
                <w:color w:val="auto"/>
              </w:rPr>
              <w:t>1,881</w:t>
            </w:r>
          </w:p>
        </w:tc>
      </w:tr>
      <w:tr>
        <w:trPr>
          <w:trHeight w:val="217"/>
        </w:trPr>
        <w:tc>
          <w:tcPr>
            <w:tcW w:w="3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4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1,845</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5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49,387</w:t>
            </w:r>
          </w:p>
        </w:tc>
      </w:tr>
      <w:tr>
        <w:trPr>
          <w:trHeight w:val="250"/>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lease receivables</w:t>
            </w:r>
          </w:p>
        </w:tc>
        <w:tc>
          <w:tcPr>
            <w:tcW w:w="45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2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59,689</w:t>
            </w:r>
          </w:p>
        </w:tc>
      </w:tr>
      <w:tr>
        <w:trPr>
          <w:trHeight w:val="398"/>
        </w:trPr>
        <w:tc>
          <w:tcPr>
            <w:tcW w:w="3600" w:type="dxa"/>
            <w:vAlign w:val="bottom"/>
          </w:tcPr>
          <w:p>
            <w:pPr>
              <w:spacing w:after="0"/>
              <w:rPr>
                <w:sz w:val="24"/>
                <w:szCs w:val="24"/>
                <w:color w:val="auto"/>
              </w:rPr>
            </w:pPr>
          </w:p>
        </w:tc>
        <w:tc>
          <w:tcPr>
            <w:tcW w:w="4500" w:type="dxa"/>
            <w:vAlign w:val="bottom"/>
          </w:tcPr>
          <w:p>
            <w:pPr>
              <w:jc w:val="right"/>
              <w:ind w:right="2299"/>
              <w:spacing w:after="0"/>
              <w:rPr>
                <w:sz w:val="20"/>
                <w:szCs w:val="20"/>
                <w:color w:val="auto"/>
              </w:rPr>
            </w:pPr>
            <w:r>
              <w:rPr>
                <w:rFonts w:ascii="Arial" w:cs="Arial" w:eastAsia="Arial" w:hAnsi="Arial"/>
                <w:sz w:val="16"/>
                <w:szCs w:val="16"/>
                <w:color w:val="auto"/>
              </w:rPr>
              <w:t>78</w:t>
            </w:r>
          </w:p>
        </w:tc>
        <w:tc>
          <w:tcPr>
            <w:tcW w:w="4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90"/>
        </w:trPr>
        <w:tc>
          <w:tcPr>
            <w:tcW w:w="3600" w:type="dxa"/>
            <w:vAlign w:val="bottom"/>
            <w:tcBorders>
              <w:bottom w:val="single" w:sz="8" w:color="9A9A9A"/>
            </w:tcBorders>
          </w:tcPr>
          <w:p>
            <w:pPr>
              <w:spacing w:after="0"/>
              <w:rPr>
                <w:sz w:val="7"/>
                <w:szCs w:val="7"/>
                <w:color w:val="auto"/>
              </w:rPr>
            </w:pPr>
          </w:p>
        </w:tc>
        <w:tc>
          <w:tcPr>
            <w:tcW w:w="45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Liability</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For our Pueblo Airport Generation site, we posted a bond of $4.1 million with the State of Colorado to cover the costs of remediation for a waste water containment pond permitted to provide wastewater storage and processing for this zero-discharge facility. The reclamation liability is recorded at the present value of the estimated future cost to reclaim the land.</w:t>
      </w:r>
    </w:p>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Processing</w:t>
      </w:r>
    </w:p>
    <w:p>
      <w:pPr>
        <w:spacing w:after="0" w:line="19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 xml:space="preserve">In 2008, we acquired whole and partial liabilities for former manufactured gas processing sites in Nebraska and Iowa, which were previously used to convert coal to natural gas. The acquisition provided for an insurance recovery, now valued at $1.3 million recorded in Other assets, non-current on our Consolidated Balance Sheets, which will be used to help offset remediation costs. We also have a $1.3 million regulatory asset for manufactured gas processing sites; see </w:t>
      </w:r>
      <w:r>
        <w:rPr>
          <w:rFonts w:ascii="Arial" w:cs="Arial" w:eastAsia="Arial" w:hAnsi="Arial"/>
          <w:sz w:val="16"/>
          <w:szCs w:val="16"/>
          <w:u w:val="single" w:color="auto"/>
          <w:color w:val="0000FF"/>
        </w:rPr>
        <w:t>Note 2</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02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ind w:right="80"/>
        <w:spacing w:after="0" w:line="252" w:lineRule="auto"/>
        <w:rPr>
          <w:sz w:val="20"/>
          <w:szCs w:val="20"/>
          <w:color w:val="auto"/>
        </w:rPr>
      </w:pPr>
      <w:r>
        <w:rPr>
          <w:rFonts w:ascii="Arial" w:cs="Arial" w:eastAsia="Arial" w:hAnsi="Arial"/>
          <w:sz w:val="16"/>
          <w:szCs w:val="16"/>
          <w:color w:val="auto"/>
        </w:rPr>
        <w:t>As of December 31, 2022, we had $2.6 million accrued for remediation of Iowa’s manufactured gas processing site as the landowner. As of December 31, 2022, we had $0.6 million accrued for remediation of Nebraska’s manufactured gas processing site as the land owner. These liabilities are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record gain contingencies when realized and expected recoveries under applicable insurance contracts when we are assured of recovery.</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believe we have meritorious defenses to the verdict and have appealed the verdict. At this time, we believe that the liability related to this matter, if any, is not reasonably estimable.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have entered into various parent company-level guarantees providing financial or performance assurance to third parties on behalf of certain of our subsidiaries. These guarantees do not represent incremental consolidated obligations, but rather, represent guarantees of subsidiary obligations to allow those subsidiaries to conduct business without posting other forms of assurance. The agreements, which are off-balance sheet commitments, include support for business operations, indemnification for reclamation and surety bonds. The guarantees were entered into in the normal course of business. To the extent liabilities are incurred as a result of activities covered by these guarantees, such liabilities are included in our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gridSpan w:val="3"/>
          </w:tcPr>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color w:val="0000FF"/>
              </w:rPr>
              <w:t>Note 8</w:t>
            </w:r>
            <w:r>
              <w:rPr>
                <w:rFonts w:ascii="Arial" w:cs="Arial" w:eastAsia="Arial" w:hAnsi="Arial"/>
                <w:sz w:val="16"/>
                <w:szCs w:val="16"/>
                <w:color w:val="auto"/>
              </w:rPr>
              <w:t xml:space="preserve"> for additional information on our off-balance sheet Letters of Credit commitment.</w:t>
            </w:r>
          </w:p>
        </w:tc>
        <w:tc>
          <w:tcPr>
            <w:tcW w:w="1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6"/>
        </w:trPr>
        <w:tc>
          <w:tcPr>
            <w:tcW w:w="9000" w:type="dxa"/>
            <w:vAlign w:val="bottom"/>
            <w:gridSpan w:val="3"/>
          </w:tcPr>
          <w:p>
            <w:pPr>
              <w:spacing w:after="0"/>
              <w:rPr>
                <w:sz w:val="20"/>
                <w:szCs w:val="20"/>
                <w:color w:val="auto"/>
              </w:rPr>
            </w:pPr>
            <w:r>
              <w:rPr>
                <w:rFonts w:ascii="Arial" w:cs="Arial" w:eastAsia="Arial" w:hAnsi="Arial"/>
                <w:sz w:val="16"/>
                <w:szCs w:val="16"/>
                <w:color w:val="auto"/>
              </w:rPr>
              <w:t>We had the following guarantees in place as of (in thousands):</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jc w:val="right"/>
              <w:ind w:right="239"/>
              <w:spacing w:after="0"/>
              <w:rPr>
                <w:sz w:val="20"/>
                <w:szCs w:val="20"/>
                <w:color w:val="auto"/>
              </w:rPr>
            </w:pPr>
            <w:r>
              <w:rPr>
                <w:rFonts w:ascii="Arial" w:cs="Arial" w:eastAsia="Arial" w:hAnsi="Arial"/>
                <w:sz w:val="16"/>
                <w:szCs w:val="16"/>
                <w:b w:val="1"/>
                <w:bCs w:val="1"/>
                <w:color w:val="auto"/>
              </w:rPr>
              <w:t>Maximum Exposure at</w:t>
            </w:r>
          </w:p>
        </w:tc>
      </w:tr>
      <w:tr>
        <w:trPr>
          <w:trHeight w:val="217"/>
        </w:trPr>
        <w:tc>
          <w:tcPr>
            <w:tcW w:w="90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Nature of Guarantee</w:t>
            </w: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90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Indemnification for reclamation/surety bonds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107,314</w:t>
            </w:r>
          </w:p>
        </w:tc>
      </w:tr>
      <w:tr>
        <w:trPr>
          <w:trHeight w:val="215"/>
        </w:trPr>
        <w:tc>
          <w:tcPr>
            <w:tcW w:w="9000" w:type="dxa"/>
            <w:vAlign w:val="bottom"/>
            <w:gridSpan w:val="3"/>
          </w:tcPr>
          <w:p>
            <w:pPr>
              <w:ind w:left="20"/>
              <w:spacing w:after="0"/>
              <w:rPr>
                <w:sz w:val="20"/>
                <w:szCs w:val="20"/>
                <w:color w:val="auto"/>
              </w:rPr>
            </w:pPr>
            <w:r>
              <w:rPr>
                <w:rFonts w:ascii="Arial" w:cs="Arial" w:eastAsia="Arial" w:hAnsi="Arial"/>
                <w:sz w:val="16"/>
                <w:szCs w:val="16"/>
                <w:color w:val="auto"/>
              </w:rPr>
              <w:t>Guarantees supporting business transactions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484,968</w:t>
            </w:r>
          </w:p>
        </w:tc>
      </w:tr>
      <w:tr>
        <w:trPr>
          <w:trHeight w:val="249"/>
        </w:trPr>
        <w:tc>
          <w:tcPr>
            <w:tcW w:w="360" w:type="dxa"/>
            <w:vAlign w:val="bottom"/>
            <w:tcBorders>
              <w:bottom w:val="single" w:sz="8" w:color="CFF0FC"/>
              <w:right w:val="single" w:sz="8" w:color="CFF0FC"/>
            </w:tcBorders>
            <w:shd w:val="clear" w:color="auto" w:fill="CFF0FC"/>
          </w:tcPr>
          <w:p>
            <w:pPr>
              <w:spacing w:after="0"/>
              <w:rPr>
                <w:sz w:val="21"/>
                <w:szCs w:val="21"/>
                <w:color w:val="auto"/>
              </w:rPr>
            </w:pPr>
          </w:p>
        </w:tc>
        <w:tc>
          <w:tcPr>
            <w:tcW w:w="480" w:type="dxa"/>
            <w:vAlign w:val="bottom"/>
            <w:tcBorders>
              <w:bottom w:val="single" w:sz="8" w:color="CFF0FC"/>
              <w:right w:val="single" w:sz="8" w:color="CFF0FC"/>
            </w:tcBorders>
            <w:shd w:val="clear" w:color="auto" w:fill="CFF0FC"/>
          </w:tcPr>
          <w:p>
            <w:pPr>
              <w:spacing w:after="0"/>
              <w:rPr>
                <w:sz w:val="21"/>
                <w:szCs w:val="21"/>
                <w:color w:val="auto"/>
              </w:rPr>
            </w:pPr>
          </w:p>
        </w:tc>
        <w:tc>
          <w:tcPr>
            <w:tcW w:w="8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592,282</w:t>
            </w:r>
          </w:p>
        </w:tc>
      </w:tr>
      <w:tr>
        <w:trPr>
          <w:trHeight w:val="392"/>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8640" w:type="dxa"/>
            <w:vAlign w:val="bottom"/>
            <w:gridSpan w:val="2"/>
          </w:tcPr>
          <w:p>
            <w:pPr>
              <w:ind w:left="16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5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2022, 2021 and 2020. Sales tax and other similar taxes are excluded from revenues.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rPr>
              <w:t>Inter-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Electric</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company</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Utilities</w:t>
            </w: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610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Retail</w:t>
            </w:r>
          </w:p>
        </w:tc>
        <w:tc>
          <w:tcPr>
            <w:tcW w:w="49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739,734</w:t>
            </w:r>
          </w:p>
        </w:tc>
        <w:tc>
          <w:tcPr>
            <w:tcW w:w="30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1,453,266</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2,193,000</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173,275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172,862</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44,832</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44,832</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48,578</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829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49,407</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61,470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37,879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(16,594 )</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82,755</w:t>
            </w:r>
          </w:p>
        </w:tc>
      </w:tr>
      <w:tr>
        <w:trPr>
          <w:trHeight w:val="210"/>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894,614</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1,665,249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(17,007 )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2,542,856</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5,548</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(429 )</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8,960</w:t>
            </w:r>
          </w:p>
        </w:tc>
      </w:tr>
      <w:tr>
        <w:trPr>
          <w:trHeight w:val="249"/>
        </w:trPr>
        <w:tc>
          <w:tcPr>
            <w:tcW w:w="61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900,162</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1,669,090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(17,436 )</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2,551,816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30,454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30,454</w:t>
            </w:r>
          </w:p>
        </w:tc>
      </w:tr>
      <w:tr>
        <w:trPr>
          <w:trHeight w:val="217"/>
        </w:trPr>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864,160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1,665,249</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(17,007 )</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2,512,402</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894,614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1,665,249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(17,007 )</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2,542,856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-445135</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-162560</wp:posOffset>
            </wp:positionV>
            <wp:extent cx="713232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20"/>
          </w:cols>
          <w:pgMar w:left="320" w:top="125"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79"/>
              <w:spacing w:after="0"/>
              <w:rPr>
                <w:sz w:val="20"/>
                <w:szCs w:val="20"/>
                <w:color w:val="auto"/>
              </w:rPr>
            </w:pPr>
            <w:r>
              <w:rPr>
                <w:rFonts w:ascii="Arial" w:cs="Arial" w:eastAsia="Arial" w:hAnsi="Arial"/>
                <w:sz w:val="16"/>
                <w:szCs w:val="16"/>
                <w:b w:val="1"/>
                <w:bCs w:val="1"/>
                <w:color w:val="auto"/>
              </w:rPr>
              <w:t>Inter-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Electric</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company</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7"/>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Utilities</w:t>
            </w:r>
          </w:p>
        </w:tc>
        <w:tc>
          <w:tcPr>
            <w:tcW w:w="1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610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80" w:type="dxa"/>
            <w:vAlign w:val="bottom"/>
            <w:gridSpan w:val="3"/>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Retail</w:t>
            </w:r>
          </w:p>
        </w:tc>
        <w:tc>
          <w:tcPr>
            <w:tcW w:w="49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711,448</w:t>
            </w:r>
          </w:p>
        </w:tc>
        <w:tc>
          <w:tcPr>
            <w:tcW w:w="30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913,725</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CFF0FC"/>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1,625,173</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Transportation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158,053</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157,625</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Wholesale</w:t>
            </w:r>
          </w:p>
        </w:tc>
        <w:tc>
          <w:tcPr>
            <w:tcW w:w="18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30,848</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30,848</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Market - off-system sales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41,682</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42,078</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52,945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39,365</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(17,200 )</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75,110</w:t>
            </w:r>
          </w:p>
        </w:tc>
      </w:tr>
      <w:tr>
        <w:trPr>
          <w:trHeight w:val="210"/>
        </w:trPr>
        <w:tc>
          <w:tcPr>
            <w:tcW w:w="20" w:type="dxa"/>
            <w:vAlign w:val="bottom"/>
            <w:shd w:val="clear" w:color="auto" w:fill="CFF0FC"/>
          </w:tcPr>
          <w:p>
            <w:pPr>
              <w:spacing w:after="0"/>
              <w:rPr>
                <w:sz w:val="18"/>
                <w:szCs w:val="18"/>
                <w:color w:val="auto"/>
              </w:rPr>
            </w:pPr>
          </w:p>
        </w:tc>
        <w:tc>
          <w:tcPr>
            <w:tcW w:w="610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836,923</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1,111,539</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(17,628 )</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1,930,834</w:t>
            </w:r>
          </w:p>
        </w:tc>
      </w:tr>
      <w:tr>
        <w:trPr>
          <w:trHeight w:val="215"/>
        </w:trPr>
        <w:tc>
          <w:tcPr>
            <w:tcW w:w="20" w:type="dxa"/>
            <w:vAlign w:val="bottom"/>
          </w:tcPr>
          <w:p>
            <w:pPr>
              <w:spacing w:after="0"/>
              <w:rPr>
                <w:sz w:val="18"/>
                <w:szCs w:val="18"/>
                <w:color w:val="auto"/>
              </w:rPr>
            </w:pPr>
          </w:p>
        </w:tc>
        <w:tc>
          <w:tcPr>
            <w:tcW w:w="6100" w:type="dxa"/>
            <w:vAlign w:val="bottom"/>
            <w:gridSpan w:val="2"/>
          </w:tcPr>
          <w:p>
            <w:pPr>
              <w:ind w:left="18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13,326</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(393 )</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18,268</w:t>
            </w:r>
          </w:p>
        </w:tc>
      </w:tr>
      <w:tr>
        <w:trPr>
          <w:trHeight w:val="250"/>
        </w:trPr>
        <w:tc>
          <w:tcPr>
            <w:tcW w:w="61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842,258</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1,124,865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(18,021 )</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1,949,102</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27,141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27,141</w:t>
            </w:r>
          </w:p>
        </w:tc>
      </w:tr>
      <w:tr>
        <w:trPr>
          <w:trHeight w:val="217"/>
        </w:trPr>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809,782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1,111,539</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(17,628 )</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1,903,693</w:t>
            </w:r>
          </w:p>
        </w:tc>
      </w:tr>
      <w:tr>
        <w:trPr>
          <w:trHeight w:val="210"/>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836,923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1,111,539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(17,628 )</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1,930,834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-445135</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-161925</wp:posOffset>
            </wp:positionV>
            <wp:extent cx="713232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2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612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00"/>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Inter-company</w:t>
            </w:r>
          </w:p>
        </w:tc>
        <w:tc>
          <w:tcPr>
            <w:tcW w:w="960" w:type="dxa"/>
            <w:vAlign w:val="bottom"/>
          </w:tcPr>
          <w:p>
            <w:pPr>
              <w:spacing w:after="0"/>
              <w:rPr>
                <w:sz w:val="24"/>
                <w:szCs w:val="24"/>
                <w:color w:val="auto"/>
              </w:rPr>
            </w:pPr>
          </w:p>
        </w:tc>
      </w:tr>
      <w:tr>
        <w:trPr>
          <w:trHeight w:val="217"/>
        </w:trPr>
        <w:tc>
          <w:tcPr>
            <w:tcW w:w="61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Electric Utilities</w:t>
            </w: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610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4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440" w:type="dxa"/>
            <w:vAlign w:val="bottom"/>
            <w:gridSpan w:val="3"/>
            <w:shd w:val="clear" w:color="auto" w:fill="CFF0FC"/>
          </w:tcPr>
          <w:p>
            <w:pPr>
              <w:jc w:val="right"/>
              <w:ind w:right="1059"/>
              <w:spacing w:after="0" w:line="169" w:lineRule="exact"/>
              <w:rPr>
                <w:sz w:val="20"/>
                <w:szCs w:val="20"/>
                <w:color w:val="auto"/>
              </w:rPr>
            </w:pPr>
            <w:r>
              <w:rPr>
                <w:rFonts w:ascii="Arial" w:cs="Arial" w:eastAsia="Arial" w:hAnsi="Arial"/>
                <w:sz w:val="16"/>
                <w:szCs w:val="16"/>
                <w:color w:val="auto"/>
              </w:rPr>
              <w:t>(in thousands)</w:t>
            </w:r>
          </w:p>
        </w:tc>
        <w:tc>
          <w:tcPr>
            <w:tcW w:w="96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Retail</w:t>
            </w:r>
          </w:p>
        </w:tc>
        <w:tc>
          <w:tcPr>
            <w:tcW w:w="4920" w:type="dxa"/>
            <w:vAlign w:val="bottom"/>
            <w:tcBorders>
              <w:top w:val="single" w:sz="8" w:color="CFF0FC"/>
            </w:tcBorders>
            <w:gridSpan w:val="2"/>
          </w:tcPr>
          <w:p>
            <w:pPr>
              <w:spacing w:after="0"/>
              <w:rPr>
                <w:sz w:val="18"/>
                <w:szCs w:val="18"/>
                <w:color w:val="auto"/>
              </w:rPr>
            </w:pPr>
          </w:p>
        </w:tc>
        <w:tc>
          <w:tcPr>
            <w:tcW w:w="400" w:type="dxa"/>
            <w:vAlign w:val="bottom"/>
            <w:tcBorders>
              <w:top w:val="single" w:sz="8" w:color="CFF0FC"/>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636,902</w:t>
            </w:r>
          </w:p>
        </w:tc>
        <w:tc>
          <w:tcPr>
            <w:tcW w:w="360" w:type="dxa"/>
            <w:vAlign w:val="bottom"/>
            <w:tcBorders>
              <w:top w:val="single" w:sz="8" w:color="CFF0FC"/>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765,922</w:t>
            </w:r>
          </w:p>
        </w:tc>
        <w:tc>
          <w:tcPr>
            <w:tcW w:w="220" w:type="dxa"/>
            <w:vAlign w:val="bottom"/>
            <w:tcBorders>
              <w:top w:val="single" w:sz="8" w:color="CFF0FC"/>
            </w:tcBorders>
          </w:tcPr>
          <w:p>
            <w:pPr>
              <w:ind w:left="6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  $</w:t>
            </w:r>
          </w:p>
        </w:tc>
        <w:tc>
          <w:tcPr>
            <w:tcW w:w="96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1,402,824</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Transportation</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154,581</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(526 )</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154,055</w:t>
            </w:r>
          </w:p>
        </w:tc>
      </w:tr>
      <w:tr>
        <w:trPr>
          <w:trHeight w:val="215"/>
        </w:trPr>
        <w:tc>
          <w:tcPr>
            <w:tcW w:w="20" w:type="dxa"/>
            <w:vAlign w:val="bottom"/>
          </w:tcPr>
          <w:p>
            <w:pPr>
              <w:spacing w:after="0"/>
              <w:rPr>
                <w:sz w:val="18"/>
                <w:szCs w:val="18"/>
                <w:color w:val="auto"/>
              </w:rPr>
            </w:pPr>
          </w:p>
        </w:tc>
        <w:tc>
          <w:tcPr>
            <w:tcW w:w="6100" w:type="dxa"/>
            <w:vAlign w:val="bottom"/>
            <w:gridSpan w:val="3"/>
          </w:tcPr>
          <w:p>
            <w:pPr>
              <w:ind w:left="180"/>
              <w:spacing w:after="0"/>
              <w:rPr>
                <w:sz w:val="20"/>
                <w:szCs w:val="20"/>
                <w:color w:val="auto"/>
              </w:rPr>
            </w:pPr>
            <w:r>
              <w:rPr>
                <w:rFonts w:ascii="Arial" w:cs="Arial" w:eastAsia="Arial" w:hAnsi="Arial"/>
                <w:sz w:val="16"/>
                <w:szCs w:val="16"/>
                <w:color w:val="auto"/>
              </w:rPr>
              <w:t>Wholesale</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24,845</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24,845</w:t>
            </w:r>
          </w:p>
        </w:tc>
      </w:tr>
      <w:tr>
        <w:trPr>
          <w:trHeight w:val="217"/>
        </w:trPr>
        <w:tc>
          <w:tcPr>
            <w:tcW w:w="20" w:type="dxa"/>
            <w:vAlign w:val="bottom"/>
            <w:shd w:val="clear" w:color="auto" w:fill="CFF0FC"/>
          </w:tcPr>
          <w:p>
            <w:pPr>
              <w:spacing w:after="0"/>
              <w:rPr>
                <w:sz w:val="18"/>
                <w:szCs w:val="18"/>
                <w:color w:val="auto"/>
              </w:rPr>
            </w:pPr>
          </w:p>
        </w:tc>
        <w:tc>
          <w:tcPr>
            <w:tcW w:w="610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Market - off-system sales</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15,512</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15,772</w:t>
            </w:r>
          </w:p>
        </w:tc>
      </w:tr>
      <w:tr>
        <w:trPr>
          <w:trHeight w:val="215"/>
        </w:trPr>
        <w:tc>
          <w:tcPr>
            <w:tcW w:w="20" w:type="dxa"/>
            <w:vAlign w:val="bottom"/>
          </w:tcPr>
          <w:p>
            <w:pPr>
              <w:spacing w:after="0"/>
              <w:rPr>
                <w:sz w:val="18"/>
                <w:szCs w:val="18"/>
                <w:color w:val="auto"/>
              </w:rPr>
            </w:pPr>
          </w:p>
        </w:tc>
        <w:tc>
          <w:tcPr>
            <w:tcW w:w="6100" w:type="dxa"/>
            <w:vAlign w:val="bottom"/>
            <w:gridSpan w:val="3"/>
          </w:tcPr>
          <w:p>
            <w:pPr>
              <w:ind w:left="180"/>
              <w:spacing w:after="0"/>
              <w:rPr>
                <w:sz w:val="20"/>
                <w:szCs w:val="20"/>
                <w:color w:val="auto"/>
              </w:rPr>
            </w:pPr>
            <w:r>
              <w:rPr>
                <w:rFonts w:ascii="Arial" w:cs="Arial" w:eastAsia="Arial" w:hAnsi="Arial"/>
                <w:sz w:val="16"/>
                <w:szCs w:val="16"/>
                <w:color w:val="auto"/>
              </w:rPr>
              <w:t>Transmission/Other</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55,422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43,658</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(15,772 )</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83,308</w:t>
            </w:r>
          </w:p>
        </w:tc>
      </w:tr>
      <w:tr>
        <w:trPr>
          <w:trHeight w:val="210"/>
        </w:trPr>
        <w:tc>
          <w:tcPr>
            <w:tcW w:w="20" w:type="dxa"/>
            <w:vAlign w:val="bottom"/>
            <w:shd w:val="clear" w:color="auto" w:fill="CFF0FC"/>
          </w:tcPr>
          <w:p>
            <w:pPr>
              <w:spacing w:after="0"/>
              <w:rPr>
                <w:sz w:val="18"/>
                <w:szCs w:val="18"/>
                <w:color w:val="auto"/>
              </w:rPr>
            </w:pPr>
          </w:p>
        </w:tc>
        <w:tc>
          <w:tcPr>
            <w:tcW w:w="610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Revenue from contracts with customers</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732,681</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964,421</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(16,298 )</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1,680,804</w:t>
            </w:r>
          </w:p>
        </w:tc>
      </w:tr>
      <w:tr>
        <w:trPr>
          <w:trHeight w:val="215"/>
        </w:trPr>
        <w:tc>
          <w:tcPr>
            <w:tcW w:w="20" w:type="dxa"/>
            <w:vAlign w:val="bottom"/>
          </w:tcPr>
          <w:p>
            <w:pPr>
              <w:spacing w:after="0"/>
              <w:rPr>
                <w:sz w:val="18"/>
                <w:szCs w:val="18"/>
                <w:color w:val="auto"/>
              </w:rPr>
            </w:pPr>
          </w:p>
        </w:tc>
        <w:tc>
          <w:tcPr>
            <w:tcW w:w="6100" w:type="dxa"/>
            <w:vAlign w:val="bottom"/>
            <w:gridSpan w:val="3"/>
          </w:tcPr>
          <w:p>
            <w:pPr>
              <w:ind w:left="180"/>
              <w:spacing w:after="0"/>
              <w:rPr>
                <w:sz w:val="20"/>
                <w:szCs w:val="20"/>
                <w:color w:val="auto"/>
              </w:rPr>
            </w:pPr>
            <w:r>
              <w:rPr>
                <w:rFonts w:ascii="Arial" w:cs="Arial" w:eastAsia="Arial" w:hAnsi="Arial"/>
                <w:sz w:val="16"/>
                <w:szCs w:val="16"/>
                <w:color w:val="auto"/>
              </w:rPr>
              <w:t>Other revenues</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10,249</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(288 )</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16,137</w:t>
            </w:r>
          </w:p>
        </w:tc>
      </w:tr>
      <w:tr>
        <w:trPr>
          <w:trHeight w:val="249"/>
        </w:trPr>
        <w:tc>
          <w:tcPr>
            <w:tcW w:w="612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738,857</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974,670</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(16,586 ) $</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1,696,941</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27,089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27,089</w:t>
            </w:r>
          </w:p>
        </w:tc>
      </w:tr>
      <w:tr>
        <w:trPr>
          <w:trHeight w:val="217"/>
        </w:trPr>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705,592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964,421</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(16,298 )</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1,653,715</w:t>
            </w:r>
          </w:p>
        </w:tc>
      </w:tr>
      <w:tr>
        <w:trPr>
          <w:trHeight w:val="210"/>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732,681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964,421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(16,298 ) $</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1,680,804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-445135</wp:posOffset>
            </wp:positionV>
            <wp:extent cx="71323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-162560</wp:posOffset>
            </wp:positionV>
            <wp:extent cx="713232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120"/>
          </w:cols>
          <w:pgMar w:left="320" w:top="118"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09" w:lineRule="exact"/>
        <w:rPr>
          <w:sz w:val="20"/>
          <w:szCs w:val="20"/>
          <w:color w:val="auto"/>
        </w:rPr>
      </w:pPr>
    </w:p>
    <w:p>
      <w:pPr>
        <w:ind w:left="560" w:hanging="552"/>
        <w:spacing w:after="0"/>
        <w:tabs>
          <w:tab w:leader="none" w:pos="5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21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Lives (in years)</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Property, Plant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108"/>
              <w:spacing w:after="0" w:line="160" w:lineRule="exact"/>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08"/>
              <w:spacing w:after="0"/>
              <w:rPr>
                <w:sz w:val="20"/>
                <w:szCs w:val="20"/>
                <w:color w:val="auto"/>
              </w:rPr>
            </w:pPr>
            <w:r>
              <w:rPr>
                <w:rFonts w:ascii="Arial" w:cs="Arial" w:eastAsia="Arial" w:hAnsi="Arial"/>
                <w:sz w:val="14"/>
                <w:szCs w:val="14"/>
                <w:b w:val="1"/>
                <w:bCs w:val="1"/>
                <w:color w:val="auto"/>
              </w:rPr>
              <w:t>Plant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Electric Utilities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Equipment</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Equipment</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83"/>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Electric plant: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Production</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1,482,081</w:t>
            </w:r>
          </w:p>
        </w:tc>
        <w:tc>
          <w:tcPr>
            <w:tcW w:w="1440" w:type="dxa"/>
            <w:vAlign w:val="bottom"/>
            <w:gridSpan w:val="3"/>
          </w:tcPr>
          <w:p>
            <w:pPr>
              <w:jc w:val="center"/>
              <w:ind w:left="208"/>
              <w:spacing w:after="0"/>
              <w:rPr>
                <w:sz w:val="20"/>
                <w:szCs w:val="20"/>
                <w:color w:val="auto"/>
              </w:rPr>
            </w:pPr>
            <w:r>
              <w:rPr>
                <w:rFonts w:ascii="Arial" w:cs="Arial" w:eastAsia="Arial" w:hAnsi="Arial"/>
                <w:sz w:val="14"/>
                <w:szCs w:val="14"/>
                <w:color w:val="auto"/>
              </w:rPr>
              <w:t>41</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1,452,055</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41</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32</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Electric transmission</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632,872</w:t>
            </w:r>
          </w:p>
        </w:tc>
        <w:tc>
          <w:tcPr>
            <w:tcW w:w="1440" w:type="dxa"/>
            <w:vAlign w:val="bottom"/>
            <w:gridSpan w:val="3"/>
            <w:shd w:val="clear" w:color="auto" w:fill="CFF0FC"/>
          </w:tcPr>
          <w:p>
            <w:pPr>
              <w:jc w:val="center"/>
              <w:ind w:left="208"/>
              <w:spacing w:after="0"/>
              <w:rPr>
                <w:sz w:val="20"/>
                <w:szCs w:val="20"/>
                <w:color w:val="auto"/>
              </w:rPr>
            </w:pPr>
            <w:r>
              <w:rPr>
                <w:rFonts w:ascii="Arial" w:cs="Arial" w:eastAsia="Arial" w:hAnsi="Arial"/>
                <w:sz w:val="14"/>
                <w:szCs w:val="14"/>
                <w:color w:val="auto"/>
              </w:rPr>
              <w:t>48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546,126</w:t>
            </w:r>
          </w:p>
        </w:tc>
        <w:tc>
          <w:tcPr>
            <w:tcW w:w="1400" w:type="dxa"/>
            <w:vAlign w:val="bottom"/>
            <w:gridSpan w:val="3"/>
            <w:shd w:val="clear" w:color="auto" w:fill="CFF0FC"/>
          </w:tcPr>
          <w:p>
            <w:pPr>
              <w:jc w:val="center"/>
              <w:ind w:left="168"/>
              <w:spacing w:after="0"/>
              <w:rPr>
                <w:sz w:val="20"/>
                <w:szCs w:val="20"/>
                <w:color w:val="auto"/>
              </w:rPr>
            </w:pPr>
            <w:r>
              <w:rPr>
                <w:rFonts w:ascii="Arial" w:cs="Arial" w:eastAsia="Arial" w:hAnsi="Arial"/>
                <w:sz w:val="14"/>
                <w:szCs w:val="14"/>
                <w:color w:val="auto"/>
              </w:rPr>
              <w:t>49</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40</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Electric distribution</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1,082,535</w:t>
            </w:r>
          </w:p>
        </w:tc>
        <w:tc>
          <w:tcPr>
            <w:tcW w:w="1440" w:type="dxa"/>
            <w:vAlign w:val="bottom"/>
            <w:gridSpan w:val="3"/>
          </w:tcPr>
          <w:p>
            <w:pPr>
              <w:jc w:val="center"/>
              <w:ind w:left="208"/>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1,000,619</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47</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45</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Integrated Generation</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713,519</w:t>
            </w:r>
          </w:p>
        </w:tc>
        <w:tc>
          <w:tcPr>
            <w:tcW w:w="1440" w:type="dxa"/>
            <w:vAlign w:val="bottom"/>
            <w:gridSpan w:val="3"/>
            <w:shd w:val="clear" w:color="auto" w:fill="CFF0FC"/>
          </w:tcPr>
          <w:p>
            <w:pPr>
              <w:jc w:val="center"/>
              <w:ind w:left="208"/>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720,490</w:t>
            </w:r>
          </w:p>
        </w:tc>
        <w:tc>
          <w:tcPr>
            <w:tcW w:w="1400" w:type="dxa"/>
            <w:vAlign w:val="bottom"/>
            <w:gridSpan w:val="3"/>
            <w:shd w:val="clear" w:color="auto" w:fill="CFF0FC"/>
          </w:tcPr>
          <w:p>
            <w:pPr>
              <w:jc w:val="center"/>
              <w:ind w:left="168"/>
              <w:spacing w:after="0"/>
              <w:rPr>
                <w:sz w:val="20"/>
                <w:szCs w:val="20"/>
                <w:color w:val="auto"/>
              </w:rPr>
            </w:pPr>
            <w:r>
              <w:rPr>
                <w:rFonts w:ascii="Arial" w:cs="Arial" w:eastAsia="Arial" w:hAnsi="Arial"/>
                <w:sz w:val="14"/>
                <w:szCs w:val="14"/>
                <w:color w:val="auto"/>
              </w:rPr>
              <w:t>30</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19</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3900" w:type="dxa"/>
            <w:vAlign w:val="bottom"/>
            <w:gridSpan w:val="2"/>
          </w:tcPr>
          <w:p>
            <w:pPr>
              <w:ind w:left="200"/>
              <w:spacing w:after="0" w:line="189" w:lineRule="exact"/>
              <w:rPr>
                <w:sz w:val="20"/>
                <w:szCs w:val="20"/>
                <w:color w:val="auto"/>
              </w:rPr>
            </w:pPr>
            <w:r>
              <w:rPr>
                <w:rFonts w:ascii="Arial" w:cs="Arial" w:eastAsia="Arial" w:hAnsi="Arial"/>
                <w:sz w:val="14"/>
                <w:szCs w:val="14"/>
                <w:color w:val="auto"/>
              </w:rPr>
              <w:t xml:space="preserve">Plant acquisition adjustment </w:t>
            </w:r>
            <w:r>
              <w:rPr>
                <w:rFonts w:ascii="Arial" w:cs="Arial" w:eastAsia="Arial" w:hAnsi="Arial"/>
                <w:sz w:val="19"/>
                <w:szCs w:val="19"/>
                <w:color w:val="auto"/>
                <w:vertAlign w:val="superscript"/>
              </w:rPr>
              <w:t>(a)</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4,870</w:t>
            </w:r>
          </w:p>
        </w:tc>
        <w:tc>
          <w:tcPr>
            <w:tcW w:w="1440" w:type="dxa"/>
            <w:vAlign w:val="bottom"/>
            <w:gridSpan w:val="3"/>
          </w:tcPr>
          <w:p>
            <w:pPr>
              <w:jc w:val="center"/>
              <w:ind w:left="2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4,870</w:t>
            </w:r>
          </w:p>
        </w:tc>
        <w:tc>
          <w:tcPr>
            <w:tcW w:w="1400" w:type="dxa"/>
            <w:vAlign w:val="bottom"/>
            <w:gridSpan w:val="3"/>
          </w:tcPr>
          <w:p>
            <w:pPr>
              <w:jc w:val="center"/>
              <w:ind w:left="168"/>
              <w:spacing w:after="0"/>
              <w:rPr>
                <w:sz w:val="20"/>
                <w:szCs w:val="20"/>
                <w:color w:val="auto"/>
              </w:rPr>
            </w:pPr>
            <w:r>
              <w:rPr>
                <w:rFonts w:ascii="Arial" w:cs="Arial" w:eastAsia="Arial" w:hAnsi="Arial"/>
                <w:sz w:val="14"/>
                <w:szCs w:val="14"/>
                <w:color w:val="auto"/>
              </w:rPr>
              <w:t>32</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32</w:t>
            </w:r>
          </w:p>
        </w:tc>
        <w:tc>
          <w:tcPr>
            <w:tcW w:w="1120" w:type="dxa"/>
            <w:vAlign w:val="bottom"/>
            <w:gridSpan w:val="2"/>
          </w:tcPr>
          <w:p>
            <w:pPr>
              <w:jc w:val="center"/>
              <w:ind w:left="8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9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General</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274,857</w:t>
            </w:r>
          </w:p>
        </w:tc>
        <w:tc>
          <w:tcPr>
            <w:tcW w:w="1440" w:type="dxa"/>
            <w:vAlign w:val="bottom"/>
            <w:gridSpan w:val="3"/>
            <w:shd w:val="clear" w:color="auto" w:fill="CFF0FC"/>
          </w:tcPr>
          <w:p>
            <w:pPr>
              <w:jc w:val="center"/>
              <w:ind w:left="208"/>
              <w:spacing w:after="0"/>
              <w:rPr>
                <w:sz w:val="20"/>
                <w:szCs w:val="20"/>
                <w:color w:val="auto"/>
              </w:rPr>
            </w:pPr>
            <w:r>
              <w:rPr>
                <w:rFonts w:ascii="Arial" w:cs="Arial" w:eastAsia="Arial" w:hAnsi="Arial"/>
                <w:sz w:val="14"/>
                <w:szCs w:val="14"/>
                <w:color w:val="auto"/>
              </w:rPr>
              <w:t>27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266,935</w:t>
            </w:r>
          </w:p>
        </w:tc>
        <w:tc>
          <w:tcPr>
            <w:tcW w:w="1400" w:type="dxa"/>
            <w:vAlign w:val="bottom"/>
            <w:gridSpan w:val="3"/>
            <w:shd w:val="clear" w:color="auto" w:fill="CFF0FC"/>
          </w:tcPr>
          <w:p>
            <w:pPr>
              <w:jc w:val="center"/>
              <w:ind w:left="168"/>
              <w:spacing w:after="0"/>
              <w:rPr>
                <w:sz w:val="20"/>
                <w:szCs w:val="20"/>
                <w:color w:val="auto"/>
              </w:rPr>
            </w:pPr>
            <w:r>
              <w:rPr>
                <w:rFonts w:ascii="Arial" w:cs="Arial" w:eastAsia="Arial" w:hAnsi="Arial"/>
                <w:sz w:val="14"/>
                <w:szCs w:val="14"/>
                <w:color w:val="auto"/>
              </w:rPr>
              <w:t>28</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24</w:t>
            </w:r>
          </w:p>
        </w:tc>
        <w:tc>
          <w:tcPr>
            <w:tcW w:w="11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3900" w:type="dxa"/>
            <w:vAlign w:val="bottom"/>
            <w:tcBorders>
              <w:top w:val="single" w:sz="8" w:color="CFF0FC"/>
            </w:tcBorders>
            <w:gridSpan w:val="2"/>
          </w:tcPr>
          <w:p>
            <w:pPr>
              <w:ind w:left="200"/>
              <w:spacing w:after="0"/>
              <w:rPr>
                <w:sz w:val="20"/>
                <w:szCs w:val="20"/>
                <w:color w:val="auto"/>
              </w:rPr>
            </w:pPr>
            <w:r>
              <w:rPr>
                <w:rFonts w:ascii="Arial" w:cs="Arial" w:eastAsia="Arial" w:hAnsi="Arial"/>
                <w:sz w:val="14"/>
                <w:szCs w:val="14"/>
                <w:color w:val="auto"/>
              </w:rPr>
              <w:t>Total electric plant in service</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4,190,734</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3,991,095</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color w:val="auto"/>
              </w:rPr>
              <w:t>Construction work in progress</w:t>
            </w: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152,953</w:t>
            </w:r>
          </w:p>
        </w:tc>
        <w:tc>
          <w:tcPr>
            <w:tcW w:w="12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181,451</w:t>
            </w:r>
          </w:p>
        </w:tc>
        <w:tc>
          <w:tcPr>
            <w:tcW w:w="8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Total electric plant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4,343,687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4,172,546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Less accumulated depreciation and depletion</w:t>
            </w:r>
          </w:p>
        </w:tc>
        <w:tc>
          <w:tcPr>
            <w:tcW w:w="1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(1,104,056 )</w:t>
            </w: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(1,016,738 )</w:t>
            </w:r>
          </w:p>
        </w:tc>
        <w:tc>
          <w:tcPr>
            <w:tcW w:w="16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900" w:type="dxa"/>
            <w:vAlign w:val="bottom"/>
            <w:gridSpan w:val="2"/>
          </w:tcPr>
          <w:p>
            <w:pPr>
              <w:ind w:left="200"/>
              <w:spacing w:after="0" w:line="160" w:lineRule="exact"/>
              <w:rPr>
                <w:sz w:val="20"/>
                <w:szCs w:val="20"/>
                <w:color w:val="auto"/>
              </w:rPr>
            </w:pPr>
            <w:r>
              <w:rPr>
                <w:rFonts w:ascii="Arial" w:cs="Arial" w:eastAsia="Arial" w:hAnsi="Arial"/>
                <w:sz w:val="14"/>
                <w:szCs w:val="14"/>
                <w:color w:val="auto"/>
              </w:rPr>
              <w:t>Electric plant net of accumulated depreciation and</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3,239,631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3,155,808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00" w:type="dxa"/>
            <w:vAlign w:val="bottom"/>
            <w:gridSpan w:val="2"/>
          </w:tcPr>
          <w:p>
            <w:pPr>
              <w:ind w:left="200"/>
              <w:spacing w:after="0" w:line="125" w:lineRule="exact"/>
              <w:rPr>
                <w:sz w:val="20"/>
                <w:szCs w:val="20"/>
                <w:color w:val="auto"/>
              </w:rPr>
            </w:pPr>
            <w:r>
              <w:rPr>
                <w:rFonts w:ascii="Arial" w:cs="Arial" w:eastAsia="Arial" w:hAnsi="Arial"/>
                <w:sz w:val="14"/>
                <w:szCs w:val="14"/>
                <w:color w:val="auto"/>
              </w:rPr>
              <w:t>depletion</w:t>
            </w:r>
          </w:p>
        </w:tc>
        <w:tc>
          <w:tcPr>
            <w:tcW w:w="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-728345</wp:posOffset>
            </wp:positionV>
            <wp:extent cx="10287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-728345</wp:posOffset>
            </wp:positionV>
            <wp:extent cx="9461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-479425</wp:posOffset>
            </wp:positionV>
            <wp:extent cx="10287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-479425</wp:posOffset>
            </wp:positionV>
            <wp:extent cx="94615"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4615" cy="1289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-231140</wp:posOffset>
            </wp:positionV>
            <wp:extent cx="102870" cy="2317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23177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-231140</wp:posOffset>
            </wp:positionV>
            <wp:extent cx="94615" cy="231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4615" cy="2317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w:t>
      </w:r>
    </w:p>
    <w:p>
      <w:pPr>
        <w:spacing w:after="0" w:line="6"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plant acquisition adjustment is included in rate base and is being recovered with 8 years remaining.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Lives (in years)</w:t>
            </w:r>
          </w:p>
        </w:tc>
      </w:tr>
      <w:tr>
        <w:trPr>
          <w:trHeight w:val="160"/>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ind w:left="200"/>
              <w:spacing w:after="0" w:line="160"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Property, Plant</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Average Useful</w:t>
            </w: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Property, Plant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Gas Utilities</w:t>
            </w:r>
          </w:p>
        </w:tc>
        <w:tc>
          <w:tcPr>
            <w:tcW w:w="120" w:type="dxa"/>
            <w:vAlign w:val="bottom"/>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and Equipment</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Pr>
          <w:p>
            <w:pPr>
              <w:spacing w:after="0"/>
              <w:rPr>
                <w:sz w:val="16"/>
                <w:szCs w:val="16"/>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and Equipment</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83"/>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Gas plant: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9"/>
        </w:trPr>
        <w:tc>
          <w:tcPr>
            <w:tcW w:w="3860" w:type="dxa"/>
            <w:vAlign w:val="bottom"/>
            <w:gridSpan w:val="2"/>
          </w:tcPr>
          <w:p>
            <w:pPr>
              <w:ind w:left="200"/>
              <w:spacing w:after="0"/>
              <w:rPr>
                <w:sz w:val="20"/>
                <w:szCs w:val="20"/>
                <w:color w:val="auto"/>
              </w:rPr>
            </w:pPr>
            <w:r>
              <w:rPr>
                <w:rFonts w:ascii="Arial" w:cs="Arial" w:eastAsia="Arial" w:hAnsi="Arial"/>
                <w:sz w:val="14"/>
                <w:szCs w:val="14"/>
                <w:color w:val="auto"/>
              </w:rPr>
              <w:t>Production</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17,843</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45</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14,841</w:t>
            </w:r>
          </w:p>
        </w:tc>
        <w:tc>
          <w:tcPr>
            <w:tcW w:w="1440" w:type="dxa"/>
            <w:vAlign w:val="bottom"/>
            <w:gridSpan w:val="3"/>
          </w:tcPr>
          <w:p>
            <w:pPr>
              <w:jc w:val="center"/>
              <w:ind w:left="248"/>
              <w:spacing w:after="0"/>
              <w:rPr>
                <w:sz w:val="20"/>
                <w:szCs w:val="20"/>
                <w:color w:val="auto"/>
              </w:rPr>
            </w:pPr>
            <w:r>
              <w:rPr>
                <w:rFonts w:ascii="Arial" w:cs="Arial" w:eastAsia="Arial" w:hAnsi="Arial"/>
                <w:sz w:val="14"/>
                <w:szCs w:val="14"/>
                <w:color w:val="auto"/>
              </w:rPr>
              <w:t>40</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rPr>
              <w:t>24</w:t>
            </w: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rPr>
              <w:t>47</w:t>
            </w:r>
          </w:p>
        </w:tc>
      </w:tr>
      <w:tr>
        <w:trPr>
          <w:trHeight w:val="18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Gas transmission</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695,345</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645,550</w:t>
            </w:r>
          </w:p>
        </w:tc>
        <w:tc>
          <w:tcPr>
            <w:tcW w:w="1440" w:type="dxa"/>
            <w:vAlign w:val="bottom"/>
            <w:gridSpan w:val="3"/>
            <w:shd w:val="clear" w:color="auto" w:fill="CFF0FC"/>
          </w:tcPr>
          <w:p>
            <w:pPr>
              <w:jc w:val="center"/>
              <w:ind w:left="248"/>
              <w:spacing w:after="0"/>
              <w:rPr>
                <w:sz w:val="20"/>
                <w:szCs w:val="20"/>
                <w:color w:val="auto"/>
              </w:rPr>
            </w:pPr>
            <w:r>
              <w:rPr>
                <w:rFonts w:ascii="Arial" w:cs="Arial" w:eastAsia="Arial" w:hAnsi="Arial"/>
                <w:sz w:val="14"/>
                <w:szCs w:val="14"/>
                <w:color w:val="auto"/>
              </w:rPr>
              <w:t>58</w:t>
            </w:r>
          </w:p>
        </w:tc>
        <w:tc>
          <w:tcPr>
            <w:tcW w:w="11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32</w:t>
            </w:r>
          </w:p>
        </w:tc>
        <w:tc>
          <w:tcPr>
            <w:tcW w:w="106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72</w:t>
            </w:r>
          </w:p>
        </w:tc>
      </w:tr>
      <w:tr>
        <w:trPr>
          <w:trHeight w:val="189"/>
        </w:trPr>
        <w:tc>
          <w:tcPr>
            <w:tcW w:w="3860" w:type="dxa"/>
            <w:vAlign w:val="bottom"/>
            <w:gridSpan w:val="2"/>
          </w:tcPr>
          <w:p>
            <w:pPr>
              <w:ind w:left="200"/>
              <w:spacing w:after="0"/>
              <w:rPr>
                <w:sz w:val="20"/>
                <w:szCs w:val="20"/>
                <w:color w:val="auto"/>
              </w:rPr>
            </w:pPr>
            <w:r>
              <w:rPr>
                <w:rFonts w:ascii="Arial" w:cs="Arial" w:eastAsia="Arial" w:hAnsi="Arial"/>
                <w:sz w:val="14"/>
                <w:szCs w:val="14"/>
                <w:color w:val="auto"/>
              </w:rPr>
              <w:t>Gas distribution</w:t>
            </w: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2,620,174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2,394,352</w:t>
            </w:r>
          </w:p>
        </w:tc>
        <w:tc>
          <w:tcPr>
            <w:tcW w:w="1440" w:type="dxa"/>
            <w:vAlign w:val="bottom"/>
            <w:gridSpan w:val="3"/>
          </w:tcPr>
          <w:p>
            <w:pPr>
              <w:jc w:val="center"/>
              <w:ind w:left="248"/>
              <w:spacing w:after="0"/>
              <w:rPr>
                <w:sz w:val="20"/>
                <w:szCs w:val="20"/>
                <w:color w:val="auto"/>
              </w:rPr>
            </w:pPr>
            <w:r>
              <w:rPr>
                <w:rFonts w:ascii="Arial" w:cs="Arial" w:eastAsia="Arial" w:hAnsi="Arial"/>
                <w:sz w:val="14"/>
                <w:szCs w:val="14"/>
                <w:color w:val="auto"/>
              </w:rPr>
              <w:t>53</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rPr>
              <w:t>48</w:t>
            </w: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rPr>
              <w:t>60</w:t>
            </w:r>
          </w:p>
        </w:tc>
      </w:tr>
      <w:tr>
        <w:trPr>
          <w:trHeight w:val="189"/>
        </w:trPr>
        <w:tc>
          <w:tcPr>
            <w:tcW w:w="3860" w:type="dxa"/>
            <w:vAlign w:val="bottom"/>
            <w:gridSpan w:val="2"/>
            <w:shd w:val="clear" w:color="auto" w:fill="CFF0FC"/>
          </w:tcPr>
          <w:p>
            <w:pPr>
              <w:ind w:left="200"/>
              <w:spacing w:after="0" w:line="189" w:lineRule="exact"/>
              <w:rPr>
                <w:sz w:val="20"/>
                <w:szCs w:val="20"/>
                <w:color w:val="auto"/>
              </w:rPr>
            </w:pPr>
            <w:r>
              <w:rPr>
                <w:rFonts w:ascii="Arial" w:cs="Arial" w:eastAsia="Arial" w:hAnsi="Arial"/>
                <w:sz w:val="14"/>
                <w:szCs w:val="14"/>
                <w:color w:val="auto"/>
              </w:rPr>
              <w:t xml:space="preserve">Cushion gas - depreciable </w:t>
            </w:r>
            <w:r>
              <w:rPr>
                <w:rFonts w:ascii="Arial" w:cs="Arial" w:eastAsia="Arial" w:hAnsi="Arial"/>
                <w:sz w:val="19"/>
                <w:szCs w:val="19"/>
                <w:color w:val="auto"/>
                <w:vertAlign w:val="superscript"/>
              </w:rPr>
              <w:t>(a)</w:t>
            </w:r>
          </w:p>
        </w:tc>
        <w:tc>
          <w:tcPr>
            <w:tcW w:w="2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3,539</w:t>
            </w:r>
          </w:p>
        </w:tc>
        <w:tc>
          <w:tcPr>
            <w:tcW w:w="1440" w:type="dxa"/>
            <w:vAlign w:val="bottom"/>
            <w:gridSpan w:val="3"/>
            <w:shd w:val="clear" w:color="auto" w:fill="CFF0FC"/>
          </w:tcPr>
          <w:p>
            <w:pPr>
              <w:jc w:val="center"/>
              <w:ind w:left="2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89"/>
        </w:trPr>
        <w:tc>
          <w:tcPr>
            <w:tcW w:w="3860" w:type="dxa"/>
            <w:vAlign w:val="bottom"/>
            <w:gridSpan w:val="2"/>
          </w:tcPr>
          <w:p>
            <w:pPr>
              <w:ind w:left="200"/>
              <w:spacing w:after="0" w:line="189" w:lineRule="exact"/>
              <w:rPr>
                <w:sz w:val="20"/>
                <w:szCs w:val="20"/>
                <w:color w:val="auto"/>
              </w:rPr>
            </w:pPr>
            <w:r>
              <w:rPr>
                <w:rFonts w:ascii="Arial" w:cs="Arial" w:eastAsia="Arial" w:hAnsi="Arial"/>
                <w:sz w:val="14"/>
                <w:szCs w:val="14"/>
                <w:color w:val="auto"/>
              </w:rPr>
              <w:t xml:space="preserve">Cushion gas - not depreciable </w:t>
            </w:r>
            <w:r>
              <w:rPr>
                <w:rFonts w:ascii="Arial" w:cs="Arial" w:eastAsia="Arial" w:hAnsi="Arial"/>
                <w:sz w:val="19"/>
                <w:szCs w:val="19"/>
                <w:color w:val="auto"/>
                <w:vertAlign w:val="superscript"/>
              </w:rPr>
              <w:t>(a)</w:t>
            </w: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63,137</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189"/>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Storage</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65,781</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56,289</w:t>
            </w:r>
          </w:p>
        </w:tc>
        <w:tc>
          <w:tcPr>
            <w:tcW w:w="1440" w:type="dxa"/>
            <w:vAlign w:val="bottom"/>
            <w:gridSpan w:val="3"/>
            <w:shd w:val="clear" w:color="auto" w:fill="CFF0FC"/>
          </w:tcPr>
          <w:p>
            <w:pPr>
              <w:jc w:val="center"/>
              <w:ind w:left="248"/>
              <w:spacing w:after="0"/>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36</w:t>
            </w:r>
          </w:p>
        </w:tc>
        <w:tc>
          <w:tcPr>
            <w:tcW w:w="106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48</w:t>
            </w:r>
          </w:p>
        </w:tc>
      </w:tr>
      <w:tr>
        <w:trPr>
          <w:trHeight w:val="189"/>
        </w:trPr>
        <w:tc>
          <w:tcPr>
            <w:tcW w:w="3860" w:type="dxa"/>
            <w:vAlign w:val="bottom"/>
            <w:gridSpan w:val="2"/>
          </w:tcPr>
          <w:p>
            <w:pPr>
              <w:ind w:left="200"/>
              <w:spacing w:after="0"/>
              <w:rPr>
                <w:sz w:val="20"/>
                <w:szCs w:val="20"/>
                <w:color w:val="auto"/>
              </w:rPr>
            </w:pPr>
            <w:r>
              <w:rPr>
                <w:rFonts w:ascii="Arial" w:cs="Arial" w:eastAsia="Arial" w:hAnsi="Arial"/>
                <w:sz w:val="14"/>
                <w:szCs w:val="14"/>
                <w:color w:val="auto"/>
              </w:rPr>
              <w:t>General</w:t>
            </w: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497,407</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474,964</w:t>
            </w:r>
          </w:p>
        </w:tc>
        <w:tc>
          <w:tcPr>
            <w:tcW w:w="1440" w:type="dxa"/>
            <w:vAlign w:val="bottom"/>
            <w:gridSpan w:val="3"/>
          </w:tcPr>
          <w:p>
            <w:pPr>
              <w:jc w:val="center"/>
              <w:ind w:left="248"/>
              <w:spacing w:after="0"/>
              <w:rPr>
                <w:sz w:val="20"/>
                <w:szCs w:val="20"/>
                <w:color w:val="auto"/>
              </w:rPr>
            </w:pPr>
            <w:r>
              <w:rPr>
                <w:rFonts w:ascii="Arial" w:cs="Arial" w:eastAsia="Arial" w:hAnsi="Arial"/>
                <w:sz w:val="14"/>
                <w:szCs w:val="14"/>
                <w:color w:val="auto"/>
              </w:rPr>
              <w:t>21</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rPr>
              <w:t>3</w:t>
            </w:r>
          </w:p>
        </w:tc>
        <w:tc>
          <w:tcPr>
            <w:tcW w:w="1060" w:type="dxa"/>
            <w:vAlign w:val="bottom"/>
            <w:gridSpan w:val="2"/>
          </w:tcPr>
          <w:p>
            <w:pPr>
              <w:jc w:val="center"/>
              <w:ind w:left="68"/>
              <w:spacing w:after="0"/>
              <w:rPr>
                <w:sz w:val="20"/>
                <w:szCs w:val="20"/>
                <w:color w:val="auto"/>
              </w:rPr>
            </w:pPr>
            <w:r>
              <w:rPr>
                <w:rFonts w:ascii="Arial" w:cs="Arial" w:eastAsia="Arial" w:hAnsi="Arial"/>
                <w:sz w:val="14"/>
                <w:szCs w:val="14"/>
                <w:color w:val="auto"/>
              </w:rPr>
              <w:t>25</w:t>
            </w:r>
          </w:p>
        </w:tc>
      </w:tr>
      <w:tr>
        <w:trPr>
          <w:trHeight w:val="183"/>
        </w:trPr>
        <w:tc>
          <w:tcPr>
            <w:tcW w:w="38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Total gas plant in service</w:t>
            </w:r>
          </w:p>
        </w:tc>
        <w:tc>
          <w:tcPr>
            <w:tcW w:w="2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3,959,687</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3,632,013</w:t>
            </w:r>
          </w:p>
        </w:tc>
        <w:tc>
          <w:tcPr>
            <w:tcW w:w="1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9"/>
        </w:trPr>
        <w:tc>
          <w:tcPr>
            <w:tcW w:w="3860" w:type="dxa"/>
            <w:vAlign w:val="bottom"/>
            <w:gridSpan w:val="2"/>
          </w:tcPr>
          <w:p>
            <w:pPr>
              <w:ind w:left="200"/>
              <w:spacing w:after="0"/>
              <w:rPr>
                <w:sz w:val="20"/>
                <w:szCs w:val="20"/>
                <w:color w:val="auto"/>
              </w:rPr>
            </w:pPr>
            <w:r>
              <w:rPr>
                <w:rFonts w:ascii="Arial" w:cs="Arial" w:eastAsia="Arial" w:hAnsi="Arial"/>
                <w:sz w:val="14"/>
                <w:szCs w:val="14"/>
                <w:color w:val="auto"/>
              </w:rPr>
              <w:t>Construction work in progress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52,041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37,860</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386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Total gas plant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4,011,728</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3,669,873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9"/>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(471,013 )</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(389,115 )</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3"/>
        </w:trPr>
        <w:tc>
          <w:tcPr>
            <w:tcW w:w="38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Gas plant net of accumulated depreciation</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3,540,715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3,280,758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147"/>
        </w:trPr>
        <w:tc>
          <w:tcPr>
            <w:tcW w:w="3740" w:type="dxa"/>
            <w:vAlign w:val="bottom"/>
            <w:tcBorders>
              <w:top w:val="single" w:sz="8" w:color="CFF0FC"/>
            </w:tcBorders>
          </w:tcPr>
          <w:p>
            <w:pPr>
              <w:spacing w:after="0" w:line="147" w:lineRule="exact"/>
              <w:rPr>
                <w:sz w:val="20"/>
                <w:szCs w:val="20"/>
                <w:color w:val="auto"/>
              </w:rPr>
            </w:pPr>
            <w:r>
              <w:rPr>
                <w:rFonts w:ascii="Arial" w:cs="Arial" w:eastAsia="Arial" w:hAnsi="Arial"/>
                <w:sz w:val="14"/>
                <w:szCs w:val="14"/>
                <w:color w:val="auto"/>
              </w:rPr>
              <w:t>____________________</w:t>
            </w:r>
          </w:p>
        </w:tc>
        <w:tc>
          <w:tcPr>
            <w:tcW w:w="12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-130810</wp:posOffset>
            </wp:positionV>
            <wp:extent cx="1289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-113665</wp:posOffset>
            </wp:positionV>
            <wp:extent cx="1289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-130810</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-113665</wp:posOffset>
            </wp:positionV>
            <wp:extent cx="1200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ind w:left="380" w:right="640" w:hanging="372"/>
        <w:spacing w:after="0" w:line="264" w:lineRule="auto"/>
        <w:tabs>
          <w:tab w:leader="none" w:pos="341"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 In 2022, assets classified as Cushion gas - depreciable were fully depreciated and removed from gross plant in service and accumulated depreciation.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Lives (in years)</w:t>
            </w:r>
          </w:p>
        </w:tc>
      </w:tr>
      <w:tr>
        <w:trPr>
          <w:trHeight w:val="160"/>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c>
          <w:tcPr>
            <w:tcW w:w="14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Property, Plant</w:t>
            </w:r>
          </w:p>
        </w:tc>
        <w:tc>
          <w:tcPr>
            <w:tcW w:w="1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and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Equipment</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Equipment</w:t>
            </w:r>
          </w:p>
        </w:tc>
        <w:tc>
          <w:tcPr>
            <w:tcW w:w="3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83"/>
        </w:trPr>
        <w:tc>
          <w:tcPr>
            <w:tcW w:w="39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Total plant in service</w:t>
            </w:r>
          </w:p>
        </w:tc>
        <w:tc>
          <w:tcPr>
            <w:tcW w:w="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5,685</w:t>
            </w:r>
          </w:p>
        </w:tc>
        <w:tc>
          <w:tcPr>
            <w:tcW w:w="1460" w:type="dxa"/>
            <w:vAlign w:val="bottom"/>
            <w:gridSpan w:val="3"/>
            <w:shd w:val="clear" w:color="auto" w:fill="CFF0FC"/>
          </w:tcPr>
          <w:p>
            <w:pPr>
              <w:jc w:val="center"/>
              <w:ind w:left="208"/>
              <w:spacing w:after="0"/>
              <w:rPr>
                <w:sz w:val="20"/>
                <w:szCs w:val="20"/>
                <w:color w:val="auto"/>
              </w:rPr>
            </w:pPr>
            <w:r>
              <w:rPr>
                <w:rFonts w:ascii="Arial" w:cs="Arial" w:eastAsia="Arial" w:hAnsi="Arial"/>
                <w:sz w:val="14"/>
                <w:szCs w:val="14"/>
                <w:color w:val="auto"/>
                <w:w w:val="89"/>
              </w:rPr>
              <w:t>11</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5,694</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w:t>
            </w:r>
          </w:p>
        </w:tc>
        <w:tc>
          <w:tcPr>
            <w:tcW w:w="1060" w:type="dxa"/>
            <w:vAlign w:val="bottom"/>
            <w:gridSpan w:val="2"/>
            <w:shd w:val="clear" w:color="auto" w:fill="CFF0FC"/>
          </w:tcPr>
          <w:p>
            <w:pPr>
              <w:jc w:val="right"/>
              <w:ind w:right="368"/>
              <w:spacing w:after="0"/>
              <w:rPr>
                <w:sz w:val="20"/>
                <w:szCs w:val="20"/>
                <w:color w:val="auto"/>
              </w:rPr>
            </w:pPr>
            <w:r>
              <w:rPr>
                <w:rFonts w:ascii="Arial" w:cs="Arial" w:eastAsia="Arial" w:hAnsi="Arial"/>
                <w:sz w:val="14"/>
                <w:szCs w:val="14"/>
                <w:color w:val="auto"/>
              </w:rPr>
              <w:t>4</w:t>
            </w:r>
          </w:p>
        </w:tc>
        <w:tc>
          <w:tcPr>
            <w:tcW w:w="1040" w:type="dxa"/>
            <w:vAlign w:val="bottom"/>
            <w:gridSpan w:val="2"/>
            <w:shd w:val="clear" w:color="auto" w:fill="CFF0FC"/>
          </w:tcPr>
          <w:p>
            <w:pPr>
              <w:jc w:val="right"/>
              <w:ind w:right="308"/>
              <w:spacing w:after="0"/>
              <w:rPr>
                <w:sz w:val="20"/>
                <w:szCs w:val="20"/>
                <w:color w:val="auto"/>
              </w:rPr>
            </w:pPr>
            <w:r>
              <w:rPr>
                <w:rFonts w:ascii="Arial" w:cs="Arial" w:eastAsia="Arial" w:hAnsi="Arial"/>
                <w:sz w:val="14"/>
                <w:szCs w:val="14"/>
                <w:color w:val="auto"/>
              </w:rPr>
              <w:t>24</w:t>
            </w:r>
          </w:p>
        </w:tc>
      </w:tr>
      <w:tr>
        <w:trPr>
          <w:trHeight w:val="189"/>
        </w:trPr>
        <w:tc>
          <w:tcPr>
            <w:tcW w:w="3900" w:type="dxa"/>
            <w:vAlign w:val="bottom"/>
            <w:gridSpan w:val="2"/>
          </w:tcPr>
          <w:p>
            <w:pPr>
              <w:ind w:left="200"/>
              <w:spacing w:after="0"/>
              <w:rPr>
                <w:sz w:val="20"/>
                <w:szCs w:val="20"/>
                <w:color w:val="auto"/>
              </w:rPr>
            </w:pPr>
            <w:r>
              <w:rPr>
                <w:rFonts w:ascii="Arial" w:cs="Arial" w:eastAsia="Arial" w:hAnsi="Arial"/>
                <w:sz w:val="14"/>
                <w:szCs w:val="14"/>
                <w:color w:val="auto"/>
              </w:rPr>
              <w:t>Construction work in progress</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13,690</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3"/>
        </w:trPr>
        <w:tc>
          <w:tcPr>
            <w:tcW w:w="3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Total gross property, plant and equipment</w:t>
            </w: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19,375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14,154</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9"/>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(1,773 )</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(1,544 )</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39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color w:val="auto"/>
              </w:rPr>
              <w:t>Total net of accumulated depreciation</w:t>
            </w:r>
          </w:p>
        </w:tc>
        <w:tc>
          <w:tcPr>
            <w:tcW w:w="3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17,602</w:t>
            </w:r>
          </w:p>
        </w:tc>
        <w:tc>
          <w:tcPr>
            <w:tcW w:w="1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12,610</w:t>
            </w:r>
          </w:p>
        </w:tc>
        <w:tc>
          <w:tcPr>
            <w:tcW w:w="3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1200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1200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1885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1885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JOINTLY OWNED FACILITIES</w:t>
      </w:r>
    </w:p>
    <w:p>
      <w:pPr>
        <w:spacing w:after="0" w:line="194" w:lineRule="exact"/>
        <w:rPr>
          <w:sz w:val="20"/>
          <w:szCs w:val="20"/>
          <w:color w:val="auto"/>
        </w:rPr>
      </w:pPr>
    </w:p>
    <w:p>
      <w:pPr>
        <w:jc w:val="both"/>
        <w:ind w:right="640"/>
        <w:spacing w:after="0" w:line="266" w:lineRule="auto"/>
        <w:rPr>
          <w:sz w:val="20"/>
          <w:szCs w:val="20"/>
          <w:color w:val="auto"/>
        </w:rPr>
      </w:pPr>
      <w:r>
        <w:rPr>
          <w:rFonts w:ascii="Arial" w:cs="Arial" w:eastAsia="Arial" w:hAnsi="Arial"/>
          <w:sz w:val="16"/>
          <w:szCs w:val="16"/>
          <w:color w:val="auto"/>
        </w:rPr>
        <w:t>Our consolidated financial statements include our share of several jointly-owned facilities as described below. Our share of the facilities’ expenses is reflected in the appropriate categories of operating expenses in the Consolidated Statements of Income. Each owner of the facility is responsible for financing its investment in the jointly-owned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our interests in jointly-owned generating facilities and transmission systems were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center"/>
              <w:ind w:right="239"/>
              <w:spacing w:after="0"/>
              <w:rPr>
                <w:sz w:val="20"/>
                <w:szCs w:val="20"/>
                <w:color w:val="auto"/>
              </w:rPr>
            </w:pPr>
            <w:r>
              <w:rPr>
                <w:rFonts w:ascii="Arial" w:cs="Arial" w:eastAsia="Arial" w:hAnsi="Arial"/>
                <w:sz w:val="16"/>
                <w:szCs w:val="16"/>
                <w:b w:val="1"/>
                <w:bCs w:val="1"/>
                <w:color w:val="auto"/>
              </w:rPr>
              <w:t>Plant Net of</w:t>
            </w:r>
          </w:p>
        </w:tc>
      </w:tr>
      <w:tr>
        <w:trPr>
          <w:trHeight w:val="189"/>
        </w:trPr>
        <w:tc>
          <w:tcPr>
            <w:tcW w:w="24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Construction Work</w:t>
            </w: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Less Accumulated</w:t>
            </w:r>
          </w:p>
        </w:tc>
        <w:tc>
          <w:tcPr>
            <w:tcW w:w="260" w:type="dxa"/>
            <w:vAlign w:val="bottom"/>
          </w:tcPr>
          <w:p>
            <w:pPr>
              <w:spacing w:after="0"/>
              <w:rPr>
                <w:sz w:val="16"/>
                <w:szCs w:val="16"/>
                <w:color w:val="auto"/>
              </w:rPr>
            </w:pPr>
          </w:p>
        </w:tc>
        <w:tc>
          <w:tcPr>
            <w:tcW w:w="1460" w:type="dxa"/>
            <w:vAlign w:val="bottom"/>
          </w:tcPr>
          <w:p>
            <w:pPr>
              <w:jc w:val="center"/>
              <w:ind w:right="239"/>
              <w:spacing w:after="0"/>
              <w:rPr>
                <w:sz w:val="20"/>
                <w:szCs w:val="20"/>
                <w:color w:val="auto"/>
              </w:rPr>
            </w:pPr>
            <w:r>
              <w:rPr>
                <w:rFonts w:ascii="Arial" w:cs="Arial" w:eastAsia="Arial" w:hAnsi="Arial"/>
                <w:sz w:val="16"/>
                <w:szCs w:val="16"/>
                <w:b w:val="1"/>
                <w:bCs w:val="1"/>
                <w:color w:val="auto"/>
              </w:rPr>
              <w:t>Accumulated</w:t>
            </w:r>
          </w:p>
        </w:tc>
      </w:tr>
      <w:tr>
        <w:trPr>
          <w:trHeight w:val="217"/>
        </w:trPr>
        <w:tc>
          <w:tcPr>
            <w:tcW w:w="2460" w:type="dxa"/>
            <w:vAlign w:val="bottom"/>
          </w:tcPr>
          <w:p>
            <w:pPr>
              <w:spacing w:after="0"/>
              <w:rPr>
                <w:sz w:val="18"/>
                <w:szCs w:val="18"/>
                <w:color w:val="auto"/>
              </w:rPr>
            </w:pP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Ownership Interest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Plant in Service</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in Progress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Depreciation</w:t>
            </w:r>
          </w:p>
        </w:tc>
      </w:tr>
      <w:tr>
        <w:trPr>
          <w:trHeight w:val="209"/>
        </w:trPr>
        <w:tc>
          <w:tcPr>
            <w:tcW w:w="246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Wyodak Plant </w:t>
            </w:r>
            <w:r>
              <w:rPr>
                <w:rFonts w:ascii="Arial" w:cs="Arial" w:eastAsia="Arial" w:hAnsi="Arial"/>
                <w:sz w:val="21"/>
                <w:szCs w:val="21"/>
                <w:color w:val="auto"/>
                <w:vertAlign w:val="superscript"/>
              </w:rPr>
              <w:t>(a)</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121,769</w:t>
            </w:r>
          </w:p>
        </w:tc>
        <w:tc>
          <w:tcPr>
            <w:tcW w:w="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(70,884 )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50,978</w:t>
            </w: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Transmission Tie</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35 %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24,482</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300</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(7,375 )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17,407</w:t>
            </w:r>
          </w:p>
        </w:tc>
      </w:tr>
      <w:tr>
        <w:trPr>
          <w:trHeight w:val="217"/>
        </w:trPr>
        <w:tc>
          <w:tcPr>
            <w:tcW w:w="246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Wygen III </w:t>
            </w:r>
            <w:r>
              <w:rPr>
                <w:rFonts w:ascii="Arial" w:cs="Arial" w:eastAsia="Arial" w:hAnsi="Arial"/>
                <w:sz w:val="21"/>
                <w:szCs w:val="21"/>
                <w:color w:val="auto"/>
                <w:vertAlign w:val="superscript"/>
              </w:rPr>
              <w:t>(b)</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143,818</w:t>
            </w:r>
          </w:p>
        </w:tc>
        <w:tc>
          <w:tcPr>
            <w:tcW w:w="3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1,051</w:t>
            </w:r>
          </w:p>
        </w:tc>
        <w:tc>
          <w:tcPr>
            <w:tcW w:w="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(29,634 )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115,235</w:t>
            </w:r>
          </w:p>
        </w:tc>
      </w:tr>
      <w:tr>
        <w:trPr>
          <w:trHeight w:val="290"/>
        </w:trPr>
        <w:tc>
          <w:tcPr>
            <w:tcW w:w="2460" w:type="dxa"/>
            <w:vAlign w:val="bottom"/>
          </w:tcPr>
          <w:p>
            <w:pPr>
              <w:ind w:left="20"/>
              <w:spacing w:after="0"/>
              <w:rPr>
                <w:sz w:val="20"/>
                <w:szCs w:val="20"/>
                <w:color w:val="auto"/>
              </w:rPr>
            </w:pPr>
            <w:r>
              <w:rPr>
                <w:rFonts w:ascii="Arial" w:cs="Arial" w:eastAsia="Arial" w:hAnsi="Arial"/>
                <w:sz w:val="16"/>
                <w:szCs w:val="16"/>
                <w:color w:val="auto"/>
              </w:rPr>
              <w:t xml:space="preserve">Wygen I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76.5 %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114,811</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1,579</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(56,553 )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1431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46" w:lineRule="exact"/>
        <w:rPr>
          <w:sz w:val="20"/>
          <w:szCs w:val="20"/>
          <w:color w:val="auto"/>
        </w:rPr>
      </w:pPr>
    </w:p>
    <w:p>
      <w:pPr>
        <w:ind w:left="520" w:right="220" w:hanging="512"/>
        <w:spacing w:after="0" w:line="251"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addition to supplying South Dakota Electric with coal for its share of the Wyodak Plant, our mine supplies PacifiCorp’s share of the coal under a separate long-term agreement. This coal supply agreement is collateralized by a mortgage on and a security interest in some of WRDC’s coal reserves.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South Dakota Electric retains responsibility for plant operations. Our mine supplies fuel to Wygen III for the life of the plant.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Black Hills Wyoming retains responsibility for plant operations. Our mine supplies fuel to Wygen I for the life of the plant.</w:t>
      </w:r>
    </w:p>
    <w:p>
      <w:pPr>
        <w:spacing w:after="0" w:line="144"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ASSET RETIREMENT OBLIGATIONS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identified legal obligations related to reclamation of mining sites; removal of fuel tanks, transformers containing polychlorinated biphenyls, an evaporation pond; and reclamation of wind turbine sites at our Electric Utilities segment. In addition, we have identified legal obligations related to retirement of gas pipelines, wells and compressor stations at our Gas Utilities and removal of asbestos at our Utilities. We periodically review and update estimated costs related to these AROs. The actual cost may vary from estimates due to regulatory requirements, changes in technology and increased labor, materials and equipment costs.</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Revisions to Prior</w:t>
            </w:r>
          </w:p>
        </w:tc>
        <w:tc>
          <w:tcPr>
            <w:tcW w:w="18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Incurred</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Settled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Accretion</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Estimates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30,089</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(3,003 )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1,353</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27,583</w:t>
            </w:r>
          </w:p>
        </w:tc>
      </w:tr>
      <w:tr>
        <w:trPr>
          <w:trHeight w:val="216"/>
        </w:trPr>
        <w:tc>
          <w:tcPr>
            <w:tcW w:w="2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45,455</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(158 )</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14,032</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61,345</w:t>
            </w:r>
          </w:p>
        </w:tc>
      </w:tr>
      <w:tr>
        <w:trPr>
          <w:trHeight w:val="249"/>
        </w:trPr>
        <w:tc>
          <w:tcPr>
            <w:tcW w:w="2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75,544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(3,161 )</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3,369</w:t>
            </w:r>
          </w:p>
        </w:tc>
        <w:tc>
          <w:tcPr>
            <w:tcW w:w="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13,176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88,928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Revisions to Prior</w:t>
            </w:r>
          </w:p>
        </w:tc>
        <w:tc>
          <w:tcPr>
            <w:tcW w:w="2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Incurred</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Settled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Accretion</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Estimates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29,157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(978 )</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1,315</w:t>
            </w:r>
          </w:p>
        </w:tc>
        <w:tc>
          <w:tcPr>
            <w:tcW w:w="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30,089</w:t>
            </w:r>
          </w:p>
        </w:tc>
      </w:tr>
      <w:tr>
        <w:trPr>
          <w:trHeight w:val="216"/>
        </w:trPr>
        <w:tc>
          <w:tcPr>
            <w:tcW w:w="22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42,274</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45,455</w:t>
            </w:r>
          </w:p>
        </w:tc>
      </w:tr>
      <w:tr>
        <w:trPr>
          <w:trHeight w:val="249"/>
        </w:trPr>
        <w:tc>
          <w:tcPr>
            <w:tcW w:w="2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71,431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3,048</w:t>
            </w:r>
          </w:p>
        </w:tc>
        <w:tc>
          <w:tcPr>
            <w:tcW w:w="3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2,109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143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Revisions to Prior Estimates were primarily driven by changes in estimates associated with natural gas wells and compressor stations.</w:t>
      </w:r>
    </w:p>
    <w:p>
      <w:pPr>
        <w:spacing w:after="0" w:line="15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w:t>
      </w:r>
    </w:p>
    <w:p>
      <w:pPr>
        <w:spacing w:after="0" w:line="20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On July 19, 2021, we amended and restated our corporate Revolving Credit Facility, maintaining total commitments of $750 million and extending the term through July 19, 2026 with two one year extension options (subject to consent from lenders). This Revolving Credit Facility is similar to the former revolving credit facility, which includes an accordion feature that allows us to increase total commitments up to $1.0 billion with the consent of the administrative agent, the issuing agents and each bank increasing or providing a new commitment.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current credit ratings, the margins for base rate borrowings, Eurodollar borrowings and letters of credit were 0.125%, 1.125% and 1.125%, respectively, at December 31, 2022. Based on our credit ratings, a 0.175% commitment fee was charged on the unused amount at December 31, 2022.</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at December 31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60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535,600</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420,180</w:t>
            </w:r>
          </w:p>
        </w:tc>
        <w:tc>
          <w:tcPr>
            <w:tcW w:w="40" w:type="dxa"/>
            <w:vAlign w:val="bottom"/>
          </w:tcPr>
          <w:p>
            <w:pPr>
              <w:spacing w:after="0"/>
              <w:rPr>
                <w:sz w:val="18"/>
                <w:szCs w:val="18"/>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60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24,626</w:t>
            </w:r>
          </w:p>
        </w:tc>
        <w:tc>
          <w:tcPr>
            <w:tcW w:w="4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27,209</w:t>
            </w:r>
          </w:p>
        </w:tc>
        <w:tc>
          <w:tcPr>
            <w:tcW w:w="40" w:type="dxa"/>
            <w:vAlign w:val="bottom"/>
          </w:tcPr>
          <w:p>
            <w:pPr>
              <w:spacing w:after="0"/>
              <w:rPr>
                <w:sz w:val="18"/>
                <w:szCs w:val="18"/>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6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189,774</w:t>
            </w: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302,611</w:t>
            </w:r>
          </w:p>
        </w:tc>
        <w:tc>
          <w:tcPr>
            <w:tcW w:w="40" w:type="dxa"/>
            <w:vAlign w:val="bottom"/>
          </w:tcPr>
          <w:p>
            <w:pPr>
              <w:spacing w:after="0"/>
              <w:rPr>
                <w:sz w:val="18"/>
                <w:szCs w:val="18"/>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4.88 %</w:t>
            </w: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143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21"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and CP Program borrowing activity for the years ended December 31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8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572,300</w:t>
            </w:r>
          </w:p>
        </w:tc>
        <w:tc>
          <w:tcPr>
            <w:tcW w:w="4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440,000</w:t>
            </w:r>
          </w:p>
        </w:tc>
        <w:tc>
          <w:tcPr>
            <w:tcW w:w="40" w:type="dxa"/>
            <w:vAlign w:val="bottom"/>
          </w:tcPr>
          <w:p>
            <w:pPr>
              <w:spacing w:after="0"/>
              <w:rPr>
                <w:sz w:val="18"/>
                <w:szCs w:val="18"/>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8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390,653</w:t>
            </w:r>
          </w:p>
        </w:tc>
        <w:tc>
          <w:tcPr>
            <w:tcW w:w="4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258,392</w:t>
            </w:r>
          </w:p>
        </w:tc>
        <w:tc>
          <w:tcPr>
            <w:tcW w:w="40" w:type="dxa"/>
            <w:vAlign w:val="bottom"/>
          </w:tcPr>
          <w:p>
            <w:pPr>
              <w:spacing w:after="0"/>
              <w:rPr>
                <w:sz w:val="18"/>
                <w:szCs w:val="18"/>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2.11 %</w:t>
            </w:r>
          </w:p>
        </w:tc>
        <w:tc>
          <w:tcPr>
            <w:tcW w:w="4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Financing Costs on the Revolving Credit Facility</w:t>
      </w:r>
    </w:p>
    <w:p>
      <w:pPr>
        <w:spacing w:after="0" w:line="19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Total accumulated deferred financing costs on the Revolving Credit Facility of $8.9 million are being amortized over its estimated useful life and were included in Interest expense on the accompanying Consolidated Statements of Income. See below for additional details.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1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 February 24, 2021, we entered into a nine-month, $800 million unsecured term loan to provide additional liquidity and to meet our cash needs related to the incremental fuel, purchased power and natural gas costs from Winter Storm Uri. The term loan carried no prepayment penalty and was subject to the same covenant requirements as our Revolving Credit Facility. We repaid $200 million of this term loan in the first quarter of 2021. Proceeds from the August 26, 2021 public debt offering (discussed below) were used to repay the remaining balance on this term loan.</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outstanding was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Interest Rate at</w:t>
            </w:r>
          </w:p>
        </w:tc>
        <w:tc>
          <w:tcPr>
            <w:tcW w:w="120" w:type="dxa"/>
            <w:vAlign w:val="bottom"/>
          </w:tcPr>
          <w:p>
            <w:pPr>
              <w:spacing w:after="0"/>
              <w:rPr>
                <w:sz w:val="18"/>
                <w:szCs w:val="18"/>
                <w:color w:val="auto"/>
              </w:rPr>
            </w:pPr>
          </w:p>
        </w:tc>
        <w:tc>
          <w:tcPr>
            <w:tcW w:w="286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Balance Outstanding</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Due Date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9"/>
        </w:trPr>
        <w:tc>
          <w:tcPr>
            <w:tcW w:w="200" w:type="dxa"/>
            <w:vAlign w:val="bottom"/>
            <w:shd w:val="clear" w:color="auto" w:fill="CFF0FC"/>
          </w:tcPr>
          <w:p>
            <w:pPr>
              <w:spacing w:after="0"/>
              <w:rPr>
                <w:sz w:val="14"/>
                <w:szCs w:val="14"/>
                <w:color w:val="auto"/>
              </w:rPr>
            </w:pPr>
          </w:p>
        </w:tc>
        <w:tc>
          <w:tcPr>
            <w:tcW w:w="438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Corporate</w:t>
            </w:r>
          </w:p>
        </w:tc>
        <w:tc>
          <w:tcPr>
            <w:tcW w:w="18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Senior unsecured notes due 2023</w:t>
            </w:r>
          </w:p>
        </w:tc>
        <w:tc>
          <w:tcPr>
            <w:tcW w:w="1860" w:type="dxa"/>
            <w:vAlign w:val="bottom"/>
          </w:tcPr>
          <w:p>
            <w:pPr>
              <w:jc w:val="center"/>
              <w:spacing w:after="0"/>
              <w:rPr>
                <w:sz w:val="20"/>
                <w:szCs w:val="20"/>
                <w:color w:val="auto"/>
              </w:rPr>
            </w:pPr>
            <w:r>
              <w:rPr>
                <w:rFonts w:ascii="Arial" w:cs="Arial" w:eastAsia="Arial" w:hAnsi="Arial"/>
                <w:sz w:val="16"/>
                <w:szCs w:val="16"/>
                <w:color w:val="auto"/>
              </w:rPr>
              <w:t>November 30, 2023</w:t>
            </w:r>
          </w:p>
        </w:tc>
        <w:tc>
          <w:tcPr>
            <w:tcW w:w="1820" w:type="dxa"/>
            <w:vAlign w:val="bottom"/>
          </w:tcPr>
          <w:p>
            <w:pPr>
              <w:jc w:val="center"/>
              <w:spacing w:after="0"/>
              <w:rPr>
                <w:sz w:val="20"/>
                <w:szCs w:val="20"/>
                <w:color w:val="auto"/>
              </w:rPr>
            </w:pPr>
            <w:r>
              <w:rPr>
                <w:rFonts w:ascii="Arial" w:cs="Arial" w:eastAsia="Arial" w:hAnsi="Arial"/>
                <w:sz w:val="16"/>
                <w:szCs w:val="16"/>
                <w:color w:val="auto"/>
              </w:rPr>
              <w:t>4.25%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525,000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0" w:type="dxa"/>
            <w:vAlign w:val="bottom"/>
          </w:tcPr>
          <w:p>
            <w:pPr>
              <w:spacing w:after="0"/>
              <w:rPr>
                <w:sz w:val="1"/>
                <w:szCs w:val="1"/>
                <w:color w:val="auto"/>
              </w:rPr>
            </w:pPr>
          </w:p>
        </w:tc>
      </w:tr>
      <w:tr>
        <w:trPr>
          <w:trHeight w:val="217"/>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180"/>
              <w:spacing w:after="0"/>
              <w:rPr>
                <w:sz w:val="20"/>
                <w:szCs w:val="20"/>
                <w:color w:val="auto"/>
              </w:rPr>
            </w:pPr>
            <w:r>
              <w:rPr>
                <w:rFonts w:ascii="Arial" w:cs="Arial" w:eastAsia="Arial" w:hAnsi="Arial"/>
                <w:sz w:val="16"/>
                <w:szCs w:val="16"/>
                <w:color w:val="auto"/>
              </w:rPr>
              <w:t>Senior unsecured notes due 2024</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August 23, 2024</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600,000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Senior unsecured notes due 2026</w:t>
            </w:r>
          </w:p>
        </w:tc>
        <w:tc>
          <w:tcPr>
            <w:tcW w:w="1860" w:type="dxa"/>
            <w:vAlign w:val="bottom"/>
          </w:tcPr>
          <w:p>
            <w:pPr>
              <w:jc w:val="center"/>
              <w:spacing w:after="0"/>
              <w:rPr>
                <w:sz w:val="20"/>
                <w:szCs w:val="20"/>
                <w:color w:val="auto"/>
              </w:rPr>
            </w:pPr>
            <w:r>
              <w:rPr>
                <w:rFonts w:ascii="Arial" w:cs="Arial" w:eastAsia="Arial" w:hAnsi="Arial"/>
                <w:sz w:val="16"/>
                <w:szCs w:val="16"/>
                <w:color w:val="auto"/>
              </w:rPr>
              <w:t>January 15, 2026</w:t>
            </w:r>
          </w:p>
        </w:tc>
        <w:tc>
          <w:tcPr>
            <w:tcW w:w="1820" w:type="dxa"/>
            <w:vAlign w:val="bottom"/>
          </w:tcPr>
          <w:p>
            <w:pPr>
              <w:jc w:val="center"/>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7"/>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180"/>
              <w:spacing w:after="0"/>
              <w:rPr>
                <w:sz w:val="20"/>
                <w:szCs w:val="20"/>
                <w:color w:val="auto"/>
              </w:rPr>
            </w:pPr>
            <w:r>
              <w:rPr>
                <w:rFonts w:ascii="Arial" w:cs="Arial" w:eastAsia="Arial" w:hAnsi="Arial"/>
                <w:sz w:val="16"/>
                <w:szCs w:val="16"/>
                <w:color w:val="auto"/>
              </w:rPr>
              <w:t>Senior unsecured notes due 2027</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15, 2027</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400,000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Senior unsecured notes, due 2029</w:t>
            </w:r>
          </w:p>
        </w:tc>
        <w:tc>
          <w:tcPr>
            <w:tcW w:w="1860" w:type="dxa"/>
            <w:vAlign w:val="bottom"/>
          </w:tcPr>
          <w:p>
            <w:pPr>
              <w:jc w:val="center"/>
              <w:spacing w:after="0"/>
              <w:rPr>
                <w:sz w:val="20"/>
                <w:szCs w:val="20"/>
                <w:color w:val="auto"/>
              </w:rPr>
            </w:pPr>
            <w:r>
              <w:rPr>
                <w:rFonts w:ascii="Arial" w:cs="Arial" w:eastAsia="Arial" w:hAnsi="Arial"/>
                <w:sz w:val="16"/>
                <w:szCs w:val="16"/>
                <w:color w:val="auto"/>
              </w:rPr>
              <w:t>October 15, 2029</w:t>
            </w:r>
          </w:p>
        </w:tc>
        <w:tc>
          <w:tcPr>
            <w:tcW w:w="1820" w:type="dxa"/>
            <w:vAlign w:val="bottom"/>
          </w:tcPr>
          <w:p>
            <w:pPr>
              <w:jc w:val="center"/>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7"/>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180"/>
              <w:spacing w:after="0"/>
              <w:rPr>
                <w:sz w:val="20"/>
                <w:szCs w:val="20"/>
                <w:color w:val="auto"/>
              </w:rPr>
            </w:pPr>
            <w:r>
              <w:rPr>
                <w:rFonts w:ascii="Arial" w:cs="Arial" w:eastAsia="Arial" w:hAnsi="Arial"/>
                <w:sz w:val="16"/>
                <w:szCs w:val="16"/>
                <w:color w:val="auto"/>
              </w:rPr>
              <w:t>Senior unsecured notes, due 2030</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June 15, 2030</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400,000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Senior unsecured notes due 2033</w:t>
            </w:r>
          </w:p>
        </w:tc>
        <w:tc>
          <w:tcPr>
            <w:tcW w:w="1860" w:type="dxa"/>
            <w:vAlign w:val="bottom"/>
          </w:tcPr>
          <w:p>
            <w:pPr>
              <w:jc w:val="center"/>
              <w:spacing w:after="0"/>
              <w:rPr>
                <w:sz w:val="20"/>
                <w:szCs w:val="20"/>
                <w:color w:val="auto"/>
              </w:rPr>
            </w:pPr>
            <w:r>
              <w:rPr>
                <w:rFonts w:ascii="Arial" w:cs="Arial" w:eastAsia="Arial" w:hAnsi="Arial"/>
                <w:sz w:val="16"/>
                <w:szCs w:val="16"/>
                <w:color w:val="auto"/>
              </w:rPr>
              <w:t>May 1, 2033</w:t>
            </w:r>
          </w:p>
        </w:tc>
        <w:tc>
          <w:tcPr>
            <w:tcW w:w="1820" w:type="dxa"/>
            <w:vAlign w:val="bottom"/>
          </w:tcPr>
          <w:p>
            <w:pPr>
              <w:jc w:val="center"/>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7"/>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180"/>
              <w:spacing w:after="0"/>
              <w:rPr>
                <w:sz w:val="20"/>
                <w:szCs w:val="20"/>
                <w:color w:val="auto"/>
              </w:rPr>
            </w:pPr>
            <w:r>
              <w:rPr>
                <w:rFonts w:ascii="Arial" w:cs="Arial" w:eastAsia="Arial" w:hAnsi="Arial"/>
                <w:sz w:val="16"/>
                <w:szCs w:val="16"/>
                <w:color w:val="auto"/>
              </w:rPr>
              <w:t>Senior unsecured notes, due 2046</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September 15, 2046</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300,000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Senior unsecured notes, due 2049</w:t>
            </w:r>
          </w:p>
        </w:tc>
        <w:tc>
          <w:tcPr>
            <w:tcW w:w="1860" w:type="dxa"/>
            <w:vAlign w:val="bottom"/>
          </w:tcPr>
          <w:p>
            <w:pPr>
              <w:jc w:val="center"/>
              <w:spacing w:after="0"/>
              <w:rPr>
                <w:sz w:val="20"/>
                <w:szCs w:val="20"/>
                <w:color w:val="auto"/>
              </w:rPr>
            </w:pPr>
            <w:r>
              <w:rPr>
                <w:rFonts w:ascii="Arial" w:cs="Arial" w:eastAsia="Arial" w:hAnsi="Arial"/>
                <w:sz w:val="16"/>
                <w:szCs w:val="16"/>
                <w:color w:val="auto"/>
              </w:rPr>
              <w:t>October 15, 2049</w:t>
            </w:r>
          </w:p>
        </w:tc>
        <w:tc>
          <w:tcPr>
            <w:tcW w:w="1820" w:type="dxa"/>
            <w:vAlign w:val="bottom"/>
          </w:tcPr>
          <w:p>
            <w:pPr>
              <w:jc w:val="center"/>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9"/>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540"/>
              <w:spacing w:after="0"/>
              <w:rPr>
                <w:sz w:val="20"/>
                <w:szCs w:val="20"/>
                <w:color w:val="auto"/>
              </w:rPr>
            </w:pPr>
            <w:r>
              <w:rPr>
                <w:rFonts w:ascii="Arial" w:cs="Arial" w:eastAsia="Arial" w:hAnsi="Arial"/>
                <w:sz w:val="16"/>
                <w:szCs w:val="16"/>
                <w:color w:val="auto"/>
              </w:rPr>
              <w:t>Total Corporate debt</w:t>
            </w:r>
          </w:p>
        </w:tc>
        <w:tc>
          <w:tcPr>
            <w:tcW w:w="18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3,625,000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3,625,000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Less unamortized debt discount</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(5,259 )</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(6,125 )</w:t>
            </w:r>
          </w:p>
        </w:tc>
        <w:tc>
          <w:tcPr>
            <w:tcW w:w="0" w:type="dxa"/>
            <w:vAlign w:val="bottom"/>
          </w:tcPr>
          <w:p>
            <w:pPr>
              <w:spacing w:after="0"/>
              <w:rPr>
                <w:sz w:val="1"/>
                <w:szCs w:val="1"/>
                <w:color w:val="auto"/>
              </w:rPr>
            </w:pPr>
          </w:p>
        </w:tc>
      </w:tr>
      <w:tr>
        <w:trPr>
          <w:trHeight w:val="210"/>
        </w:trPr>
        <w:tc>
          <w:tcPr>
            <w:tcW w:w="20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4"/>
            <w:shd w:val="clear" w:color="auto" w:fill="CFF0FC"/>
          </w:tcPr>
          <w:p>
            <w:pPr>
              <w:ind w:left="540"/>
              <w:spacing w:after="0"/>
              <w:rPr>
                <w:sz w:val="20"/>
                <w:szCs w:val="20"/>
                <w:color w:val="auto"/>
              </w:rPr>
            </w:pPr>
            <w:r>
              <w:rPr>
                <w:rFonts w:ascii="Arial" w:cs="Arial" w:eastAsia="Arial" w:hAnsi="Arial"/>
                <w:sz w:val="16"/>
                <w:szCs w:val="16"/>
                <w:color w:val="auto"/>
              </w:rPr>
              <w:t>Total Corporate debt, net</w:t>
            </w:r>
          </w:p>
        </w:tc>
        <w:tc>
          <w:tcPr>
            <w:tcW w:w="18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3,619,741</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3,618,875</w:t>
            </w:r>
          </w:p>
        </w:tc>
        <w:tc>
          <w:tcPr>
            <w:tcW w:w="0" w:type="dxa"/>
            <w:vAlign w:val="bottom"/>
          </w:tcPr>
          <w:p>
            <w:pPr>
              <w:spacing w:after="0"/>
              <w:rPr>
                <w:sz w:val="1"/>
                <w:szCs w:val="1"/>
                <w:color w:val="auto"/>
              </w:rPr>
            </w:pPr>
          </w:p>
        </w:tc>
      </w:tr>
      <w:tr>
        <w:trPr>
          <w:trHeight w:val="170"/>
        </w:trPr>
        <w:tc>
          <w:tcPr>
            <w:tcW w:w="4580" w:type="dxa"/>
            <w:vAlign w:val="bottom"/>
            <w:gridSpan w:val="5"/>
          </w:tcPr>
          <w:p>
            <w:pPr>
              <w:ind w:left="200"/>
              <w:spacing w:after="0" w:line="170" w:lineRule="exact"/>
              <w:rPr>
                <w:sz w:val="20"/>
                <w:szCs w:val="20"/>
                <w:color w:val="auto"/>
              </w:rPr>
            </w:pPr>
            <w:r>
              <w:rPr>
                <w:rFonts w:ascii="Arial" w:cs="Arial" w:eastAsia="Arial" w:hAnsi="Arial"/>
                <w:sz w:val="16"/>
                <w:szCs w:val="16"/>
                <w:color w:val="auto"/>
              </w:rPr>
              <w:t>South Dakota Electric</w:t>
            </w: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360"/>
              <w:spacing w:after="0"/>
              <w:rPr>
                <w:sz w:val="20"/>
                <w:szCs w:val="20"/>
                <w:color w:val="auto"/>
              </w:rPr>
            </w:pPr>
            <w:r>
              <w:rPr>
                <w:rFonts w:ascii="Arial" w:cs="Arial" w:eastAsia="Arial" w:hAnsi="Arial"/>
                <w:sz w:val="16"/>
                <w:szCs w:val="16"/>
                <w:color w:val="auto"/>
              </w:rPr>
              <w:t>First Mortgage Bonds due 2032</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August 15, 2032</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360"/>
              <w:spacing w:after="0"/>
              <w:rPr>
                <w:sz w:val="20"/>
                <w:szCs w:val="20"/>
                <w:color w:val="auto"/>
              </w:rPr>
            </w:pPr>
            <w:r>
              <w:rPr>
                <w:rFonts w:ascii="Arial" w:cs="Arial" w:eastAsia="Arial" w:hAnsi="Arial"/>
                <w:sz w:val="16"/>
                <w:szCs w:val="16"/>
                <w:color w:val="auto"/>
              </w:rPr>
              <w:t>First Mortgage Bonds due 2039</w:t>
            </w:r>
          </w:p>
        </w:tc>
        <w:tc>
          <w:tcPr>
            <w:tcW w:w="1860" w:type="dxa"/>
            <w:vAlign w:val="bottom"/>
          </w:tcPr>
          <w:p>
            <w:pPr>
              <w:jc w:val="center"/>
              <w:spacing w:after="0"/>
              <w:rPr>
                <w:sz w:val="20"/>
                <w:szCs w:val="20"/>
                <w:color w:val="auto"/>
              </w:rPr>
            </w:pPr>
            <w:r>
              <w:rPr>
                <w:rFonts w:ascii="Arial" w:cs="Arial" w:eastAsia="Arial" w:hAnsi="Arial"/>
                <w:sz w:val="16"/>
                <w:szCs w:val="16"/>
                <w:color w:val="auto"/>
              </w:rPr>
              <w:t>November 1, 2039</w:t>
            </w:r>
          </w:p>
        </w:tc>
        <w:tc>
          <w:tcPr>
            <w:tcW w:w="1820" w:type="dxa"/>
            <w:vAlign w:val="bottom"/>
          </w:tcPr>
          <w:p>
            <w:pPr>
              <w:jc w:val="center"/>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180,000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217"/>
        </w:trPr>
        <w:tc>
          <w:tcPr>
            <w:tcW w:w="20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4"/>
            <w:shd w:val="clear" w:color="auto" w:fill="CFF0FC"/>
          </w:tcPr>
          <w:p>
            <w:pPr>
              <w:ind w:left="360"/>
              <w:spacing w:after="0"/>
              <w:rPr>
                <w:sz w:val="20"/>
                <w:szCs w:val="20"/>
                <w:color w:val="auto"/>
              </w:rPr>
            </w:pPr>
            <w:r>
              <w:rPr>
                <w:rFonts w:ascii="Arial" w:cs="Arial" w:eastAsia="Arial" w:hAnsi="Arial"/>
                <w:sz w:val="16"/>
                <w:szCs w:val="16"/>
                <w:color w:val="auto"/>
              </w:rPr>
              <w:t>First Mortgage Bonds due 2044</w:t>
            </w:r>
          </w:p>
        </w:tc>
        <w:tc>
          <w:tcPr>
            <w:tcW w:w="18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October 20, 2044</w:t>
            </w:r>
          </w:p>
        </w:tc>
        <w:tc>
          <w:tcPr>
            <w:tcW w:w="1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4380" w:type="dxa"/>
            <w:vAlign w:val="bottom"/>
            <w:gridSpan w:val="4"/>
          </w:tcPr>
          <w:p>
            <w:pPr>
              <w:ind w:left="540"/>
              <w:spacing w:after="0"/>
              <w:rPr>
                <w:sz w:val="20"/>
                <w:szCs w:val="20"/>
                <w:color w:val="auto"/>
              </w:rPr>
            </w:pPr>
            <w:r>
              <w:rPr>
                <w:rFonts w:ascii="Arial" w:cs="Arial" w:eastAsia="Arial" w:hAnsi="Arial"/>
                <w:sz w:val="16"/>
                <w:szCs w:val="16"/>
                <w:color w:val="auto"/>
              </w:rPr>
              <w:t>Total South Dakota Electric debt</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340,000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340,000</w:t>
            </w: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4"/>
            <w:shd w:val="clear" w:color="auto" w:fill="CFF0FC"/>
          </w:tcPr>
          <w:p>
            <w:pPr>
              <w:ind w:left="180"/>
              <w:spacing w:after="0"/>
              <w:rPr>
                <w:sz w:val="20"/>
                <w:szCs w:val="20"/>
                <w:color w:val="auto"/>
              </w:rPr>
            </w:pPr>
            <w:r>
              <w:rPr>
                <w:rFonts w:ascii="Arial" w:cs="Arial" w:eastAsia="Arial" w:hAnsi="Arial"/>
                <w:sz w:val="16"/>
                <w:szCs w:val="16"/>
                <w:color w:val="auto"/>
              </w:rPr>
              <w:t>Less unamortized debt discount</w:t>
            </w:r>
          </w:p>
        </w:tc>
        <w:tc>
          <w:tcPr>
            <w:tcW w:w="18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(69 )</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380" w:type="dxa"/>
            <w:vAlign w:val="bottom"/>
            <w:gridSpan w:val="4"/>
          </w:tcPr>
          <w:p>
            <w:pPr>
              <w:ind w:left="540"/>
              <w:spacing w:after="0"/>
              <w:rPr>
                <w:sz w:val="20"/>
                <w:szCs w:val="20"/>
                <w:color w:val="auto"/>
              </w:rPr>
            </w:pPr>
            <w:r>
              <w:rPr>
                <w:rFonts w:ascii="Arial" w:cs="Arial" w:eastAsia="Arial" w:hAnsi="Arial"/>
                <w:sz w:val="16"/>
                <w:szCs w:val="16"/>
                <w:color w:val="auto"/>
              </w:rPr>
              <w:t>Total South Dakota Electric debt, net</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339,931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339,926</w:t>
            </w:r>
          </w:p>
        </w:tc>
        <w:tc>
          <w:tcPr>
            <w:tcW w:w="0" w:type="dxa"/>
            <w:vAlign w:val="bottom"/>
          </w:tcPr>
          <w:p>
            <w:pPr>
              <w:spacing w:after="0"/>
              <w:rPr>
                <w:sz w:val="1"/>
                <w:szCs w:val="1"/>
                <w:color w:val="auto"/>
              </w:rPr>
            </w:pPr>
          </w:p>
        </w:tc>
      </w:tr>
      <w:tr>
        <w:trPr>
          <w:trHeight w:val="190"/>
        </w:trPr>
        <w:tc>
          <w:tcPr>
            <w:tcW w:w="2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6"/>
                <w:szCs w:val="16"/>
                <w:color w:val="auto"/>
              </w:rPr>
              <w:t>Wyoming Electric</w:t>
            </w:r>
          </w:p>
        </w:tc>
        <w:tc>
          <w:tcPr>
            <w:tcW w:w="3120" w:type="dxa"/>
            <w:vAlign w:val="bottom"/>
            <w:tcBorders>
              <w:bottom w:val="single" w:sz="8" w:color="CFF0FC"/>
            </w:tcBorders>
            <w:gridSpan w:val="2"/>
            <w:shd w:val="clear" w:color="auto" w:fill="CFF0FC"/>
          </w:tcPr>
          <w:p>
            <w:pPr>
              <w:spacing w:after="0"/>
              <w:rPr>
                <w:sz w:val="16"/>
                <w:szCs w:val="16"/>
                <w:color w:val="auto"/>
              </w:rPr>
            </w:pPr>
          </w:p>
        </w:tc>
        <w:tc>
          <w:tcPr>
            <w:tcW w:w="1860" w:type="dxa"/>
            <w:vAlign w:val="bottom"/>
            <w:tcBorders>
              <w:bottom w:val="single" w:sz="8" w:color="CFF0FC"/>
            </w:tcBorders>
            <w:shd w:val="clear" w:color="auto" w:fill="CFF0FC"/>
          </w:tcPr>
          <w:p>
            <w:pPr>
              <w:spacing w:after="0"/>
              <w:rPr>
                <w:sz w:val="16"/>
                <w:szCs w:val="16"/>
                <w:color w:val="auto"/>
              </w:rPr>
            </w:pPr>
          </w:p>
        </w:tc>
        <w:tc>
          <w:tcPr>
            <w:tcW w:w="18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80" w:type="dxa"/>
            <w:vAlign w:val="bottom"/>
            <w:gridSpan w:val="4"/>
          </w:tcPr>
          <w:p>
            <w:pPr>
              <w:ind w:left="360"/>
              <w:spacing w:after="0" w:line="216" w:lineRule="exact"/>
              <w:rPr>
                <w:sz w:val="20"/>
                <w:szCs w:val="20"/>
                <w:color w:val="auto"/>
              </w:rPr>
            </w:pPr>
            <w:r>
              <w:rPr>
                <w:rFonts w:ascii="Arial" w:cs="Arial" w:eastAsia="Arial" w:hAnsi="Arial"/>
                <w:sz w:val="16"/>
                <w:szCs w:val="16"/>
                <w:color w:val="auto"/>
              </w:rPr>
              <w:t>Industrial development revenue bonds due 2027</w:t>
            </w:r>
            <w:r>
              <w:rPr>
                <w:rFonts w:ascii="Arial" w:cs="Arial" w:eastAsia="Arial" w:hAnsi="Arial"/>
                <w:sz w:val="21"/>
                <w:szCs w:val="21"/>
                <w:color w:val="auto"/>
                <w:vertAlign w:val="superscript"/>
              </w:rPr>
              <w:t>(a) (b)</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March 1, 2027</w:t>
            </w:r>
          </w:p>
        </w:tc>
        <w:tc>
          <w:tcPr>
            <w:tcW w:w="1820" w:type="dxa"/>
            <w:vAlign w:val="bottom"/>
          </w:tcPr>
          <w:p>
            <w:pPr>
              <w:jc w:val="center"/>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360"/>
              <w:spacing w:after="0"/>
              <w:rPr>
                <w:sz w:val="20"/>
                <w:szCs w:val="20"/>
                <w:color w:val="auto"/>
              </w:rPr>
            </w:pPr>
            <w:r>
              <w:rPr>
                <w:rFonts w:ascii="Arial" w:cs="Arial" w:eastAsia="Arial" w:hAnsi="Arial"/>
                <w:sz w:val="16"/>
                <w:szCs w:val="16"/>
                <w:color w:val="auto"/>
              </w:rPr>
              <w:t>First Mortgage Bonds due 2037</w:t>
            </w:r>
          </w:p>
        </w:tc>
        <w:tc>
          <w:tcPr>
            <w:tcW w:w="18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November 20, 2037</w:t>
            </w:r>
          </w:p>
        </w:tc>
        <w:tc>
          <w:tcPr>
            <w:tcW w:w="1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110,000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80" w:type="dxa"/>
            <w:vAlign w:val="bottom"/>
            <w:gridSpan w:val="4"/>
          </w:tcPr>
          <w:p>
            <w:pPr>
              <w:ind w:left="360"/>
              <w:spacing w:after="0"/>
              <w:rPr>
                <w:sz w:val="20"/>
                <w:szCs w:val="20"/>
                <w:color w:val="auto"/>
              </w:rPr>
            </w:pPr>
            <w:r>
              <w:rPr>
                <w:rFonts w:ascii="Arial" w:cs="Arial" w:eastAsia="Arial" w:hAnsi="Arial"/>
                <w:sz w:val="16"/>
                <w:szCs w:val="16"/>
                <w:color w:val="auto"/>
              </w:rPr>
              <w:t>First Mortgage Bonds due 2044</w:t>
            </w:r>
          </w:p>
        </w:tc>
        <w:tc>
          <w:tcPr>
            <w:tcW w:w="1860" w:type="dxa"/>
            <w:vAlign w:val="bottom"/>
          </w:tcPr>
          <w:p>
            <w:pPr>
              <w:jc w:val="center"/>
              <w:spacing w:after="0"/>
              <w:rPr>
                <w:sz w:val="20"/>
                <w:szCs w:val="20"/>
                <w:color w:val="auto"/>
              </w:rPr>
            </w:pPr>
            <w:r>
              <w:rPr>
                <w:rFonts w:ascii="Arial" w:cs="Arial" w:eastAsia="Arial" w:hAnsi="Arial"/>
                <w:sz w:val="16"/>
                <w:szCs w:val="16"/>
                <w:color w:val="auto"/>
              </w:rPr>
              <w:t>October 20, 2044</w:t>
            </w:r>
          </w:p>
        </w:tc>
        <w:tc>
          <w:tcPr>
            <w:tcW w:w="1820" w:type="dxa"/>
            <w:vAlign w:val="bottom"/>
          </w:tcPr>
          <w:p>
            <w:pPr>
              <w:jc w:val="center"/>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75,000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0"/>
        </w:trPr>
        <w:tc>
          <w:tcPr>
            <w:tcW w:w="200" w:type="dxa"/>
            <w:vAlign w:val="bottom"/>
            <w:shd w:val="clear" w:color="auto" w:fill="CFF0FC"/>
          </w:tcPr>
          <w:p>
            <w:pPr>
              <w:spacing w:after="0"/>
              <w:rPr>
                <w:sz w:val="18"/>
                <w:szCs w:val="18"/>
                <w:color w:val="auto"/>
              </w:rPr>
            </w:pPr>
          </w:p>
        </w:tc>
        <w:tc>
          <w:tcPr>
            <w:tcW w:w="4380" w:type="dxa"/>
            <w:vAlign w:val="bottom"/>
            <w:gridSpan w:val="4"/>
            <w:shd w:val="clear" w:color="auto" w:fill="CFF0FC"/>
          </w:tcPr>
          <w:p>
            <w:pPr>
              <w:ind w:left="540"/>
              <w:spacing w:after="0"/>
              <w:rPr>
                <w:sz w:val="20"/>
                <w:szCs w:val="20"/>
                <w:color w:val="auto"/>
              </w:rPr>
            </w:pPr>
            <w:r>
              <w:rPr>
                <w:rFonts w:ascii="Arial" w:cs="Arial" w:eastAsia="Arial" w:hAnsi="Arial"/>
                <w:sz w:val="16"/>
                <w:szCs w:val="16"/>
                <w:color w:val="auto"/>
              </w:rPr>
              <w:t>Total Wyoming Electric debt</w:t>
            </w:r>
          </w:p>
        </w:tc>
        <w:tc>
          <w:tcPr>
            <w:tcW w:w="18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195,000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80" w:type="dxa"/>
            <w:vAlign w:val="bottom"/>
            <w:gridSpan w:val="4"/>
          </w:tcPr>
          <w:p>
            <w:pPr>
              <w:ind w:left="180"/>
              <w:spacing w:after="0"/>
              <w:rPr>
                <w:sz w:val="20"/>
                <w:szCs w:val="20"/>
                <w:color w:val="auto"/>
              </w:rPr>
            </w:pPr>
            <w:r>
              <w:rPr>
                <w:rFonts w:ascii="Arial" w:cs="Arial" w:eastAsia="Arial" w:hAnsi="Arial"/>
                <w:sz w:val="16"/>
                <w:szCs w:val="16"/>
                <w:color w:val="auto"/>
              </w:rPr>
              <w:t>Less unamortized debt discount</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4"/>
            <w:shd w:val="clear" w:color="auto" w:fill="CFF0FC"/>
          </w:tcPr>
          <w:p>
            <w:pPr>
              <w:ind w:left="540"/>
              <w:spacing w:after="0"/>
              <w:rPr>
                <w:sz w:val="20"/>
                <w:szCs w:val="20"/>
                <w:color w:val="auto"/>
              </w:rPr>
            </w:pPr>
            <w:r>
              <w:rPr>
                <w:rFonts w:ascii="Arial" w:cs="Arial" w:eastAsia="Arial" w:hAnsi="Arial"/>
                <w:sz w:val="16"/>
                <w:szCs w:val="16"/>
                <w:color w:val="auto"/>
              </w:rPr>
              <w:t>Total Wyoming Electric debt, net</w:t>
            </w:r>
          </w:p>
        </w:tc>
        <w:tc>
          <w:tcPr>
            <w:tcW w:w="18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195,000</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10"/>
        </w:trPr>
        <w:tc>
          <w:tcPr>
            <w:tcW w:w="4580" w:type="dxa"/>
            <w:vAlign w:val="bottom"/>
            <w:gridSpan w:val="5"/>
          </w:tcPr>
          <w:p>
            <w:pPr>
              <w:ind w:left="20"/>
              <w:spacing w:after="0"/>
              <w:rPr>
                <w:sz w:val="20"/>
                <w:szCs w:val="20"/>
                <w:color w:val="auto"/>
              </w:rPr>
            </w:pPr>
            <w:r>
              <w:rPr>
                <w:rFonts w:ascii="Arial" w:cs="Arial" w:eastAsia="Arial" w:hAnsi="Arial"/>
                <w:sz w:val="16"/>
                <w:szCs w:val="16"/>
                <w:color w:val="auto"/>
              </w:rPr>
              <w:t>Total long-term debt</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4,154,672</w:t>
            </w: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4,153,801</w:t>
            </w:r>
          </w:p>
        </w:tc>
        <w:tc>
          <w:tcPr>
            <w:tcW w:w="0" w:type="dxa"/>
            <w:vAlign w:val="bottom"/>
          </w:tcPr>
          <w:p>
            <w:pPr>
              <w:spacing w:after="0"/>
              <w:rPr>
                <w:sz w:val="1"/>
                <w:szCs w:val="1"/>
                <w:color w:val="auto"/>
              </w:rPr>
            </w:pPr>
          </w:p>
        </w:tc>
      </w:tr>
      <w:tr>
        <w:trPr>
          <w:trHeight w:val="217"/>
        </w:trPr>
        <w:tc>
          <w:tcPr>
            <w:tcW w:w="4580" w:type="dxa"/>
            <w:vAlign w:val="bottom"/>
            <w:gridSpan w:val="5"/>
            <w:shd w:val="clear" w:color="auto" w:fill="CFF0FC"/>
          </w:tcPr>
          <w:p>
            <w:pPr>
              <w:ind w:left="200"/>
              <w:spacing w:after="0"/>
              <w:rPr>
                <w:sz w:val="20"/>
                <w:szCs w:val="20"/>
                <w:color w:val="auto"/>
              </w:rPr>
            </w:pPr>
            <w:r>
              <w:rPr>
                <w:rFonts w:ascii="Arial" w:cs="Arial" w:eastAsia="Arial" w:hAnsi="Arial"/>
                <w:sz w:val="16"/>
                <w:szCs w:val="16"/>
                <w:color w:val="auto"/>
              </w:rPr>
              <w:t>Less current maturities</w:t>
            </w:r>
          </w:p>
        </w:tc>
        <w:tc>
          <w:tcPr>
            <w:tcW w:w="18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(525,000 )</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gridSpan w:val="5"/>
          </w:tcPr>
          <w:p>
            <w:pPr>
              <w:ind w:left="200"/>
              <w:spacing w:after="0" w:line="216" w:lineRule="exact"/>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(c)</w:t>
            </w:r>
          </w:p>
        </w:tc>
        <w:tc>
          <w:tcPr>
            <w:tcW w:w="1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(22,332 )</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(26,878 )</w:t>
            </w:r>
          </w:p>
        </w:tc>
        <w:tc>
          <w:tcPr>
            <w:tcW w:w="0" w:type="dxa"/>
            <w:vAlign w:val="bottom"/>
          </w:tcPr>
          <w:p>
            <w:pPr>
              <w:spacing w:after="0"/>
              <w:rPr>
                <w:sz w:val="1"/>
                <w:szCs w:val="1"/>
                <w:color w:val="auto"/>
              </w:rPr>
            </w:pPr>
          </w:p>
        </w:tc>
      </w:tr>
      <w:tr>
        <w:trPr>
          <w:trHeight w:val="182"/>
        </w:trPr>
        <w:tc>
          <w:tcPr>
            <w:tcW w:w="200" w:type="dxa"/>
            <w:vAlign w:val="bottom"/>
            <w:shd w:val="clear" w:color="auto" w:fill="CFF0FC"/>
          </w:tcPr>
          <w:p>
            <w:pPr>
              <w:spacing w:after="0"/>
              <w:rPr>
                <w:sz w:val="15"/>
                <w:szCs w:val="15"/>
                <w:color w:val="auto"/>
              </w:rPr>
            </w:pPr>
          </w:p>
        </w:tc>
        <w:tc>
          <w:tcPr>
            <w:tcW w:w="4380" w:type="dxa"/>
            <w:vAlign w:val="bottom"/>
            <w:gridSpan w:val="4"/>
            <w:shd w:val="clear" w:color="auto" w:fill="CFF0FC"/>
          </w:tcPr>
          <w:p>
            <w:pPr>
              <w:ind w:left="540"/>
              <w:spacing w:after="0" w:line="182" w:lineRule="exact"/>
              <w:rPr>
                <w:sz w:val="20"/>
                <w:szCs w:val="20"/>
                <w:color w:val="auto"/>
              </w:rPr>
            </w:pPr>
            <w:r>
              <w:rPr>
                <w:rFonts w:ascii="Arial" w:cs="Arial" w:eastAsia="Arial" w:hAnsi="Arial"/>
                <w:sz w:val="16"/>
                <w:szCs w:val="16"/>
                <w:color w:val="auto"/>
              </w:rPr>
              <w:t>Long-term debt, net of current maturities and</w:t>
            </w:r>
          </w:p>
        </w:tc>
        <w:tc>
          <w:tcPr>
            <w:tcW w:w="186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3,607,340</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4,126,923</w:t>
            </w: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shd w:val="clear" w:color="auto" w:fill="CFF0FC"/>
          </w:tcPr>
          <w:p>
            <w:pPr>
              <w:spacing w:after="0"/>
              <w:rPr>
                <w:sz w:val="18"/>
                <w:szCs w:val="18"/>
                <w:color w:val="auto"/>
              </w:rPr>
            </w:pPr>
          </w:p>
        </w:tc>
        <w:tc>
          <w:tcPr>
            <w:tcW w:w="4380" w:type="dxa"/>
            <w:vAlign w:val="bottom"/>
            <w:tcBorders>
              <w:bottom w:val="single" w:sz="8" w:color="CFF0FC"/>
            </w:tcBorders>
            <w:gridSpan w:val="4"/>
            <w:shd w:val="clear" w:color="auto" w:fill="CFF0FC"/>
          </w:tcPr>
          <w:p>
            <w:pPr>
              <w:ind w:left="540"/>
              <w:spacing w:after="0" w:line="176" w:lineRule="exact"/>
              <w:rPr>
                <w:sz w:val="20"/>
                <w:szCs w:val="20"/>
                <w:color w:val="auto"/>
              </w:rPr>
            </w:pPr>
            <w:r>
              <w:rPr>
                <w:rFonts w:ascii="Arial" w:cs="Arial" w:eastAsia="Arial" w:hAnsi="Arial"/>
                <w:sz w:val="16"/>
                <w:szCs w:val="16"/>
                <w:color w:val="auto"/>
              </w:rPr>
              <w:t>deferred financing costs</w:t>
            </w:r>
          </w:p>
        </w:tc>
        <w:tc>
          <w:tcPr>
            <w:tcW w:w="18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13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5" w:lineRule="exact"/>
        <w:rPr>
          <w:rFonts w:ascii="Arial" w:cs="Arial" w:eastAsia="Arial" w:hAnsi="Arial"/>
          <w:sz w:val="14"/>
          <w:szCs w:val="14"/>
          <w:color w:val="auto"/>
        </w:rPr>
      </w:pPr>
    </w:p>
    <w:p>
      <w:pPr>
        <w:ind w:left="520" w:right="40" w:hanging="512"/>
        <w:spacing w:after="0" w:line="24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2009A bonds of $10 million due March 1, 2027. In the case of default, we hold the assumption of liability for drawings on Wyoming Electric’s Letter of Credit attached to these bonds.</w:t>
      </w:r>
    </w:p>
    <w:p>
      <w:pPr>
        <w:ind w:left="520" w:right="520" w:hanging="512"/>
        <w:spacing w:after="0" w:line="239"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deferred financing costs associated with our Revolving Credit Facility of $1.8 million and $2.5 million as of December 31, 2022 and December 31, 2021, respectively.</w:t>
      </w: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long-term debt and associated interest payments by year are shown below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Payments Due by Period</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Thereafter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5"/>
        </w:trPr>
        <w:tc>
          <w:tcPr>
            <w:tcW w:w="290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Principal payments on Long-term debt</w:t>
            </w:r>
          </w:p>
        </w:tc>
        <w:tc>
          <w:tcPr>
            <w:tcW w:w="10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xml:space="preserve">including current maturities </w:t>
            </w:r>
            <w:r>
              <w:rPr>
                <w:rFonts w:ascii="Arial" w:cs="Arial" w:eastAsia="Arial" w:hAnsi="Arial"/>
                <w:sz w:val="21"/>
                <w:szCs w:val="21"/>
                <w:color w:val="auto"/>
                <w:vertAlign w:val="superscript"/>
              </w:rPr>
              <w:t>(a)</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   525,000</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   600,000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300,000</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410,000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2,325,000</w:t>
            </w:r>
          </w:p>
        </w:tc>
        <w:tc>
          <w:tcPr>
            <w:tcW w:w="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4,160,000</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6"/>
                <w:szCs w:val="16"/>
                <w:color w:val="auto"/>
              </w:rPr>
              <w:t>Interest payments on Long-term debt</w:t>
            </w: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00" w:type="dxa"/>
            <w:vAlign w:val="bottom"/>
          </w:tcPr>
          <w:p>
            <w:pPr>
              <w:ind w:left="20"/>
              <w:spacing w:after="0" w:line="122" w:lineRule="exact"/>
              <w:rPr>
                <w:sz w:val="20"/>
                <w:szCs w:val="20"/>
                <w:color w:val="auto"/>
              </w:rPr>
            </w:pPr>
            <w:r>
              <w:rPr>
                <w:rFonts w:ascii="Arial" w:cs="Arial" w:eastAsia="Arial" w:hAnsi="Arial"/>
                <w:sz w:val="11"/>
                <w:szCs w:val="11"/>
                <w:color w:val="auto"/>
              </w:rPr>
              <w:t>(a)</w:t>
            </w:r>
          </w:p>
        </w:tc>
        <w:tc>
          <w:tcPr>
            <w:tcW w:w="1060" w:type="dxa"/>
            <w:vAlign w:val="bottom"/>
            <w:vMerge w:val="restart"/>
          </w:tcPr>
          <w:p>
            <w:pPr>
              <w:jc w:val="right"/>
              <w:ind w:right="59"/>
              <w:spacing w:after="0"/>
              <w:rPr>
                <w:sz w:val="20"/>
                <w:szCs w:val="20"/>
                <w:color w:val="auto"/>
              </w:rPr>
            </w:pPr>
            <w:r>
              <w:rPr>
                <w:rFonts w:ascii="Arial" w:cs="Arial" w:eastAsia="Arial" w:hAnsi="Arial"/>
                <w:sz w:val="16"/>
                <w:szCs w:val="16"/>
                <w:color w:val="auto"/>
              </w:rPr>
              <w:t>148,125</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auto"/>
              </w:rPr>
              <w:t>125,813</w:t>
            </w:r>
          </w:p>
        </w:tc>
        <w:tc>
          <w:tcPr>
            <w:tcW w:w="300" w:type="dxa"/>
            <w:vAlign w:val="bottom"/>
          </w:tcPr>
          <w:p>
            <w:pPr>
              <w:spacing w:after="0"/>
              <w:rPr>
                <w:sz w:val="10"/>
                <w:szCs w:val="10"/>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119,591</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113,666</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101,134</w:t>
            </w:r>
          </w:p>
        </w:tc>
        <w:tc>
          <w:tcPr>
            <w:tcW w:w="260" w:type="dxa"/>
            <w:vAlign w:val="bottom"/>
          </w:tcPr>
          <w:p>
            <w:pPr>
              <w:spacing w:after="0"/>
              <w:rPr>
                <w:sz w:val="10"/>
                <w:szCs w:val="10"/>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color w:val="auto"/>
              </w:rPr>
              <w:t>994,804</w:t>
            </w:r>
          </w:p>
        </w:tc>
        <w:tc>
          <w:tcPr>
            <w:tcW w:w="360" w:type="dxa"/>
            <w:vAlign w:val="bottom"/>
          </w:tcPr>
          <w:p>
            <w:pPr>
              <w:spacing w:after="0"/>
              <w:rPr>
                <w:sz w:val="10"/>
                <w:szCs w:val="10"/>
                <w:color w:val="auto"/>
              </w:rPr>
            </w:pPr>
          </w:p>
        </w:tc>
        <w:tc>
          <w:tcPr>
            <w:tcW w:w="1040" w:type="dxa"/>
            <w:vAlign w:val="bottom"/>
            <w:vMerge w:val="restart"/>
          </w:tcPr>
          <w:p>
            <w:pPr>
              <w:jc w:val="right"/>
              <w:ind w:right="39"/>
              <w:spacing w:after="0"/>
              <w:rPr>
                <w:sz w:val="20"/>
                <w:szCs w:val="20"/>
                <w:color w:val="auto"/>
              </w:rPr>
            </w:pPr>
            <w:r>
              <w:rPr>
                <w:rFonts w:ascii="Arial" w:cs="Arial" w:eastAsia="Arial" w:hAnsi="Arial"/>
                <w:sz w:val="16"/>
                <w:szCs w:val="16"/>
                <w:color w:val="auto"/>
              </w:rPr>
              <w:t>1,603,133</w:t>
            </w:r>
          </w:p>
        </w:tc>
        <w:tc>
          <w:tcPr>
            <w:tcW w:w="0" w:type="dxa"/>
            <w:vAlign w:val="bottom"/>
          </w:tcPr>
          <w:p>
            <w:pPr>
              <w:spacing w:after="0"/>
              <w:rPr>
                <w:sz w:val="1"/>
                <w:szCs w:val="1"/>
                <w:color w:val="auto"/>
              </w:rPr>
            </w:pPr>
          </w:p>
        </w:tc>
      </w:tr>
      <w:tr>
        <w:trPr>
          <w:trHeight w:val="93"/>
        </w:trPr>
        <w:tc>
          <w:tcPr>
            <w:tcW w:w="29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9030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1" w:lineRule="exact"/>
        <w:rPr>
          <w:sz w:val="20"/>
          <w:szCs w:val="20"/>
          <w:color w:val="auto"/>
        </w:rPr>
      </w:pPr>
    </w:p>
    <w:p>
      <w:pPr>
        <w:ind w:left="520" w:right="140" w:hanging="512"/>
        <w:spacing w:after="0" w:line="285"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2022.</w:t>
      </w:r>
    </w:p>
    <w:p>
      <w:pPr>
        <w:spacing w:after="0" w:line="126"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We plan to re-finance our $525 million, 4.25%, senior unsecured notes due November 30, 2023, at or before maturity date. In the event we are unable to refinance these senior unsecured notes, we have sufficient alternative measures available to manage cash flows such that our current plans to manage liquidity would be sufficient to meet our obligations in the foreseeable future.</w:t>
      </w:r>
    </w:p>
    <w:p>
      <w:pPr>
        <w:spacing w:after="0" w:line="14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debt securities contain certain restrictive financial covenants, all of which the Company and its subsidiaries were in compliance with at December 31, 2022. See below for additional information.</w:t>
      </w:r>
    </w:p>
    <w:p>
      <w:pPr>
        <w:spacing w:after="0" w:line="12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On August 26, 2021, we completed a public debt offering which consisted of $ 600 million, 1.037% three-year senior unsecured notes due August 23, 2024. The notes include an optional redemption provision and may be redeemed, in whole or in part, without premium, on or after February 23, 2022. The proceeds from the offering, which were net of $3.7 million of deferred financing costs, were used to repay amounts outstanding under our term loan entered into on February 24, 2021.</w:t>
      </w:r>
    </w:p>
    <w:p>
      <w:pPr>
        <w:spacing w:after="0" w:line="15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On June 17, 2020, we completed a public debt offering which consisted of $400 million of 2.50% 10-year senior unsecured notes due June 15, 2030. The proceeds were used to repay short-term debt and for working capital and general corporate purposes.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Amortization of Deferred Financing Costs</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deferred financing costs and associated amortization expense included in Interest expense on the accompanying Consolidated Statements of Income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center"/>
              <w:ind w:left="459"/>
              <w:spacing w:after="0"/>
              <w:rPr>
                <w:sz w:val="20"/>
                <w:szCs w:val="20"/>
                <w:color w:val="auto"/>
              </w:rPr>
            </w:pPr>
            <w:r>
              <w:rPr>
                <w:rFonts w:ascii="Arial" w:cs="Arial" w:eastAsia="Arial" w:hAnsi="Arial"/>
                <w:sz w:val="16"/>
                <w:szCs w:val="16"/>
                <w:b w:val="1"/>
                <w:bCs w:val="1"/>
                <w:color w:val="auto"/>
              </w:rPr>
              <w:t>Deferred Financing Costs Remaining at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0" w:type="dxa"/>
            <w:vAlign w:val="bottom"/>
            <w:gridSpan w:val="6"/>
          </w:tcPr>
          <w:p>
            <w:pPr>
              <w:jc w:val="center"/>
              <w:ind w:right="19"/>
              <w:spacing w:after="0"/>
              <w:rPr>
                <w:sz w:val="20"/>
                <w:szCs w:val="20"/>
                <w:color w:val="auto"/>
              </w:rPr>
            </w:pPr>
            <w:r>
              <w:rPr>
                <w:rFonts w:ascii="Arial" w:cs="Arial" w:eastAsia="Arial" w:hAnsi="Arial"/>
                <w:sz w:val="16"/>
                <w:szCs w:val="16"/>
                <w:b w:val="1"/>
                <w:bCs w:val="1"/>
                <w:color w:val="auto"/>
              </w:rPr>
              <w:t>Amortization Expense for the years ended December 31,</w:t>
            </w:r>
          </w:p>
        </w:tc>
      </w:tr>
      <w:tr>
        <w:trPr>
          <w:trHeight w:val="217"/>
        </w:trPr>
        <w:tc>
          <w:tcPr>
            <w:tcW w:w="3580" w:type="dxa"/>
            <w:vAlign w:val="bottom"/>
          </w:tcPr>
          <w:p>
            <w:pPr>
              <w:jc w:val="center"/>
              <w:ind w:left="439"/>
              <w:spacing w:after="0"/>
              <w:rPr>
                <w:sz w:val="20"/>
                <w:szCs w:val="20"/>
                <w:color w:val="auto"/>
              </w:rPr>
            </w:pPr>
            <w:r>
              <w:rPr>
                <w:rFonts w:ascii="Arial" w:cs="Arial" w:eastAsia="Arial" w:hAnsi="Arial"/>
                <w:sz w:val="16"/>
                <w:szCs w:val="16"/>
                <w:b w:val="1"/>
                <w:bCs w:val="1"/>
                <w:color w:val="auto"/>
              </w:rPr>
              <w:t>December 31, 2022</w:t>
            </w:r>
          </w:p>
        </w:tc>
        <w:tc>
          <w:tcPr>
            <w:tcW w:w="640" w:type="dxa"/>
            <w:vAlign w:val="bottom"/>
          </w:tcPr>
          <w:p>
            <w:pPr>
              <w:spacing w:after="0"/>
              <w:rPr>
                <w:sz w:val="18"/>
                <w:szCs w:val="18"/>
                <w:color w:val="auto"/>
              </w:rPr>
            </w:pPr>
          </w:p>
        </w:tc>
        <w:tc>
          <w:tcPr>
            <w:tcW w:w="16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00" w:type="dxa"/>
            <w:vAlign w:val="bottom"/>
          </w:tcPr>
          <w:p>
            <w:pPr>
              <w:jc w:val="right"/>
              <w:ind w:right="899"/>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2020</w:t>
            </w:r>
          </w:p>
        </w:tc>
      </w:tr>
      <w:tr>
        <w:trPr>
          <w:trHeight w:val="249"/>
        </w:trPr>
        <w:tc>
          <w:tcPr>
            <w:tcW w:w="3580" w:type="dxa"/>
            <w:vAlign w:val="bottom"/>
            <w:tcBorders>
              <w:top w:val="single" w:sz="8" w:color="auto"/>
              <w:bottom w:val="single" w:sz="8" w:color="auto"/>
            </w:tcBorders>
            <w:shd w:val="clear" w:color="auto" w:fill="CFF0FC"/>
          </w:tcPr>
          <w:p>
            <w:pPr>
              <w:jc w:val="right"/>
              <w:ind w:right="337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8"/>
              </w:rPr>
              <w:t>22,332</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ind w:right="12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4,549</w:t>
            </w:r>
          </w:p>
        </w:tc>
        <w:tc>
          <w:tcPr>
            <w:tcW w:w="62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3,769</w:t>
            </w:r>
          </w:p>
        </w:tc>
        <w:tc>
          <w:tcPr>
            <w:tcW w:w="62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-25400</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-8255</wp:posOffset>
            </wp:positionV>
            <wp:extent cx="137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Subject to applicable cure periods, a violation of any of these covenants would constitute an event of default that entitles the lenders to terminate their remaining commitments and accelerate all principal and interest outstanding.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our covenants at December 31, 2022 as shown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As of December 31, 2022</w:t>
            </w:r>
          </w:p>
        </w:tc>
        <w:tc>
          <w:tcPr>
            <w:tcW w:w="25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Covenant Requirement</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20" w:type="dxa"/>
            <w:vAlign w:val="bottom"/>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720" w:type="dxa"/>
            <w:vAlign w:val="bottom"/>
          </w:tcPr>
          <w:p>
            <w:pPr>
              <w:jc w:val="right"/>
              <w:ind w:right="359"/>
              <w:spacing w:after="0"/>
              <w:rPr>
                <w:sz w:val="20"/>
                <w:szCs w:val="20"/>
                <w:color w:val="auto"/>
              </w:rPr>
            </w:pPr>
            <w:r>
              <w:rPr>
                <w:rFonts w:ascii="Arial" w:cs="Arial" w:eastAsia="Arial" w:hAnsi="Arial"/>
                <w:sz w:val="16"/>
                <w:szCs w:val="16"/>
                <w:color w:val="auto"/>
              </w:rPr>
              <w:t>60.9 %</w:t>
            </w:r>
          </w:p>
        </w:tc>
        <w:tc>
          <w:tcPr>
            <w:tcW w:w="2500" w:type="dxa"/>
            <w:vAlign w:val="bottom"/>
          </w:tcPr>
          <w:p>
            <w:pPr>
              <w:ind w:left="580"/>
              <w:spacing w:after="0"/>
              <w:rPr>
                <w:sz w:val="20"/>
                <w:szCs w:val="20"/>
                <w:color w:val="auto"/>
              </w:rPr>
            </w:pPr>
            <w:r>
              <w:rPr>
                <w:rFonts w:ascii="Arial" w:cs="Arial" w:eastAsia="Arial" w:hAnsi="Arial"/>
                <w:sz w:val="16"/>
                <w:szCs w:val="16"/>
                <w:color w:val="auto"/>
              </w:rPr>
              <w:t>Less than</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65 %</w:t>
            </w:r>
          </w:p>
        </w:tc>
      </w:tr>
      <w:tr>
        <w:trPr>
          <w:trHeight w:val="391"/>
        </w:trPr>
        <w:tc>
          <w:tcPr>
            <w:tcW w:w="542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6"/>
                <w:szCs w:val="16"/>
                <w:color w:val="auto"/>
              </w:rPr>
              <w:t>86</w:t>
            </w: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0"/>
        </w:trPr>
        <w:tc>
          <w:tcPr>
            <w:tcW w:w="54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were in compliance with these financial covenants.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other debt obligations contain restrictions on the payment of cash dividends when a default or event of default occurs.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2022, the amount of restricted net assets at our Utilities that may not be distributed to our utility holding company in the form of a loan or dividend was approximately $155 million.</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August 3, 2020, we filed a shelf registration and DRSPP with the SEC. In conjunction with these shelf filings, we renewed the ATM. The renewed ATM program, which allows us to sell shares of our common stock, is the same as the prior program other than the aggregate value increased from $300 million to $400 million and a forward sales option was incorporated. This forward sales option allows us to sell our shares through the ATM program at the current trading price without actually issuing any shares to satisfy the sale until a future date. Under the ATM, shares may be offered from time to time pursuant to a sales agreement dated August 3, 2020. Shares of common stock are offered pursuant to our shelf registration statement filed with the SEC.</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ATM activity for the years ended December 31 was as follows (net proceeds and issuance costs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8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1,307,755</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1,812,197</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5720" w:type="dxa"/>
            <w:vAlign w:val="bottom"/>
          </w:tcPr>
          <w:p>
            <w:pPr>
              <w:ind w:left="20"/>
              <w:spacing w:after="0"/>
              <w:rPr>
                <w:sz w:val="20"/>
                <w:szCs w:val="20"/>
                <w:color w:val="auto"/>
              </w:rPr>
            </w:pPr>
            <w:r>
              <w:rPr>
                <w:rFonts w:ascii="Arial" w:cs="Arial" w:eastAsia="Arial" w:hAnsi="Arial"/>
                <w:sz w:val="16"/>
                <w:szCs w:val="16"/>
                <w:color w:val="auto"/>
              </w:rPr>
              <w:t>Average price per share</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69.74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66.18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5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(net of issuance costs of $(0.9), $(1.1) and $0 respectively)</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February 2020 Equity Issuance</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February 27, 2020, we issued 1.2 million shares of common stock to a single investor through an underwritten registered transaction at a price of $81.77 per share for proceeds of $99 million, net of $1.0 million of issuance costs. The shares of common stock were offered pursuant to our shelf registration statement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 Dividend Reinvestment and Stock Purchase Plan</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until March 1, 2018, after which we began purchasing shares on the open market. At December 31, 2022, there were 74,198 shares of unissued stock available for future offering under the DRSPP.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Preferred Stock</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articles of incorporation authorize the issuance of 25 million shares of preferred stock of which we had no shares of preferred stock outstanding as of December 31, 2022 and 2021.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7580" w:firstLine="8"/>
        <w:spacing w:after="0" w:line="493" w:lineRule="auto"/>
        <w:tabs>
          <w:tab w:leader="none" w:pos="509"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jc w:val="both"/>
        <w:spacing w:after="0" w:line="266" w:lineRule="auto"/>
        <w:rPr>
          <w:sz w:val="20"/>
          <w:szCs w:val="20"/>
          <w:color w:val="auto"/>
        </w:rPr>
      </w:pPr>
      <w:r>
        <w:rPr>
          <w:rFonts w:ascii="Arial" w:cs="Arial" w:eastAsia="Arial" w:hAnsi="Arial"/>
          <w:sz w:val="16"/>
          <w:szCs w:val="16"/>
          <w:color w:val="auto"/>
        </w:rPr>
        <w:t xml:space="preserve">Our activities in the energy industry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-36195</wp:posOffset>
            </wp:positionV>
            <wp:extent cx="3028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1020" w:right="180" w:hanging="503"/>
        <w:spacing w:after="0" w:line="259"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(e.g. Winter Storm Uri), geopolitical events,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1020" w:right="100" w:hanging="503"/>
        <w:spacing w:after="0" w:line="285" w:lineRule="auto"/>
        <w:tabs>
          <w:tab w:leader="none" w:pos="102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2022 was concentrated primarily among retail utility customers, investment grade companies, cooperative utilities and federal agencies.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-45720</wp:posOffset>
            </wp:positionV>
            <wp:extent cx="3600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09"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January 2023 through December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60" w:type="dxa"/>
            <w:vAlign w:val="bottom"/>
            <w:tcBorders>
              <w:bottom w:val="single" w:sz="8" w:color="auto"/>
            </w:tcBorders>
            <w:gridSpan w:val="2"/>
          </w:tcPr>
          <w:p>
            <w:pPr>
              <w:jc w:val="right"/>
              <w:ind w:right="839"/>
              <w:spacing w:after="0"/>
              <w:rPr>
                <w:sz w:val="20"/>
                <w:szCs w:val="20"/>
                <w:color w:val="auto"/>
              </w:rPr>
            </w:pPr>
            <w:r>
              <w:rPr>
                <w:rFonts w:ascii="Arial" w:cs="Arial" w:eastAsia="Arial" w:hAnsi="Arial"/>
                <w:sz w:val="16"/>
                <w:szCs w:val="16"/>
                <w:b w:val="1"/>
                <w:bCs w:val="1"/>
                <w:color w:val="auto"/>
              </w:rPr>
              <w:t>December 31, 2022</w:t>
            </w:r>
          </w:p>
        </w:tc>
        <w:tc>
          <w:tcPr>
            <w:tcW w:w="28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December 31, 2021</w:t>
            </w:r>
          </w:p>
        </w:tc>
      </w:tr>
      <w:tr>
        <w:trPr>
          <w:trHeight w:val="155"/>
        </w:trPr>
        <w:tc>
          <w:tcPr>
            <w:tcW w:w="3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80" w:type="dxa"/>
            <w:vAlign w:val="bottom"/>
          </w:tcPr>
          <w:p>
            <w:pPr>
              <w:ind w:left="340"/>
              <w:spacing w:after="0" w:line="155" w:lineRule="exact"/>
              <w:rPr>
                <w:sz w:val="20"/>
                <w:szCs w:val="20"/>
                <w:color w:val="auto"/>
              </w:rPr>
            </w:pPr>
            <w:r>
              <w:rPr>
                <w:rFonts w:ascii="Arial" w:cs="Arial" w:eastAsia="Arial" w:hAnsi="Arial"/>
                <w:sz w:val="16"/>
                <w:szCs w:val="16"/>
                <w:b w:val="1"/>
                <w:bCs w:val="1"/>
                <w:color w:val="auto"/>
              </w:rPr>
              <w:t>Notional</w:t>
            </w:r>
          </w:p>
        </w:tc>
        <w:tc>
          <w:tcPr>
            <w:tcW w:w="1580" w:type="dxa"/>
            <w:vAlign w:val="bottom"/>
          </w:tcPr>
          <w:p>
            <w:pPr>
              <w:jc w:val="right"/>
              <w:ind w:right="199"/>
              <w:spacing w:after="0" w:line="155" w:lineRule="exact"/>
              <w:rPr>
                <w:sz w:val="20"/>
                <w:szCs w:val="20"/>
                <w:color w:val="auto"/>
              </w:rPr>
            </w:pPr>
            <w:r>
              <w:rPr>
                <w:rFonts w:ascii="Arial" w:cs="Arial" w:eastAsia="Arial" w:hAnsi="Arial"/>
                <w:sz w:val="16"/>
                <w:szCs w:val="16"/>
                <w:b w:val="1"/>
                <w:bCs w:val="1"/>
                <w:color w:val="auto"/>
              </w:rPr>
              <w:t>Maximum Term</w:t>
            </w:r>
          </w:p>
        </w:tc>
        <w:tc>
          <w:tcPr>
            <w:tcW w:w="1400" w:type="dxa"/>
            <w:vAlign w:val="bottom"/>
          </w:tcPr>
          <w:p>
            <w:pPr>
              <w:ind w:left="280"/>
              <w:spacing w:after="0" w:line="155" w:lineRule="exact"/>
              <w:rPr>
                <w:sz w:val="20"/>
                <w:szCs w:val="20"/>
                <w:color w:val="auto"/>
              </w:rPr>
            </w:pPr>
            <w:r>
              <w:rPr>
                <w:rFonts w:ascii="Arial" w:cs="Arial" w:eastAsia="Arial" w:hAnsi="Arial"/>
                <w:sz w:val="16"/>
                <w:szCs w:val="16"/>
                <w:b w:val="1"/>
                <w:bCs w:val="1"/>
                <w:color w:val="auto"/>
              </w:rPr>
              <w:t>Notional</w:t>
            </w:r>
          </w:p>
        </w:tc>
        <w:tc>
          <w:tcPr>
            <w:tcW w:w="144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Maximum Term</w:t>
            </w:r>
          </w:p>
        </w:tc>
      </w:tr>
      <w:tr>
        <w:trPr>
          <w:trHeight w:val="243"/>
        </w:trPr>
        <w:tc>
          <w:tcPr>
            <w:tcW w:w="3760" w:type="dxa"/>
            <w:vAlign w:val="bottom"/>
          </w:tcPr>
          <w:p>
            <w:pPr>
              <w:spacing w:after="0"/>
              <w:rPr>
                <w:sz w:val="21"/>
                <w:szCs w:val="21"/>
                <w:color w:val="auto"/>
              </w:rPr>
            </w:pPr>
          </w:p>
        </w:tc>
        <w:tc>
          <w:tcPr>
            <w:tcW w:w="1580" w:type="dxa"/>
            <w:vAlign w:val="bottom"/>
          </w:tcPr>
          <w:p>
            <w:pPr>
              <w:jc w:val="center"/>
              <w:ind w:left="259"/>
              <w:spacing w:after="0"/>
              <w:rPr>
                <w:sz w:val="20"/>
                <w:szCs w:val="20"/>
                <w:color w:val="auto"/>
              </w:rPr>
            </w:pPr>
            <w:r>
              <w:rPr>
                <w:rFonts w:ascii="Arial" w:cs="Arial" w:eastAsia="Arial" w:hAnsi="Arial"/>
                <w:sz w:val="16"/>
                <w:szCs w:val="16"/>
                <w:b w:val="1"/>
                <w:bCs w:val="1"/>
                <w:color w:val="auto"/>
                <w:w w:val="99"/>
              </w:rPr>
              <w:t>Units</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Amounts</w:t>
            </w: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Amounts</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xml:space="preserve">(months) </w:t>
            </w:r>
            <w:r>
              <w:rPr>
                <w:rFonts w:ascii="Arial" w:cs="Arial" w:eastAsia="Arial" w:hAnsi="Arial"/>
                <w:sz w:val="21"/>
                <w:szCs w:val="21"/>
                <w:b w:val="1"/>
                <w:bCs w:val="1"/>
                <w:color w:val="auto"/>
                <w:vertAlign w:val="superscript"/>
              </w:rPr>
              <w:t>(a)</w:t>
            </w:r>
          </w:p>
        </w:tc>
      </w:tr>
      <w:tr>
        <w:trPr>
          <w:trHeight w:val="209"/>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58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rPr>
              <w:t>MMBtus</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630,000</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590,000</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80" w:type="dxa"/>
            <w:vAlign w:val="bottom"/>
          </w:tcPr>
          <w:p>
            <w:pPr>
              <w:jc w:val="center"/>
              <w:ind w:left="259"/>
              <w:spacing w:after="0"/>
              <w:rPr>
                <w:sz w:val="20"/>
                <w:szCs w:val="20"/>
                <w:color w:val="auto"/>
              </w:rPr>
            </w:pPr>
            <w:r>
              <w:rPr>
                <w:rFonts w:ascii="Arial" w:cs="Arial" w:eastAsia="Arial" w:hAnsi="Arial"/>
                <w:sz w:val="16"/>
                <w:szCs w:val="16"/>
                <w:color w:val="auto"/>
              </w:rPr>
              <w:t>MMBtus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1,790,000</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3,100,000</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w:t>
            </w:r>
          </w:p>
        </w:tc>
      </w:tr>
      <w:tr>
        <w:trPr>
          <w:trHeight w:val="217"/>
        </w:trPr>
        <w:tc>
          <w:tcPr>
            <w:tcW w:w="3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58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rPr>
              <w:t>MMBtus</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900,000</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870,000</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16"/>
        </w:trPr>
        <w:tc>
          <w:tcPr>
            <w:tcW w:w="37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580" w:type="dxa"/>
            <w:vAlign w:val="bottom"/>
          </w:tcPr>
          <w:p>
            <w:pPr>
              <w:jc w:val="center"/>
              <w:ind w:left="259"/>
              <w:spacing w:after="0"/>
              <w:rPr>
                <w:sz w:val="20"/>
                <w:szCs w:val="20"/>
                <w:color w:val="auto"/>
              </w:rPr>
            </w:pPr>
            <w:r>
              <w:rPr>
                <w:rFonts w:ascii="Arial" w:cs="Arial" w:eastAsia="Arial" w:hAnsi="Arial"/>
                <w:sz w:val="16"/>
                <w:szCs w:val="16"/>
                <w:color w:val="auto"/>
              </w:rPr>
              <w:t>MMBtus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4,460,000</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4,570,000</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216"/>
        </w:trPr>
        <w:tc>
          <w:tcPr>
            <w:tcW w:w="376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58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rPr>
              <w:t>MMBtus</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17,864,412</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16,416,677</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December 31, 2022, 1,646,200 MMBtus of natural gas over-the-counter swaps purchased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17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2022, the Company posted $2.9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Pr>
          <w:p>
            <w:pPr>
              <w:spacing w:after="0"/>
              <w:rPr>
                <w:sz w:val="18"/>
                <w:szCs w:val="18"/>
                <w:color w:val="auto"/>
              </w:rPr>
            </w:pPr>
          </w:p>
        </w:tc>
        <w:tc>
          <w:tcPr>
            <w:tcW w:w="372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0"/>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designated as hedges:</w:t>
            </w:r>
          </w:p>
        </w:tc>
        <w:tc>
          <w:tcPr>
            <w:tcW w:w="3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Asset derivative instruments:</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Current commodity derivatives</w:t>
            </w:r>
          </w:p>
        </w:tc>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assets - current</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118</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2,017</w:t>
            </w:r>
          </w:p>
        </w:tc>
      </w:tr>
      <w:tr>
        <w:trPr>
          <w:trHeight w:val="215"/>
        </w:trPr>
        <w:tc>
          <w:tcPr>
            <w:tcW w:w="4220" w:type="dxa"/>
            <w:vAlign w:val="bottom"/>
          </w:tcPr>
          <w:p>
            <w:pPr>
              <w:ind w:left="380"/>
              <w:spacing w:after="0"/>
              <w:rPr>
                <w:sz w:val="20"/>
                <w:szCs w:val="20"/>
                <w:color w:val="auto"/>
              </w:rPr>
            </w:pPr>
            <w:r>
              <w:rPr>
                <w:rFonts w:ascii="Arial" w:cs="Arial" w:eastAsia="Arial" w:hAnsi="Arial"/>
                <w:sz w:val="16"/>
                <w:szCs w:val="16"/>
                <w:color w:val="auto"/>
              </w:rPr>
              <w:t>Noncurrent commodity derivatives</w:t>
            </w:r>
          </w:p>
        </w:tc>
        <w:tc>
          <w:tcPr>
            <w:tcW w:w="372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32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198</w:t>
            </w:r>
          </w:p>
        </w:tc>
        <w:tc>
          <w:tcPr>
            <w:tcW w:w="4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217"/>
        </w:trPr>
        <w:tc>
          <w:tcPr>
            <w:tcW w:w="4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Liability derivative instruments:</w:t>
            </w:r>
          </w:p>
        </w:tc>
        <w:tc>
          <w:tcPr>
            <w:tcW w:w="3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220" w:type="dxa"/>
            <w:vAlign w:val="bottom"/>
          </w:tcPr>
          <w:p>
            <w:pPr>
              <w:ind w:left="380"/>
              <w:spacing w:after="0"/>
              <w:rPr>
                <w:sz w:val="20"/>
                <w:szCs w:val="20"/>
                <w:color w:val="auto"/>
              </w:rPr>
            </w:pPr>
            <w:r>
              <w:rPr>
                <w:rFonts w:ascii="Arial" w:cs="Arial" w:eastAsia="Arial" w:hAnsi="Arial"/>
                <w:sz w:val="16"/>
                <w:szCs w:val="16"/>
                <w:color w:val="auto"/>
              </w:rPr>
              <w:t>Current commodity derivatives</w:t>
            </w:r>
          </w:p>
        </w:tc>
        <w:tc>
          <w:tcPr>
            <w:tcW w:w="3720" w:type="dxa"/>
            <w:vAlign w:val="bottom"/>
          </w:tcPr>
          <w:p>
            <w:pPr>
              <w:ind w:left="20"/>
              <w:spacing w:after="0"/>
              <w:rPr>
                <w:sz w:val="20"/>
                <w:szCs w:val="20"/>
                <w:color w:val="auto"/>
              </w:rPr>
            </w:pPr>
            <w:r>
              <w:rPr>
                <w:rFonts w:ascii="Arial" w:cs="Arial" w:eastAsia="Arial" w:hAnsi="Arial"/>
                <w:sz w:val="16"/>
                <w:szCs w:val="16"/>
                <w:color w:val="auto"/>
              </w:rPr>
              <w:t>Derivative liabilities - current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(1,703 )</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7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(1,387 )</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2,035</w:t>
            </w:r>
          </w:p>
        </w:tc>
      </w:tr>
      <w:tr>
        <w:trPr>
          <w:trHeight w:val="412"/>
        </w:trPr>
        <w:tc>
          <w:tcPr>
            <w:tcW w:w="422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7"/>
        </w:trPr>
        <w:tc>
          <w:tcPr>
            <w:tcW w:w="42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Asset derivative instruments:</w:t>
            </w:r>
          </w:p>
        </w:tc>
        <w:tc>
          <w:tcPr>
            <w:tcW w:w="3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220" w:type="dxa"/>
            <w:vAlign w:val="bottom"/>
          </w:tcPr>
          <w:p>
            <w:pPr>
              <w:ind w:left="380"/>
              <w:spacing w:after="0"/>
              <w:rPr>
                <w:sz w:val="20"/>
                <w:szCs w:val="20"/>
                <w:color w:val="auto"/>
              </w:rPr>
            </w:pPr>
            <w:r>
              <w:rPr>
                <w:rFonts w:ascii="Arial" w:cs="Arial" w:eastAsia="Arial" w:hAnsi="Arial"/>
                <w:sz w:val="16"/>
                <w:szCs w:val="16"/>
                <w:color w:val="auto"/>
              </w:rPr>
              <w:t>Current commodity derivatives</w:t>
            </w:r>
          </w:p>
        </w:tc>
        <w:tc>
          <w:tcPr>
            <w:tcW w:w="372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464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2,356</w:t>
            </w:r>
          </w:p>
        </w:tc>
      </w:tr>
      <w:tr>
        <w:trPr>
          <w:trHeight w:val="217"/>
        </w:trPr>
        <w:tc>
          <w:tcPr>
            <w:tcW w:w="4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Noncurrent commodity derivatives</w:t>
            </w:r>
          </w:p>
        </w:tc>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337</w:t>
            </w: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804</w:t>
            </w:r>
          </w:p>
        </w:tc>
      </w:tr>
      <w:tr>
        <w:trPr>
          <w:trHeight w:val="215"/>
        </w:trPr>
        <w:tc>
          <w:tcPr>
            <w:tcW w:w="4220" w:type="dxa"/>
            <w:vAlign w:val="bottom"/>
          </w:tcPr>
          <w:p>
            <w:pPr>
              <w:ind w:left="200"/>
              <w:spacing w:after="0"/>
              <w:rPr>
                <w:sz w:val="20"/>
                <w:szCs w:val="20"/>
                <w:color w:val="auto"/>
              </w:rPr>
            </w:pPr>
            <w:r>
              <w:rPr>
                <w:rFonts w:ascii="Arial" w:cs="Arial" w:eastAsia="Arial" w:hAnsi="Arial"/>
                <w:sz w:val="16"/>
                <w:szCs w:val="16"/>
                <w:color w:val="auto"/>
              </w:rPr>
              <w:t>Liability derivative instruments:</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Current commodity derivatives</w:t>
            </w:r>
          </w:p>
        </w:tc>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liabilities - current</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(4,897 )</w:t>
            </w: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(1,439 )</w:t>
            </w:r>
          </w:p>
        </w:tc>
      </w:tr>
      <w:tr>
        <w:trPr>
          <w:trHeight w:val="215"/>
        </w:trPr>
        <w:tc>
          <w:tcPr>
            <w:tcW w:w="4220" w:type="dxa"/>
            <w:vAlign w:val="bottom"/>
          </w:tcPr>
          <w:p>
            <w:pPr>
              <w:ind w:left="380"/>
              <w:spacing w:after="0"/>
              <w:rPr>
                <w:sz w:val="20"/>
                <w:szCs w:val="20"/>
                <w:color w:val="auto"/>
              </w:rPr>
            </w:pPr>
            <w:r>
              <w:rPr>
                <w:rFonts w:ascii="Arial" w:cs="Arial" w:eastAsia="Arial" w:hAnsi="Arial"/>
                <w:sz w:val="16"/>
                <w:szCs w:val="16"/>
                <w:color w:val="auto"/>
              </w:rPr>
              <w:t>Noncurrent commodity derivatives</w:t>
            </w:r>
          </w:p>
        </w:tc>
        <w:tc>
          <w:tcPr>
            <w:tcW w:w="372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(18 )</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49"/>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7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(4,114 )</w:t>
            </w:r>
          </w:p>
        </w:tc>
        <w:tc>
          <w:tcPr>
            <w:tcW w:w="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is presented below for the years ended December 31, 2022, 2021 and 2020.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4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2022</w:t>
            </w:r>
          </w:p>
        </w:tc>
        <w:tc>
          <w:tcPr>
            <w:tcW w:w="7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2020</w:t>
            </w:r>
          </w:p>
        </w:tc>
      </w:tr>
      <w:tr>
        <w:trPr>
          <w:trHeight w:val="182"/>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tcPr>
          <w:p>
            <w:pPr>
              <w:jc w:val="center"/>
              <w:ind w:right="199"/>
              <w:spacing w:after="0" w:line="182"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224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w:t>
            </w:r>
          </w:p>
        </w:tc>
        <w:tc>
          <w:tcPr>
            <w:tcW w:w="120" w:type="dxa"/>
            <w:vAlign w:val="bottom"/>
          </w:tcPr>
          <w:p>
            <w:pPr>
              <w:spacing w:after="0"/>
              <w:rPr>
                <w:sz w:val="16"/>
                <w:szCs w:val="16"/>
                <w:color w:val="auto"/>
              </w:rPr>
            </w:pPr>
          </w:p>
        </w:tc>
        <w:tc>
          <w:tcPr>
            <w:tcW w:w="2180" w:type="dxa"/>
            <w:vAlign w:val="bottom"/>
            <w:gridSpan w:val="5"/>
          </w:tcPr>
          <w:p>
            <w:pPr>
              <w:jc w:val="center"/>
              <w:ind w:right="199"/>
              <w:spacing w:after="0"/>
              <w:rPr>
                <w:sz w:val="20"/>
                <w:szCs w:val="20"/>
                <w:color w:val="auto"/>
              </w:rPr>
            </w:pPr>
            <w:r>
              <w:rPr>
                <w:rFonts w:ascii="Arial" w:cs="Arial" w:eastAsia="Arial" w:hAnsi="Arial"/>
                <w:sz w:val="16"/>
                <w:szCs w:val="16"/>
                <w:b w:val="1"/>
                <w:bCs w:val="1"/>
                <w:color w:val="auto"/>
              </w:rPr>
              <w:t>Amount of Gain/(Loss)</w:t>
            </w: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Reclassified from AOCI</w:t>
            </w:r>
          </w:p>
        </w:tc>
      </w:tr>
      <w:tr>
        <w:trPr>
          <w:trHeight w:val="217"/>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Hedging Relationships</w:t>
            </w: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6"/>
                <w:szCs w:val="16"/>
                <w:b w:val="1"/>
                <w:bCs w:val="1"/>
                <w:color w:val="auto"/>
              </w:rPr>
              <w:t>Recognized in OCI</w:t>
            </w:r>
          </w:p>
        </w:tc>
        <w:tc>
          <w:tcPr>
            <w:tcW w:w="448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6"/>
                <w:szCs w:val="16"/>
                <w:b w:val="1"/>
                <w:bCs w:val="1"/>
                <w:color w:val="auto"/>
              </w:rPr>
              <w:t>into Income</w:t>
            </w:r>
          </w:p>
        </w:tc>
        <w:tc>
          <w:tcPr>
            <w:tcW w:w="600" w:type="dxa"/>
            <w:vAlign w:val="bottom"/>
            <w:tcBorders>
              <w:bottom w:val="single" w:sz="8" w:color="auto"/>
            </w:tcBorders>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left="2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Borders>
              <w:bottom w:val="single" w:sz="8" w:color="auto"/>
            </w:tcBorders>
          </w:tcPr>
          <w:p>
            <w:pPr>
              <w:spacing w:after="0"/>
              <w:rPr>
                <w:sz w:val="18"/>
                <w:szCs w:val="18"/>
                <w:color w:val="auto"/>
              </w:rPr>
            </w:pPr>
          </w:p>
        </w:tc>
      </w:tr>
      <w:tr>
        <w:trPr>
          <w:trHeight w:val="209"/>
        </w:trPr>
        <w:tc>
          <w:tcPr>
            <w:tcW w:w="2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2,851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2,851</w:t>
            </w:r>
          </w:p>
        </w:tc>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(2,850 ) $</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(2,851 ) $ (2,851 )</w:t>
            </w: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(3,532 )</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1,952</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540</w:t>
            </w:r>
          </w:p>
        </w:tc>
        <w:tc>
          <w:tcPr>
            <w:tcW w:w="4480" w:type="dxa"/>
            <w:vAlign w:val="bottom"/>
          </w:tcPr>
          <w:p>
            <w:pPr>
              <w:ind w:left="6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2,708</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2,051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(601 )</w:t>
            </w:r>
          </w:p>
        </w:tc>
      </w:tr>
      <w:tr>
        <w:trPr>
          <w:trHeight w:val="250"/>
        </w:trPr>
        <w:tc>
          <w:tcPr>
            <w:tcW w:w="2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(682 ) $</w:t>
            </w:r>
          </w:p>
        </w:tc>
        <w:tc>
          <w:tcPr>
            <w:tcW w:w="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4,803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3,391</w:t>
            </w:r>
          </w:p>
        </w:tc>
        <w:tc>
          <w:tcPr>
            <w:tcW w:w="44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(142 ) $</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(800 ) $ (3,452 )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-25400</wp:posOffset>
            </wp:positionV>
            <wp:extent cx="260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260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6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December 31, 2022, $4.5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2022, 2021 and 2020.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182"/>
        </w:trPr>
        <w:tc>
          <w:tcPr>
            <w:tcW w:w="32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3"/>
          </w:tcPr>
          <w:p>
            <w:pPr>
              <w:jc w:val="center"/>
              <w:ind w:right="199"/>
              <w:spacing w:after="0" w:line="182" w:lineRule="exact"/>
              <w:rPr>
                <w:sz w:val="20"/>
                <w:szCs w:val="20"/>
                <w:color w:val="auto"/>
              </w:rPr>
            </w:pPr>
            <w:r>
              <w:rPr>
                <w:rFonts w:ascii="Arial" w:cs="Arial" w:eastAsia="Arial" w:hAnsi="Arial"/>
                <w:sz w:val="16"/>
                <w:szCs w:val="16"/>
                <w:b w:val="1"/>
                <w:bCs w:val="1"/>
                <w:color w:val="auto"/>
              </w:rPr>
              <w:t>Amount of Gain/(Loss) on Derivatives</w:t>
            </w:r>
          </w:p>
        </w:tc>
      </w:tr>
      <w:tr>
        <w:trPr>
          <w:trHeight w:val="217"/>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Instruments</w:t>
            </w:r>
          </w:p>
        </w:tc>
        <w:tc>
          <w:tcPr>
            <w:tcW w:w="458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Income Statement Location</w:t>
            </w: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6"/>
                <w:szCs w:val="16"/>
                <w:b w:val="1"/>
                <w:bCs w:val="1"/>
                <w:color w:val="auto"/>
              </w:rPr>
              <w:t>Recognized in Income</w:t>
            </w:r>
          </w:p>
        </w:tc>
        <w:tc>
          <w:tcPr>
            <w:tcW w:w="840" w:type="dxa"/>
            <w:vAlign w:val="bottom"/>
            <w:tcBorders>
              <w:bottom w:val="single" w:sz="8" w:color="auto"/>
            </w:tcBorders>
          </w:tcPr>
          <w:p>
            <w:pPr>
              <w:spacing w:after="0"/>
              <w:rPr>
                <w:sz w:val="18"/>
                <w:szCs w:val="18"/>
                <w:color w:val="auto"/>
              </w:rPr>
            </w:pPr>
          </w:p>
        </w:tc>
      </w:tr>
      <w:tr>
        <w:trPr>
          <w:trHeight w:val="209"/>
        </w:trPr>
        <w:tc>
          <w:tcPr>
            <w:tcW w:w="3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8"/>
                <w:szCs w:val="18"/>
                <w:color w:val="auto"/>
              </w:rPr>
            </w:pPr>
          </w:p>
        </w:tc>
      </w:tr>
      <w:tr>
        <w:trPr>
          <w:trHeight w:val="216"/>
        </w:trPr>
        <w:tc>
          <w:tcPr>
            <w:tcW w:w="3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Commodity derivatives - Electric</w:t>
            </w:r>
          </w:p>
        </w:tc>
        <w:tc>
          <w:tcPr>
            <w:tcW w:w="4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Fuel, purchased power and cost of natural gas sold</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(144 ) $</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144</w:t>
            </w: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Commodity derivatives - Natural Gas</w:t>
            </w:r>
          </w:p>
        </w:tc>
        <w:tc>
          <w:tcPr>
            <w:tcW w:w="4580" w:type="dxa"/>
            <w:vAlign w:val="bottom"/>
          </w:tcPr>
          <w:p>
            <w:pPr>
              <w:ind w:left="100"/>
              <w:spacing w:after="0"/>
              <w:rPr>
                <w:sz w:val="20"/>
                <w:szCs w:val="20"/>
                <w:color w:val="auto"/>
              </w:rPr>
            </w:pPr>
            <w:r>
              <w:rPr>
                <w:rFonts w:ascii="Arial" w:cs="Arial" w:eastAsia="Arial" w:hAnsi="Arial"/>
                <w:sz w:val="16"/>
                <w:szCs w:val="16"/>
                <w:color w:val="auto"/>
              </w:rPr>
              <w:t>Fuel, purchased power and cost of natural gas sold</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(797 )</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2,599</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1,640</w:t>
            </w:r>
          </w:p>
        </w:tc>
      </w:tr>
      <w:tr>
        <w:trPr>
          <w:trHeight w:val="250"/>
        </w:trPr>
        <w:tc>
          <w:tcPr>
            <w:tcW w:w="3220" w:type="dxa"/>
            <w:vAlign w:val="bottom"/>
            <w:tcBorders>
              <w:bottom w:val="single" w:sz="8" w:color="CFF0FC"/>
            </w:tcBorders>
            <w:shd w:val="clear" w:color="auto" w:fill="CFF0FC"/>
          </w:tcPr>
          <w:p>
            <w:pPr>
              <w:spacing w:after="0"/>
              <w:rPr>
                <w:sz w:val="21"/>
                <w:szCs w:val="21"/>
                <w:color w:val="auto"/>
              </w:rPr>
            </w:pPr>
          </w:p>
        </w:tc>
        <w:tc>
          <w:tcPr>
            <w:tcW w:w="45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(797 )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2,455  $</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1,784</w:t>
            </w:r>
          </w:p>
        </w:tc>
      </w:tr>
    </w:tbl>
    <w:p>
      <w:pPr>
        <w:spacing w:after="0" w:line="18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a Regulatory asset related to these financial instruments used in our Gas Utilities were $8.8 million and $2.6 million at December 31, 2022 and 2021, respectively. For our Electric Utilities, the unrealized gains and losses arising from these derivatives are recognized in the Consolidated Statements of Income.</w:t>
      </w:r>
    </w:p>
    <w:p>
      <w:pPr>
        <w:spacing w:after="0" w:line="153"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403"/>
              <w:spacing w:after="0"/>
              <w:rPr>
                <w:sz w:val="20"/>
                <w:szCs w:val="20"/>
                <w:color w:val="auto"/>
              </w:rPr>
            </w:pPr>
            <w:r>
              <w:rPr>
                <w:rFonts w:ascii="Arial" w:cs="Arial" w:eastAsia="Arial" w:hAnsi="Arial"/>
                <w:sz w:val="16"/>
                <w:szCs w:val="16"/>
                <w:b w:val="1"/>
                <w:bCs w:val="1"/>
                <w:color w:val="auto"/>
              </w:rPr>
              <w:t>As of December 31, 2022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right="223"/>
              <w:spacing w:after="0" w:line="182" w:lineRule="exact"/>
              <w:rPr>
                <w:sz w:val="20"/>
                <w:szCs w:val="20"/>
                <w:color w:val="auto"/>
              </w:rPr>
            </w:pPr>
            <w:r>
              <w:rPr>
                <w:rFonts w:ascii="Arial" w:cs="Arial" w:eastAsia="Arial" w:hAnsi="Arial"/>
                <w:sz w:val="16"/>
                <w:szCs w:val="16"/>
                <w:b w:val="1"/>
                <w:bCs w:val="1"/>
                <w:color w:val="auto"/>
              </w:rPr>
              <w:t>Cash Collateral and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60" w:type="dxa"/>
            <w:vAlign w:val="bottom"/>
            <w:gridSpan w:val="2"/>
          </w:tcPr>
          <w:p>
            <w:pPr>
              <w:jc w:val="center"/>
              <w:ind w:right="3"/>
              <w:spacing w:after="0" w:line="163" w:lineRule="exact"/>
              <w:rPr>
                <w:sz w:val="20"/>
                <w:szCs w:val="20"/>
                <w:color w:val="auto"/>
              </w:rPr>
            </w:pPr>
            <w:r>
              <w:rPr>
                <w:rFonts w:ascii="Arial" w:cs="Arial" w:eastAsia="Arial" w:hAnsi="Arial"/>
                <w:sz w:val="16"/>
                <w:szCs w:val="16"/>
                <w:b w:val="1"/>
                <w:bCs w:val="1"/>
                <w:color w:val="auto"/>
              </w:rPr>
              <w:t>Counterparty Netting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ind w:left="100"/>
              <w:spacing w:after="0" w:line="175"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0"/>
                <w:szCs w:val="10"/>
                <w:color w:val="auto"/>
              </w:rPr>
            </w:pPr>
          </w:p>
        </w:tc>
        <w:tc>
          <w:tcPr>
            <w:tcW w:w="1020" w:type="dxa"/>
            <w:vAlign w:val="bottom"/>
            <w:vMerge w:val="restart"/>
          </w:tcPr>
          <w:p>
            <w:pPr>
              <w:jc w:val="right"/>
              <w:ind w:right="279"/>
              <w:spacing w:after="0" w:line="175" w:lineRule="exact"/>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0"/>
                <w:szCs w:val="10"/>
                <w:color w:val="auto"/>
              </w:rPr>
            </w:pPr>
          </w:p>
        </w:tc>
        <w:tc>
          <w:tcPr>
            <w:tcW w:w="1040" w:type="dxa"/>
            <w:vAlign w:val="bottom"/>
            <w:vMerge w:val="restart"/>
          </w:tcPr>
          <w:p>
            <w:pPr>
              <w:ind w:left="100"/>
              <w:spacing w:after="0" w:line="175" w:lineRule="exact"/>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0"/>
                <w:szCs w:val="10"/>
                <w:color w:val="auto"/>
              </w:rPr>
            </w:pPr>
          </w:p>
        </w:tc>
        <w:tc>
          <w:tcPr>
            <w:tcW w:w="184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10"/>
                <w:szCs w:val="10"/>
                <w:color w:val="auto"/>
              </w:rPr>
            </w:pPr>
          </w:p>
        </w:tc>
        <w:tc>
          <w:tcPr>
            <w:tcW w:w="1000" w:type="dxa"/>
            <w:vAlign w:val="bottom"/>
            <w:vMerge w:val="restart"/>
          </w:tcPr>
          <w:p>
            <w:pPr>
              <w:jc w:val="right"/>
              <w:ind w:right="39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3"/>
        </w:trPr>
        <w:tc>
          <w:tcPr>
            <w:tcW w:w="3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(4,290 )</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5,407</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(4,290 )</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412"/>
        </w:trPr>
        <w:tc>
          <w:tcPr>
            <w:tcW w:w="3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11,455</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(4,837 )</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09"/>
        </w:trPr>
        <w:tc>
          <w:tcPr>
            <w:tcW w:w="390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(4,837 )</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6,618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9" w:lineRule="exact"/>
        <w:rPr>
          <w:sz w:val="20"/>
          <w:szCs w:val="20"/>
          <w:color w:val="auto"/>
        </w:rPr>
      </w:pPr>
    </w:p>
    <w:p>
      <w:pPr>
        <w:ind w:left="520" w:right="240" w:hanging="512"/>
        <w:spacing w:after="0" w:line="249"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As of December 31, 2022, $4.3 million of our commodity derivative gross assets and $4.8 million of our commodity derivative gross liabilities, as well as related gross collateral amounts, were subject to master netting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1383"/>
              <w:spacing w:after="0"/>
              <w:rPr>
                <w:sz w:val="20"/>
                <w:szCs w:val="20"/>
                <w:color w:val="auto"/>
              </w:rPr>
            </w:pPr>
            <w:r>
              <w:rPr>
                <w:rFonts w:ascii="Arial" w:cs="Arial" w:eastAsia="Arial" w:hAnsi="Arial"/>
                <w:sz w:val="16"/>
                <w:szCs w:val="16"/>
                <w:b w:val="1"/>
                <w:bCs w:val="1"/>
                <w:color w:val="auto"/>
              </w:rPr>
              <w:t>As of December 31, 2021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ind w:right="223"/>
              <w:spacing w:after="0" w:line="182" w:lineRule="exact"/>
              <w:rPr>
                <w:sz w:val="20"/>
                <w:szCs w:val="20"/>
                <w:color w:val="auto"/>
              </w:rPr>
            </w:pPr>
            <w:r>
              <w:rPr>
                <w:rFonts w:ascii="Arial" w:cs="Arial" w:eastAsia="Arial" w:hAnsi="Arial"/>
                <w:sz w:val="16"/>
                <w:szCs w:val="16"/>
                <w:b w:val="1"/>
                <w:bCs w:val="1"/>
                <w:color w:val="auto"/>
              </w:rPr>
              <w:t>Cash Collateral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92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259"/>
              <w:spacing w:after="0" w:line="175" w:lineRule="exact"/>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0"/>
                <w:szCs w:val="10"/>
                <w:color w:val="auto"/>
              </w:rPr>
            </w:pPr>
          </w:p>
        </w:tc>
        <w:tc>
          <w:tcPr>
            <w:tcW w:w="1020" w:type="dxa"/>
            <w:vAlign w:val="bottom"/>
            <w:vMerge w:val="restart"/>
          </w:tcPr>
          <w:p>
            <w:pPr>
              <w:ind w:left="80"/>
              <w:spacing w:after="0" w:line="175" w:lineRule="exact"/>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0"/>
                <w:szCs w:val="10"/>
                <w:color w:val="auto"/>
              </w:rPr>
            </w:pPr>
          </w:p>
        </w:tc>
        <w:tc>
          <w:tcPr>
            <w:tcW w:w="1840" w:type="dxa"/>
            <w:vAlign w:val="bottom"/>
          </w:tcPr>
          <w:p>
            <w:pPr>
              <w:jc w:val="center"/>
              <w:ind w:right="183"/>
              <w:spacing w:after="0" w:line="122" w:lineRule="exact"/>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10"/>
                <w:szCs w:val="10"/>
                <w:color w:val="auto"/>
              </w:rPr>
            </w:pPr>
          </w:p>
        </w:tc>
        <w:tc>
          <w:tcPr>
            <w:tcW w:w="980" w:type="dxa"/>
            <w:vAlign w:val="bottom"/>
            <w:vMerge w:val="restart"/>
          </w:tcPr>
          <w:p>
            <w:pPr>
              <w:jc w:val="right"/>
              <w:ind w:right="379"/>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0"/>
              <w:spacing w:after="0"/>
              <w:rPr>
                <w:sz w:val="20"/>
                <w:szCs w:val="20"/>
                <w:color w:val="auto"/>
              </w:rPr>
            </w:pPr>
            <w:r>
              <w:rPr>
                <w:rFonts w:ascii="Arial" w:cs="Arial" w:eastAsia="Arial" w:hAnsi="Arial"/>
                <w:sz w:val="16"/>
                <w:szCs w:val="16"/>
                <w:color w:val="auto"/>
              </w:rPr>
              <w:t>Commodity derivatives - Gas Utilities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(2,374 )</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7,569</w:t>
            </w:r>
          </w:p>
        </w:tc>
        <w:tc>
          <w:tcPr>
            <w:tcW w:w="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(2,374 )</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412"/>
        </w:trPr>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Commodity derivatives - Gas Utilities</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3,273</w:t>
            </w:r>
          </w:p>
        </w:tc>
        <w:tc>
          <w:tcPr>
            <w:tcW w:w="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(1,814 )</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9"/>
        </w:trPr>
        <w:tc>
          <w:tcPr>
            <w:tcW w:w="4000" w:type="dxa"/>
            <w:vAlign w:val="bottom"/>
          </w:tcPr>
          <w:p>
            <w:pPr>
              <w:ind w:left="20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(1,814 )</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9" w:lineRule="exact"/>
        <w:rPr>
          <w:sz w:val="20"/>
          <w:szCs w:val="20"/>
          <w:color w:val="auto"/>
        </w:rPr>
      </w:pPr>
    </w:p>
    <w:p>
      <w:pPr>
        <w:ind w:left="520" w:right="400" w:hanging="512"/>
        <w:spacing w:after="0" w:line="285"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 of December 31, 2021, $2.4 million of our commodity derivative assets and $1.8 million of our commodity derivative liabilities, as well as related gross collateral amounts, were subject to master netting agreements.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discussion of the fair value of our Pension and Postretirement Plan assets is included in </w:t>
      </w:r>
      <w:r>
        <w:rPr>
          <w:rFonts w:ascii="Arial" w:cs="Arial" w:eastAsia="Arial" w:hAnsi="Arial"/>
          <w:sz w:val="16"/>
          <w:szCs w:val="16"/>
          <w:u w:val="single" w:color="auto"/>
          <w:color w:val="0000FF"/>
        </w:rPr>
        <w:t>Note 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-4445</wp:posOffset>
            </wp:positionV>
            <wp:extent cx="3600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Measurements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spacing w:after="0"/>
              <w:rPr>
                <w:sz w:val="18"/>
                <w:szCs w:val="18"/>
                <w:color w:val="auto"/>
              </w:rPr>
            </w:pPr>
          </w:p>
        </w:tc>
      </w:tr>
      <w:tr>
        <w:trPr>
          <w:trHeight w:val="182"/>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79"/>
              <w:spacing w:after="0" w:line="182" w:lineRule="exact"/>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5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09"/>
        </w:trPr>
        <w:tc>
          <w:tcPr>
            <w:tcW w:w="532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4,132,340</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3,760,848</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4,126,923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4,570,619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1431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220" w:hanging="512"/>
        <w:spacing w:after="0" w:line="249"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0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420" w:type="dxa"/>
            <w:vAlign w:val="bottom"/>
          </w:tcPr>
          <w:p>
            <w:pPr>
              <w:ind w:left="560"/>
              <w:spacing w:after="0"/>
              <w:rPr>
                <w:sz w:val="20"/>
                <w:szCs w:val="20"/>
                <w:color w:val="auto"/>
              </w:rPr>
            </w:pPr>
            <w:r>
              <w:rPr>
                <w:rFonts w:ascii="Arial" w:cs="Arial" w:eastAsia="Arial" w:hAnsi="Arial"/>
                <w:sz w:val="16"/>
                <w:szCs w:val="16"/>
                <w:b w:val="1"/>
                <w:bCs w:val="1"/>
                <w:color w:val="auto"/>
              </w:rPr>
              <w:t>Location on the Consolidated</w:t>
            </w:r>
          </w:p>
        </w:tc>
        <w:tc>
          <w:tcPr>
            <w:tcW w:w="120" w:type="dxa"/>
            <w:vAlign w:val="bottom"/>
          </w:tcPr>
          <w:p>
            <w:pPr>
              <w:spacing w:after="0"/>
              <w:rPr>
                <w:sz w:val="18"/>
                <w:szCs w:val="18"/>
                <w:color w:val="auto"/>
              </w:rPr>
            </w:pPr>
          </w:p>
        </w:tc>
        <w:tc>
          <w:tcPr>
            <w:tcW w:w="372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Amount Reclassified from AOCI</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Statements of Income</w:t>
            </w: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December 31, 2022</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34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(2,850 )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(2,851 )</w:t>
            </w:r>
          </w:p>
        </w:tc>
        <w:tc>
          <w:tcPr>
            <w:tcW w:w="0" w:type="dxa"/>
            <w:vAlign w:val="bottom"/>
          </w:tcPr>
          <w:p>
            <w:pPr>
              <w:spacing w:after="0"/>
              <w:rPr>
                <w:sz w:val="1"/>
                <w:szCs w:val="1"/>
                <w:color w:val="auto"/>
              </w:rPr>
            </w:pPr>
          </w:p>
        </w:tc>
      </w:tr>
      <w:tr>
        <w:trPr>
          <w:trHeight w:val="189"/>
        </w:trPr>
        <w:tc>
          <w:tcPr>
            <w:tcW w:w="3980" w:type="dxa"/>
            <w:vAlign w:val="bottom"/>
            <w:shd w:val="clear" w:color="auto" w:fill="CFF0FC"/>
          </w:tcPr>
          <w:p>
            <w:pPr>
              <w:spacing w:after="0"/>
              <w:rPr>
                <w:sz w:val="16"/>
                <w:szCs w:val="16"/>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Fuel, purchased power and cost of natural</w:t>
            </w:r>
          </w:p>
        </w:tc>
        <w:tc>
          <w:tcPr>
            <w:tcW w:w="120" w:type="dxa"/>
            <w:vAlign w:val="bottom"/>
            <w:shd w:val="clear" w:color="auto" w:fill="CFF0FC"/>
          </w:tcPr>
          <w:p>
            <w:pPr>
              <w:spacing w:after="0"/>
              <w:rPr>
                <w:sz w:val="16"/>
                <w:szCs w:val="16"/>
                <w:color w:val="auto"/>
              </w:rPr>
            </w:pPr>
          </w:p>
        </w:tc>
        <w:tc>
          <w:tcPr>
            <w:tcW w:w="174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2,708</w:t>
            </w:r>
          </w:p>
        </w:tc>
        <w:tc>
          <w:tcPr>
            <w:tcW w:w="220" w:type="dxa"/>
            <w:vAlign w:val="bottom"/>
            <w:shd w:val="clear" w:color="auto" w:fill="CFF0FC"/>
          </w:tcPr>
          <w:p>
            <w:pPr>
              <w:spacing w:after="0"/>
              <w:rPr>
                <w:sz w:val="16"/>
                <w:szCs w:val="16"/>
                <w:color w:val="auto"/>
              </w:rPr>
            </w:pPr>
          </w:p>
        </w:tc>
        <w:tc>
          <w:tcPr>
            <w:tcW w:w="17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2,051</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Commodity contracts</w:t>
            </w:r>
          </w:p>
        </w:tc>
        <w:tc>
          <w:tcPr>
            <w:tcW w:w="3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gas sold</w:t>
            </w:r>
          </w:p>
        </w:tc>
        <w:tc>
          <w:tcPr>
            <w:tcW w:w="1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(142 )</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3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cash flow</w:t>
            </w:r>
          </w:p>
        </w:tc>
        <w:tc>
          <w:tcPr>
            <w:tcW w:w="34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(84 )</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(625 )</w:t>
            </w:r>
          </w:p>
        </w:tc>
        <w:tc>
          <w:tcPr>
            <w:tcW w:w="0" w:type="dxa"/>
            <w:vAlign w:val="bottom"/>
          </w:tcPr>
          <w:p>
            <w:pPr>
              <w:spacing w:after="0"/>
              <w:rPr>
                <w:sz w:val="1"/>
                <w:szCs w:val="1"/>
                <w:color w:val="auto"/>
              </w:rPr>
            </w:pPr>
          </w:p>
        </w:tc>
      </w:tr>
      <w:tr>
        <w:trPr>
          <w:trHeight w:val="181"/>
        </w:trPr>
        <w:tc>
          <w:tcPr>
            <w:tcW w:w="3980" w:type="dxa"/>
            <w:vAlign w:val="bottom"/>
          </w:tcPr>
          <w:p>
            <w:pPr>
              <w:ind w:left="20"/>
              <w:spacing w:after="0" w:line="176" w:lineRule="exact"/>
              <w:rPr>
                <w:sz w:val="20"/>
                <w:szCs w:val="20"/>
                <w:color w:val="auto"/>
              </w:rPr>
            </w:pPr>
            <w:r>
              <w:rPr>
                <w:rFonts w:ascii="Arial" w:cs="Arial" w:eastAsia="Arial" w:hAnsi="Arial"/>
                <w:sz w:val="16"/>
                <w:szCs w:val="16"/>
                <w:color w:val="auto"/>
              </w:rPr>
              <w:t>hedges, net of tax</w:t>
            </w:r>
          </w:p>
        </w:tc>
        <w:tc>
          <w:tcPr>
            <w:tcW w:w="34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3420" w:type="dxa"/>
            <w:vAlign w:val="bottom"/>
          </w:tcPr>
          <w:p>
            <w:pPr>
              <w:ind w:left="140"/>
              <w:spacing w:after="0"/>
              <w:rPr>
                <w:sz w:val="20"/>
                <w:szCs w:val="20"/>
                <w:color w:val="auto"/>
              </w:rPr>
            </w:pPr>
            <w:r>
              <w:rPr>
                <w:rFonts w:ascii="Arial" w:cs="Arial" w:eastAsia="Arial" w:hAnsi="Arial"/>
                <w:sz w:val="16"/>
                <w:szCs w:val="16"/>
                <w:color w:val="auto"/>
              </w:rPr>
              <w:t>Operations and maintenance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Actuarial gain (loss)</w:t>
            </w:r>
          </w:p>
        </w:tc>
        <w:tc>
          <w:tcPr>
            <w:tcW w:w="3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Operations and maintenance</w:t>
            </w:r>
          </w:p>
        </w:tc>
        <w:tc>
          <w:tcPr>
            <w:tcW w:w="1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(751 )</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(2,391 )</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(658 )</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(2,293 )</w:t>
            </w:r>
          </w:p>
        </w:tc>
        <w:tc>
          <w:tcPr>
            <w:tcW w:w="0" w:type="dxa"/>
            <w:vAlign w:val="bottom"/>
          </w:tcPr>
          <w:p>
            <w:pPr>
              <w:spacing w:after="0"/>
              <w:rPr>
                <w:sz w:val="1"/>
                <w:szCs w:val="1"/>
                <w:color w:val="auto"/>
              </w:rPr>
            </w:pPr>
          </w:p>
        </w:tc>
      </w:tr>
      <w:tr>
        <w:trPr>
          <w:trHeight w:val="210"/>
        </w:trPr>
        <w:tc>
          <w:tcPr>
            <w:tcW w:w="398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3420" w:type="dxa"/>
            <w:vAlign w:val="bottom"/>
          </w:tcPr>
          <w:p>
            <w:pPr>
              <w:ind w:left="140"/>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198</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82"/>
        </w:trPr>
        <w:tc>
          <w:tcPr>
            <w:tcW w:w="398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defined</w:t>
            </w:r>
          </w:p>
        </w:tc>
        <w:tc>
          <w:tcPr>
            <w:tcW w:w="342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(460 )</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(1,655 )</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20"/>
              <w:spacing w:after="0" w:line="176" w:lineRule="exact"/>
              <w:rPr>
                <w:sz w:val="20"/>
                <w:szCs w:val="20"/>
                <w:color w:val="auto"/>
              </w:rPr>
            </w:pPr>
            <w:r>
              <w:rPr>
                <w:rFonts w:ascii="Arial" w:cs="Arial" w:eastAsia="Arial" w:hAnsi="Arial"/>
                <w:sz w:val="16"/>
                <w:szCs w:val="16"/>
                <w:color w:val="auto"/>
              </w:rPr>
              <w:t>benefit plans, net of tax</w:t>
            </w:r>
          </w:p>
        </w:tc>
        <w:tc>
          <w:tcPr>
            <w:tcW w:w="34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174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auto"/>
            </w:tcBorders>
            <w:vMerge w:val="continue"/>
            <w:shd w:val="clear" w:color="auto" w:fill="CFF0FC"/>
          </w:tcPr>
          <w:p>
            <w:pPr>
              <w:spacing w:after="0"/>
              <w:rPr>
                <w:sz w:val="18"/>
                <w:szCs w:val="18"/>
                <w:color w:val="auto"/>
              </w:rPr>
            </w:pPr>
          </w:p>
        </w:tc>
        <w:tc>
          <w:tcPr>
            <w:tcW w:w="17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3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thousands):</w:t>
      </w:r>
    </w:p>
    <w:p>
      <w:pPr>
        <w:spacing w:after="0" w:line="208"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auto"/>
        </w:rPr>
        <w:t>Derivatives Designated as</w:t>
      </w:r>
    </w:p>
    <w:p>
      <w:pPr>
        <w:spacing w:after="0" w:line="21" w:lineRule="exact"/>
        <w:rPr>
          <w:sz w:val="20"/>
          <w:szCs w:val="20"/>
          <w:color w:val="auto"/>
        </w:rPr>
      </w:pPr>
    </w:p>
    <w:p>
      <w:pPr>
        <w:jc w:val="center"/>
        <w:ind w:left="1020"/>
        <w:spacing w:after="0"/>
        <w:rPr>
          <w:sz w:val="20"/>
          <w:szCs w:val="20"/>
          <w:color w:val="auto"/>
        </w:rPr>
      </w:pPr>
      <w:r>
        <w:rPr>
          <w:rFonts w:ascii="Arial" w:cs="Arial" w:eastAsia="Arial" w:hAnsi="Arial"/>
          <w:sz w:val="16"/>
          <w:szCs w:val="16"/>
          <w:b w:val="1"/>
          <w:bCs w:val="1"/>
          <w:color w:val="auto"/>
        </w:rPr>
        <w:t>Cash Flow Hedges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center"/>
              <w:ind w:right="299"/>
              <w:spacing w:after="0" w:line="182" w:lineRule="exact"/>
              <w:rPr>
                <w:sz w:val="20"/>
                <w:szCs w:val="20"/>
                <w:color w:val="auto"/>
              </w:rPr>
            </w:pPr>
            <w:r>
              <w:rPr>
                <w:rFonts w:ascii="Arial" w:cs="Arial" w:eastAsia="Arial" w:hAnsi="Arial"/>
                <w:sz w:val="16"/>
                <w:szCs w:val="16"/>
                <w:b w:val="1"/>
                <w:bCs w:val="1"/>
                <w:color w:val="auto"/>
              </w:rPr>
              <w:t>Interest Rate</w:t>
            </w: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ind w:right="259"/>
              <w:spacing w:after="0" w:line="182" w:lineRule="exact"/>
              <w:rPr>
                <w:sz w:val="20"/>
                <w:szCs w:val="20"/>
                <w:color w:val="auto"/>
              </w:rPr>
            </w:pPr>
            <w:r>
              <w:rPr>
                <w:rFonts w:ascii="Arial" w:cs="Arial" w:eastAsia="Arial" w:hAnsi="Arial"/>
                <w:sz w:val="16"/>
                <w:szCs w:val="16"/>
                <w:b w:val="1"/>
                <w:bCs w:val="1"/>
                <w:color w:val="auto"/>
                <w:w w:val="99"/>
              </w:rPr>
              <w:t>Commodity</w:t>
            </w:r>
          </w:p>
        </w:tc>
        <w:tc>
          <w:tcPr>
            <w:tcW w:w="1820" w:type="dxa"/>
            <w:vAlign w:val="bottom"/>
            <w:gridSpan w:val="2"/>
          </w:tcPr>
          <w:p>
            <w:pPr>
              <w:jc w:val="center"/>
              <w:ind w:right="19"/>
              <w:spacing w:after="0" w:line="182" w:lineRule="exact"/>
              <w:rPr>
                <w:sz w:val="20"/>
                <w:szCs w:val="20"/>
                <w:color w:val="auto"/>
              </w:rPr>
            </w:pPr>
            <w:r>
              <w:rPr>
                <w:rFonts w:ascii="Arial" w:cs="Arial" w:eastAsia="Arial" w:hAnsi="Arial"/>
                <w:sz w:val="16"/>
                <w:szCs w:val="16"/>
                <w:b w:val="1"/>
                <w:bCs w:val="1"/>
                <w:color w:val="auto"/>
              </w:rPr>
              <w:t>Employee Benefit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8"/>
              </w:rPr>
              <w:t>Swaps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Plans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(10,384 )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1,476</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(11,176 )</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(20,084 )</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before reclassifications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(631 )</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4,604</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3,973</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2,129</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(2,045 )</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460</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w:t>
            </w:r>
          </w:p>
        </w:tc>
      </w:tr>
      <w:tr>
        <w:trPr>
          <w:trHeight w:val="250"/>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(8,255 )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(1,200 )</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(6,112 )</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(15,567 )</w:t>
            </w:r>
          </w:p>
        </w:tc>
      </w:tr>
      <w:tr>
        <w:trPr>
          <w:trHeight w:val="386"/>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Derivatives Designated as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7"/>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Cash Flow Hedges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2"/>
        </w:trPr>
        <w:tc>
          <w:tcPr>
            <w:tcW w:w="4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299"/>
              <w:spacing w:after="0" w:line="182" w:lineRule="exact"/>
              <w:rPr>
                <w:sz w:val="20"/>
                <w:szCs w:val="20"/>
                <w:color w:val="auto"/>
              </w:rPr>
            </w:pPr>
            <w:r>
              <w:rPr>
                <w:rFonts w:ascii="Arial" w:cs="Arial" w:eastAsia="Arial" w:hAnsi="Arial"/>
                <w:sz w:val="16"/>
                <w:szCs w:val="16"/>
                <w:b w:val="1"/>
                <w:bCs w:val="1"/>
                <w:color w:val="auto"/>
              </w:rPr>
              <w:t>Interest Rate</w:t>
            </w:r>
          </w:p>
        </w:tc>
        <w:tc>
          <w:tcPr>
            <w:tcW w:w="260" w:type="dxa"/>
            <w:vAlign w:val="bottom"/>
          </w:tcPr>
          <w:p>
            <w:pPr>
              <w:spacing w:after="0"/>
              <w:rPr>
                <w:sz w:val="15"/>
                <w:szCs w:val="15"/>
                <w:color w:val="auto"/>
              </w:rPr>
            </w:pPr>
          </w:p>
        </w:tc>
        <w:tc>
          <w:tcPr>
            <w:tcW w:w="1420" w:type="dxa"/>
            <w:vAlign w:val="bottom"/>
          </w:tcPr>
          <w:p>
            <w:pPr>
              <w:jc w:val="center"/>
              <w:ind w:right="259"/>
              <w:spacing w:after="0" w:line="182" w:lineRule="exact"/>
              <w:rPr>
                <w:sz w:val="20"/>
                <w:szCs w:val="20"/>
                <w:color w:val="auto"/>
              </w:rPr>
            </w:pPr>
            <w:r>
              <w:rPr>
                <w:rFonts w:ascii="Arial" w:cs="Arial" w:eastAsia="Arial" w:hAnsi="Arial"/>
                <w:sz w:val="16"/>
                <w:szCs w:val="16"/>
                <w:b w:val="1"/>
                <w:bCs w:val="1"/>
                <w:color w:val="auto"/>
                <w:w w:val="99"/>
              </w:rPr>
              <w:t>Commodity</w:t>
            </w:r>
          </w:p>
        </w:tc>
        <w:tc>
          <w:tcPr>
            <w:tcW w:w="1820" w:type="dxa"/>
            <w:vAlign w:val="bottom"/>
            <w:gridSpan w:val="2"/>
          </w:tcPr>
          <w:p>
            <w:pPr>
              <w:jc w:val="center"/>
              <w:ind w:right="19"/>
              <w:spacing w:after="0" w:line="182" w:lineRule="exact"/>
              <w:rPr>
                <w:sz w:val="20"/>
                <w:szCs w:val="20"/>
                <w:color w:val="auto"/>
              </w:rPr>
            </w:pPr>
            <w:r>
              <w:rPr>
                <w:rFonts w:ascii="Arial" w:cs="Arial" w:eastAsia="Arial" w:hAnsi="Arial"/>
                <w:sz w:val="16"/>
                <w:szCs w:val="16"/>
                <w:b w:val="1"/>
                <w:bCs w:val="1"/>
                <w:color w:val="auto"/>
              </w:rPr>
              <w:t>Employee Benefit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7"/>
        </w:trPr>
        <w:tc>
          <w:tcPr>
            <w:tcW w:w="4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8"/>
              </w:rPr>
              <w:t>Swaps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Derivatives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Plans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10"/>
        </w:trPr>
        <w:tc>
          <w:tcPr>
            <w:tcW w:w="4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(12,558 )</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4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(14,790 )</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(27,346 )</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before reclassifications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3,023</w:t>
            </w:r>
          </w:p>
        </w:tc>
        <w:tc>
          <w:tcPr>
            <w:tcW w:w="4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1,959</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4,982</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2,174</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(1,549 )</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1,655</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2,280</w:t>
            </w: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(10,384 )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1,476</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(11,176 )</w:t>
            </w:r>
          </w:p>
        </w:tc>
        <w:tc>
          <w:tcPr>
            <w:tcW w:w="36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(20,084 )</w:t>
            </w:r>
          </w:p>
        </w:tc>
      </w:tr>
      <w:tr>
        <w:trPr>
          <w:trHeight w:val="600"/>
        </w:trPr>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3"/>
        </w:trPr>
        <w:tc>
          <w:tcPr>
            <w:tcW w:w="4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VARIABLE INTEREST ENTITY</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 xml:space="preserve">The accounting for a partial sale of a subsidiary in which control is maintained and the subsidiary continues to be consolidated is specified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partial sale is required to be recorded as an equity transaction with no resulting gain or loss on the sale. GAAP requires that non-controlling interests in subsidiaries and affiliates be reported in the equity section of a company’s balance sheet.</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Net income available for common stock for the years ended December 31, 2022, 2021 and 2020 was reduced by $12 million, $15 million, and $15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55"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9"/>
        </w:trPr>
        <w:tc>
          <w:tcPr>
            <w:tcW w:w="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7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7700" w:type="dxa"/>
            <w:vAlign w:val="bottom"/>
            <w:gridSpan w:val="2"/>
          </w:tcPr>
          <w:p>
            <w:pPr>
              <w:ind w:left="200"/>
              <w:spacing w:after="0"/>
              <w:rPr>
                <w:sz w:val="20"/>
                <w:szCs w:val="20"/>
                <w:color w:val="auto"/>
              </w:rPr>
            </w:pPr>
            <w:r>
              <w:rPr>
                <w:rFonts w:ascii="Arial" w:cs="Arial" w:eastAsia="Arial" w:hAnsi="Arial"/>
                <w:sz w:val="16"/>
                <w:szCs w:val="16"/>
                <w:color w:val="auto"/>
              </w:rPr>
              <w:t>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12,761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13,220</w:t>
            </w:r>
          </w:p>
        </w:tc>
      </w:tr>
      <w:tr>
        <w:trPr>
          <w:trHeight w:val="217"/>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Property, plant and equipment of variable interest entities, net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178,761</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189,079</w:t>
            </w:r>
          </w:p>
        </w:tc>
      </w:tr>
      <w:tr>
        <w:trPr>
          <w:trHeight w:val="431"/>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7"/>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5,394</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5,841</w:t>
            </w:r>
          </w:p>
        </w:tc>
      </w:tr>
      <w:tr>
        <w:trPr>
          <w:trHeight w:val="411"/>
        </w:trPr>
        <w:tc>
          <w:tcPr>
            <w:tcW w:w="620" w:type="dxa"/>
            <w:vAlign w:val="bottom"/>
          </w:tcPr>
          <w:p>
            <w:pPr>
              <w:spacing w:after="0"/>
              <w:rPr>
                <w:sz w:val="20"/>
                <w:szCs w:val="20"/>
                <w:color w:val="auto"/>
              </w:rPr>
            </w:pPr>
            <w:r>
              <w:rPr>
                <w:rFonts w:ascii="Arial" w:cs="Arial" w:eastAsia="Arial" w:hAnsi="Arial"/>
                <w:sz w:val="16"/>
                <w:szCs w:val="16"/>
                <w:b w:val="1"/>
                <w:bCs w:val="1"/>
                <w:color w:val="auto"/>
              </w:rPr>
              <w:t>(13)</w:t>
            </w:r>
          </w:p>
        </w:tc>
        <w:tc>
          <w:tcPr>
            <w:tcW w:w="7080" w:type="dxa"/>
            <w:vAlign w:val="bottom"/>
          </w:tcPr>
          <w:p>
            <w:pPr>
              <w:ind w:left="80"/>
              <w:spacing w:after="0"/>
              <w:rPr>
                <w:sz w:val="20"/>
                <w:szCs w:val="20"/>
                <w:color w:val="auto"/>
              </w:rPr>
            </w:pPr>
            <w:r>
              <w:rPr>
                <w:rFonts w:ascii="Arial" w:cs="Arial" w:eastAsia="Arial" w:hAnsi="Arial"/>
                <w:sz w:val="16"/>
                <w:szCs w:val="16"/>
                <w:b w:val="1"/>
                <w:bCs w:val="1"/>
                <w:color w:val="auto"/>
              </w:rPr>
              <w:t>EMPLOYEE BENEFIT PLANS</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Plans</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service-based criteria.</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2022, the expected rate of return on pension plan assets was based on the targeted asset allocation range of 20% to 28% return-seeking assets and 72% to 80% liability-hedging assets.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Return-seeking Assets</w:t>
            </w:r>
          </w:p>
        </w:tc>
        <w:tc>
          <w:tcPr>
            <w:tcW w:w="3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3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2021</w:t>
            </w:r>
          </w:p>
        </w:tc>
      </w:tr>
      <w:tr>
        <w:trPr>
          <w:trHeight w:val="209"/>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3300" w:type="dxa"/>
            <w:vAlign w:val="bottom"/>
            <w:shd w:val="clear" w:color="auto" w:fill="CFF0FC"/>
          </w:tcPr>
          <w:p>
            <w:pPr>
              <w:jc w:val="center"/>
              <w:ind w:right="19"/>
              <w:spacing w:after="0"/>
              <w:rPr>
                <w:sz w:val="20"/>
                <w:szCs w:val="20"/>
                <w:color w:val="auto"/>
              </w:rPr>
            </w:pPr>
            <w:r>
              <w:rPr>
                <w:rFonts w:ascii="Arial" w:cs="Arial" w:eastAsia="Arial" w:hAnsi="Arial"/>
                <w:sz w:val="16"/>
                <w:szCs w:val="16"/>
                <w:color w:val="auto"/>
                <w:w w:val="99"/>
              </w:rPr>
              <w:t>14%</w:t>
            </w:r>
          </w:p>
        </w:tc>
        <w:tc>
          <w:tcPr>
            <w:tcW w:w="32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15%</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300" w:type="dxa"/>
            <w:vAlign w:val="bottom"/>
          </w:tcPr>
          <w:p>
            <w:pPr>
              <w:jc w:val="center"/>
              <w:ind w:right="19"/>
              <w:spacing w:after="0"/>
              <w:rPr>
                <w:sz w:val="20"/>
                <w:szCs w:val="20"/>
                <w:color w:val="auto"/>
              </w:rPr>
            </w:pPr>
            <w:r>
              <w:rPr>
                <w:rFonts w:ascii="Arial" w:cs="Arial" w:eastAsia="Arial" w:hAnsi="Arial"/>
                <w:sz w:val="16"/>
                <w:szCs w:val="16"/>
                <w:color w:val="auto"/>
              </w:rPr>
              <w:t>7%</w:t>
            </w:r>
          </w:p>
        </w:tc>
        <w:tc>
          <w:tcPr>
            <w:tcW w:w="3280" w:type="dxa"/>
            <w:vAlign w:val="bottom"/>
          </w:tcPr>
          <w:p>
            <w:pPr>
              <w:jc w:val="center"/>
              <w:ind w:left="39"/>
              <w:spacing w:after="0"/>
              <w:rPr>
                <w:sz w:val="20"/>
                <w:szCs w:val="20"/>
                <w:color w:val="auto"/>
              </w:rPr>
            </w:pPr>
            <w:r>
              <w:rPr>
                <w:rFonts w:ascii="Arial" w:cs="Arial" w:eastAsia="Arial" w:hAnsi="Arial"/>
                <w:sz w:val="16"/>
                <w:szCs w:val="16"/>
                <w:color w:val="auto"/>
              </w:rPr>
              <w:t>7%</w:t>
            </w:r>
          </w:p>
        </w:tc>
      </w:tr>
      <w:tr>
        <w:trPr>
          <w:trHeight w:val="21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income</w:t>
            </w:r>
          </w:p>
        </w:tc>
        <w:tc>
          <w:tcPr>
            <w:tcW w:w="3300" w:type="dxa"/>
            <w:vAlign w:val="bottom"/>
            <w:shd w:val="clear" w:color="auto" w:fill="CFF0FC"/>
          </w:tcPr>
          <w:p>
            <w:pPr>
              <w:jc w:val="center"/>
              <w:ind w:right="19"/>
              <w:spacing w:after="0"/>
              <w:rPr>
                <w:sz w:val="20"/>
                <w:szCs w:val="20"/>
                <w:color w:val="auto"/>
              </w:rPr>
            </w:pPr>
            <w:r>
              <w:rPr>
                <w:rFonts w:ascii="Arial" w:cs="Arial" w:eastAsia="Arial" w:hAnsi="Arial"/>
                <w:sz w:val="16"/>
                <w:szCs w:val="16"/>
                <w:color w:val="auto"/>
              </w:rPr>
              <w:t>2%</w:t>
            </w:r>
          </w:p>
        </w:tc>
        <w:tc>
          <w:tcPr>
            <w:tcW w:w="32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3%</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Hedge funds</w:t>
            </w:r>
          </w:p>
        </w:tc>
        <w:tc>
          <w:tcPr>
            <w:tcW w:w="3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3%</w:t>
            </w:r>
          </w:p>
        </w:tc>
        <w:tc>
          <w:tcPr>
            <w:tcW w:w="3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3%</w:t>
            </w:r>
          </w:p>
        </w:tc>
      </w:tr>
      <w:tr>
        <w:trPr>
          <w:trHeight w:val="210"/>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3300" w:type="dxa"/>
            <w:vAlign w:val="bottom"/>
            <w:tcBorders>
              <w:bottom w:val="single" w:sz="8" w:color="auto"/>
            </w:tcBorders>
            <w:shd w:val="clear" w:color="auto" w:fill="CFF0FC"/>
          </w:tcPr>
          <w:p>
            <w:pPr>
              <w:jc w:val="center"/>
              <w:ind w:right="19"/>
              <w:spacing w:after="0"/>
              <w:rPr>
                <w:sz w:val="20"/>
                <w:szCs w:val="20"/>
                <w:color w:val="auto"/>
              </w:rPr>
            </w:pPr>
            <w:r>
              <w:rPr>
                <w:rFonts w:ascii="Arial" w:cs="Arial" w:eastAsia="Arial" w:hAnsi="Arial"/>
                <w:sz w:val="16"/>
                <w:szCs w:val="16"/>
                <w:color w:val="auto"/>
                <w:w w:val="99"/>
              </w:rPr>
              <w:t>26%</w:t>
            </w:r>
          </w:p>
        </w:tc>
        <w:tc>
          <w:tcPr>
            <w:tcW w:w="328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w w:val="99"/>
              </w:rPr>
              <w:t>28%</w:t>
            </w: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Liability-hedging Assets</w:t>
            </w:r>
          </w:p>
        </w:tc>
        <w:tc>
          <w:tcPr>
            <w:tcW w:w="3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2022</w:t>
            </w:r>
          </w:p>
        </w:tc>
        <w:tc>
          <w:tcPr>
            <w:tcW w:w="3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2021</w:t>
            </w:r>
          </w:p>
        </w:tc>
      </w:tr>
      <w:tr>
        <w:trPr>
          <w:trHeight w:val="210"/>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income</w:t>
            </w:r>
          </w:p>
        </w:tc>
        <w:tc>
          <w:tcPr>
            <w:tcW w:w="3300" w:type="dxa"/>
            <w:vAlign w:val="bottom"/>
            <w:shd w:val="clear" w:color="auto" w:fill="CFF0FC"/>
          </w:tcPr>
          <w:p>
            <w:pPr>
              <w:jc w:val="center"/>
              <w:ind w:right="19"/>
              <w:spacing w:after="0"/>
              <w:rPr>
                <w:sz w:val="20"/>
                <w:szCs w:val="20"/>
                <w:color w:val="auto"/>
              </w:rPr>
            </w:pPr>
            <w:r>
              <w:rPr>
                <w:rFonts w:ascii="Arial" w:cs="Arial" w:eastAsia="Arial" w:hAnsi="Arial"/>
                <w:sz w:val="16"/>
                <w:szCs w:val="16"/>
                <w:color w:val="auto"/>
                <w:w w:val="99"/>
              </w:rPr>
              <w:t>72%</w:t>
            </w:r>
          </w:p>
        </w:tc>
        <w:tc>
          <w:tcPr>
            <w:tcW w:w="32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71%</w:t>
            </w:r>
          </w:p>
        </w:tc>
      </w:tr>
      <w:tr>
        <w:trPr>
          <w:trHeight w:val="215"/>
        </w:trPr>
        <w:tc>
          <w:tcPr>
            <w:tcW w:w="46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w:t>
            </w:r>
          </w:p>
        </w:tc>
        <w:tc>
          <w:tcPr>
            <w:tcW w:w="3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w:t>
            </w:r>
          </w:p>
        </w:tc>
        <w:tc>
          <w:tcPr>
            <w:tcW w:w="3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1%</w:t>
            </w:r>
          </w:p>
        </w:tc>
      </w:tr>
      <w:tr>
        <w:trPr>
          <w:trHeight w:val="209"/>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3300" w:type="dxa"/>
            <w:vAlign w:val="bottom"/>
            <w:tcBorders>
              <w:bottom w:val="single" w:sz="8" w:color="auto"/>
            </w:tcBorders>
            <w:shd w:val="clear" w:color="auto" w:fill="CFF0FC"/>
          </w:tcPr>
          <w:p>
            <w:pPr>
              <w:jc w:val="center"/>
              <w:ind w:right="19"/>
              <w:spacing w:after="0"/>
              <w:rPr>
                <w:sz w:val="20"/>
                <w:szCs w:val="20"/>
                <w:color w:val="auto"/>
              </w:rPr>
            </w:pPr>
            <w:r>
              <w:rPr>
                <w:rFonts w:ascii="Arial" w:cs="Arial" w:eastAsia="Arial" w:hAnsi="Arial"/>
                <w:sz w:val="16"/>
                <w:szCs w:val="16"/>
                <w:color w:val="auto"/>
                <w:w w:val="99"/>
              </w:rPr>
              <w:t>74%</w:t>
            </w:r>
          </w:p>
        </w:tc>
        <w:tc>
          <w:tcPr>
            <w:tcW w:w="328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w w:val="99"/>
              </w:rPr>
              <w:t>72%</w:t>
            </w:r>
          </w:p>
        </w:tc>
      </w:tr>
      <w:tr>
        <w:trPr>
          <w:trHeight w:val="210"/>
        </w:trPr>
        <w:tc>
          <w:tcPr>
            <w:tcW w:w="466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3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3280" w:type="dxa"/>
            <w:vAlign w:val="bottom"/>
            <w:tcBorders>
              <w:bottom w:val="single" w:sz="8" w:color="auto"/>
            </w:tcBorders>
            <w:shd w:val="clear" w:color="auto" w:fill="CFF0FC"/>
          </w:tcPr>
          <w:p>
            <w:pPr>
              <w:jc w:val="center"/>
              <w:ind w:left="19"/>
              <w:spacing w:after="0"/>
              <w:rPr>
                <w:sz w:val="20"/>
                <w:szCs w:val="20"/>
                <w:color w:val="auto"/>
              </w:rPr>
            </w:pPr>
            <w:r>
              <w:rPr>
                <w:rFonts w:ascii="Arial" w:cs="Arial" w:eastAsia="Arial" w:hAnsi="Arial"/>
                <w:sz w:val="16"/>
                <w:szCs w:val="16"/>
                <w:color w:val="auto"/>
              </w:rPr>
              <w:t>100%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Non-qualified Defined Benefit Plans</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Postretirement Healthcare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Healthcare coverage for post-65 Medicare-eligible retirees is provided through an individual market healthcare exchange.</w:t>
      </w:r>
    </w:p>
    <w:p>
      <w:pPr>
        <w:spacing w:after="0" w:line="21" w:lineRule="exact"/>
        <w:rPr>
          <w:sz w:val="20"/>
          <w:szCs w:val="20"/>
          <w:color w:val="auto"/>
        </w:rPr>
      </w:pPr>
    </w:p>
    <w:p>
      <w:pPr>
        <w:jc w:val="both"/>
        <w:ind w:right="240"/>
        <w:spacing w:after="0" w:line="256" w:lineRule="auto"/>
        <w:rPr>
          <w:sz w:val="20"/>
          <w:szCs w:val="20"/>
          <w:color w:val="auto"/>
        </w:rPr>
      </w:pPr>
      <w:r>
        <w:rPr>
          <w:rFonts w:ascii="Arial" w:cs="Arial" w:eastAsia="Arial" w:hAnsi="Arial"/>
          <w:sz w:val="16"/>
          <w:szCs w:val="16"/>
          <w:color w:val="auto"/>
        </w:rPr>
        <w:t>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3"/>
          </w:tcPr>
          <w:p>
            <w:pPr>
              <w:spacing w:after="0"/>
              <w:rPr>
                <w:sz w:val="20"/>
                <w:szCs w:val="20"/>
                <w:color w:val="auto"/>
              </w:rPr>
            </w:pPr>
            <w:r>
              <w:rPr>
                <w:rFonts w:ascii="Arial" w:cs="Arial" w:eastAsia="Arial" w:hAnsi="Arial"/>
                <w:sz w:val="16"/>
                <w:szCs w:val="16"/>
                <w:color w:val="auto"/>
              </w:rPr>
              <w:t>Contributions for the years ended December 31 were as follows (in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169"/>
        </w:trPr>
        <w:tc>
          <w:tcPr>
            <w:tcW w:w="20" w:type="dxa"/>
            <w:vAlign w:val="bottom"/>
            <w:shd w:val="clear" w:color="auto" w:fill="CFF0FC"/>
          </w:tcPr>
          <w:p>
            <w:pPr>
              <w:spacing w:after="0"/>
              <w:rPr>
                <w:sz w:val="14"/>
                <w:szCs w:val="14"/>
                <w:color w:val="auto"/>
              </w:rPr>
            </w:pPr>
          </w:p>
        </w:tc>
        <w:tc>
          <w:tcPr>
            <w:tcW w:w="768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Defined Contribution Plan</w:t>
            </w: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auto"/>
            </w:tcBorders>
            <w:shd w:val="clear" w:color="auto" w:fill="CFF0FC"/>
          </w:tcPr>
          <w:p>
            <w:pPr>
              <w:spacing w:after="0" w:line="20" w:lineRule="exact"/>
              <w:rPr>
                <w:sz w:val="1"/>
                <w:szCs w:val="1"/>
                <w:color w:val="auto"/>
              </w:rPr>
            </w:pPr>
          </w:p>
        </w:tc>
        <w:tc>
          <w:tcPr>
            <w:tcW w:w="58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6"/>
                <w:szCs w:val="16"/>
                <w:color w:val="auto"/>
              </w:rPr>
              <w:t>Company retirement contributions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11,885</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11,332</w:t>
            </w:r>
          </w:p>
        </w:tc>
      </w:tr>
      <w:tr>
        <w:trPr>
          <w:trHeight w:val="217"/>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Company matching contributions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16,187</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15,938</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color w:val="auto"/>
              </w:rPr>
              <w:t>Defined Benefit Plans</w:t>
            </w:r>
          </w:p>
        </w:tc>
        <w:tc>
          <w:tcPr>
            <w:tcW w:w="6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r>
      <w:tr>
        <w:trPr>
          <w:trHeight w:val="215"/>
        </w:trPr>
        <w:tc>
          <w:tcPr>
            <w:tcW w:w="7700" w:type="dxa"/>
            <w:vAlign w:val="bottom"/>
            <w:gridSpan w:val="3"/>
          </w:tcPr>
          <w:p>
            <w:pPr>
              <w:ind w:left="20"/>
              <w:spacing w:after="0"/>
              <w:rPr>
                <w:sz w:val="20"/>
                <w:szCs w:val="20"/>
                <w:color w:val="auto"/>
              </w:rPr>
            </w:pPr>
            <w:r>
              <w:rPr>
                <w:rFonts w:ascii="Arial" w:cs="Arial" w:eastAsia="Arial" w:hAnsi="Arial"/>
                <w:sz w:val="16"/>
                <w:szCs w:val="16"/>
                <w:color w:val="auto"/>
              </w:rPr>
              <w:t>Defined Benefit Pension Plan</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7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6,131</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6,432</w:t>
            </w:r>
          </w:p>
        </w:tc>
      </w:tr>
      <w:tr>
        <w:trPr>
          <w:trHeight w:val="215"/>
        </w:trPr>
        <w:tc>
          <w:tcPr>
            <w:tcW w:w="7700" w:type="dxa"/>
            <w:vAlign w:val="bottom"/>
            <w:gridSpan w:val="3"/>
          </w:tcPr>
          <w:p>
            <w:pPr>
              <w:ind w:left="20"/>
              <w:spacing w:after="0"/>
              <w:rPr>
                <w:sz w:val="20"/>
                <w:szCs w:val="20"/>
                <w:color w:val="auto"/>
              </w:rPr>
            </w:pPr>
            <w:r>
              <w:rPr>
                <w:rFonts w:ascii="Arial" w:cs="Arial" w:eastAsia="Arial" w:hAnsi="Arial"/>
                <w:sz w:val="16"/>
                <w:szCs w:val="16"/>
                <w:color w:val="auto"/>
              </w:rPr>
              <w:t>Supplemental Non-Qualified Defined Benefit Plans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3,061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2,576</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required contributions to our Pension Plan in 2023 and do not intend to make any contributions.</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Pension Plan</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239"/>
              <w:spacing w:after="0" w:line="182" w:lineRule="exact"/>
              <w:rPr>
                <w:sz w:val="20"/>
                <w:szCs w:val="20"/>
                <w:color w:val="auto"/>
              </w:rPr>
            </w:pPr>
            <w:r>
              <w:rPr>
                <w:rFonts w:ascii="Arial" w:cs="Arial" w:eastAsia="Arial" w:hAnsi="Arial"/>
                <w:sz w:val="16"/>
                <w:szCs w:val="16"/>
                <w:b w:val="1"/>
                <w:bCs w:val="1"/>
                <w:color w:val="auto"/>
                <w:w w:val="94"/>
              </w:rPr>
              <w:t>Total</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Measured at</w:t>
            </w:r>
          </w:p>
        </w:tc>
        <w:tc>
          <w:tcPr>
            <w:tcW w:w="260" w:type="dxa"/>
            <w:vAlign w:val="bottom"/>
          </w:tcPr>
          <w:p>
            <w:pPr>
              <w:spacing w:after="0"/>
              <w:rPr>
                <w:sz w:val="16"/>
                <w:szCs w:val="16"/>
                <w:color w:val="auto"/>
              </w:rPr>
            </w:pPr>
          </w:p>
        </w:tc>
        <w:tc>
          <w:tcPr>
            <w:tcW w:w="820" w:type="dxa"/>
            <w:vAlign w:val="bottom"/>
            <w:vMerge w:val="restart"/>
          </w:tcPr>
          <w:p>
            <w:pPr>
              <w:jc w:val="right"/>
              <w:ind w:right="221"/>
              <w:spacing w:after="0"/>
              <w:rPr>
                <w:sz w:val="20"/>
                <w:szCs w:val="20"/>
                <w:color w:val="auto"/>
              </w:rPr>
            </w:pPr>
            <w:r>
              <w:rPr>
                <w:rFonts w:ascii="Arial" w:cs="Arial" w:eastAsia="Arial" w:hAnsi="Arial"/>
                <w:sz w:val="32"/>
                <w:szCs w:val="32"/>
                <w:b w:val="1"/>
                <w:bCs w:val="1"/>
                <w:color w:val="auto"/>
                <w:w w:val="81"/>
                <w:vertAlign w:val="subscript"/>
              </w:rPr>
              <w:t>NAV</w:t>
            </w:r>
            <w:r>
              <w:rPr>
                <w:rFonts w:ascii="Arial" w:cs="Arial" w:eastAsia="Arial" w:hAnsi="Arial"/>
                <w:sz w:val="11"/>
                <w:szCs w:val="11"/>
                <w:b w:val="1"/>
                <w:bCs w:val="1"/>
                <w:color w:val="auto"/>
                <w:w w:val="81"/>
              </w:rPr>
              <w:t xml:space="preserve"> (a)</w:t>
            </w:r>
          </w:p>
        </w:tc>
        <w:tc>
          <w:tcPr>
            <w:tcW w:w="240" w:type="dxa"/>
            <w:vAlign w:val="bottom"/>
          </w:tcPr>
          <w:p>
            <w:pPr>
              <w:spacing w:after="0"/>
              <w:rPr>
                <w:sz w:val="16"/>
                <w:szCs w:val="16"/>
                <w:color w:val="auto"/>
              </w:rPr>
            </w:pPr>
          </w:p>
        </w:tc>
        <w:tc>
          <w:tcPr>
            <w:tcW w:w="116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2"/>
        </w:trPr>
        <w:tc>
          <w:tcPr>
            <w:tcW w:w="402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Common Collective Trust - Cash and Cash</w:t>
            </w:r>
          </w:p>
        </w:tc>
        <w:tc>
          <w:tcPr>
            <w:tcW w:w="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Equivalents</w:t>
            </w:r>
          </w:p>
        </w:tc>
        <w:tc>
          <w:tcPr>
            <w:tcW w:w="820" w:type="dxa"/>
            <w:vAlign w:val="bottom"/>
            <w:gridSpan w:val="2"/>
            <w:shd w:val="clear" w:color="auto" w:fill="CFF0FC"/>
          </w:tcPr>
          <w:p>
            <w:pPr>
              <w:jc w:val="right"/>
              <w:ind w:right="639"/>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6,374</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6,374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6,374</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Common Collective Trust - Equity</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45,087</w:t>
            </w:r>
          </w:p>
        </w:tc>
        <w:tc>
          <w:tcPr>
            <w:tcW w:w="34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45,087</w:t>
            </w:r>
          </w:p>
        </w:tc>
        <w:tc>
          <w:tcPr>
            <w:tcW w:w="26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45,087</w:t>
            </w: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Collective Trust - Fixed Income</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242,025</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242,025</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242,025</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Common Collective Trust - Real Estate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21,572</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21,572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Hedge Funds</w:t>
            </w:r>
          </w:p>
        </w:tc>
        <w:tc>
          <w:tcPr>
            <w:tcW w:w="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8,084</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8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293,486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293,486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29,656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323,142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Pension Plan</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39"/>
              <w:spacing w:after="0" w:line="182" w:lineRule="exact"/>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Measured at</w:t>
            </w:r>
          </w:p>
        </w:tc>
        <w:tc>
          <w:tcPr>
            <w:tcW w:w="260" w:type="dxa"/>
            <w:vAlign w:val="bottom"/>
          </w:tcPr>
          <w:p>
            <w:pPr>
              <w:spacing w:after="0"/>
              <w:rPr>
                <w:sz w:val="16"/>
                <w:szCs w:val="16"/>
                <w:color w:val="auto"/>
              </w:rPr>
            </w:pPr>
          </w:p>
        </w:tc>
        <w:tc>
          <w:tcPr>
            <w:tcW w:w="8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w w:val="97"/>
              </w:rPr>
              <w:t xml:space="preserve">NAV </w:t>
            </w:r>
            <w:r>
              <w:rPr>
                <w:rFonts w:ascii="Arial" w:cs="Arial" w:eastAsia="Arial" w:hAnsi="Arial"/>
                <w:sz w:val="21"/>
                <w:szCs w:val="21"/>
                <w:b w:val="1"/>
                <w:bCs w:val="1"/>
                <w:color w:val="auto"/>
                <w:w w:val="97"/>
                <w:vertAlign w:val="superscript"/>
              </w:rPr>
              <w:t>(a)</w:t>
            </w:r>
          </w:p>
        </w:tc>
        <w:tc>
          <w:tcPr>
            <w:tcW w:w="240" w:type="dxa"/>
            <w:vAlign w:val="bottom"/>
          </w:tcPr>
          <w:p>
            <w:pPr>
              <w:spacing w:after="0"/>
              <w:rPr>
                <w:sz w:val="16"/>
                <w:szCs w:val="16"/>
                <w:color w:val="auto"/>
              </w:rPr>
            </w:pPr>
          </w:p>
        </w:tc>
        <w:tc>
          <w:tcPr>
            <w:tcW w:w="1160" w:type="dxa"/>
            <w:vAlign w:val="bottom"/>
          </w:tcPr>
          <w:p>
            <w:pPr>
              <w:jc w:val="center"/>
              <w:ind w:right="17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Level 2</w:t>
            </w:r>
          </w:p>
        </w:tc>
        <w:tc>
          <w:tcPr>
            <w:tcW w:w="9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Fair Value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2"/>
        </w:trPr>
        <w:tc>
          <w:tcPr>
            <w:tcW w:w="402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Common Collective Trust - Cash and Cash</w:t>
            </w:r>
          </w:p>
        </w:tc>
        <w:tc>
          <w:tcPr>
            <w:tcW w:w="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Equivalents</w:t>
            </w:r>
          </w:p>
        </w:tc>
        <w:tc>
          <w:tcPr>
            <w:tcW w:w="820" w:type="dxa"/>
            <w:vAlign w:val="bottom"/>
            <w:gridSpan w:val="2"/>
            <w:shd w:val="clear" w:color="auto" w:fill="CFF0FC"/>
          </w:tcPr>
          <w:p>
            <w:pPr>
              <w:jc w:val="right"/>
              <w:ind w:right="6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6,009</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6,009</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Common Collective Trust - Equity</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70,262</w:t>
            </w:r>
          </w:p>
        </w:tc>
        <w:tc>
          <w:tcPr>
            <w:tcW w:w="3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70,262</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70,262</w:t>
            </w:r>
          </w:p>
        </w:tc>
        <w:tc>
          <w:tcPr>
            <w:tcW w:w="0" w:type="dxa"/>
            <w:vAlign w:val="bottom"/>
          </w:tcPr>
          <w:p>
            <w:pPr>
              <w:spacing w:after="0"/>
              <w:rPr>
                <w:sz w:val="1"/>
                <w:szCs w:val="1"/>
                <w:color w:val="auto"/>
              </w:rPr>
            </w:pPr>
          </w:p>
        </w:tc>
      </w:tr>
      <w:tr>
        <w:trPr>
          <w:trHeight w:val="217"/>
        </w:trPr>
        <w:tc>
          <w:tcPr>
            <w:tcW w:w="4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Collective Trust - Fixed Income</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339,219</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339,219</w:t>
            </w: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339,219</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Common Collective Trust - Real Estate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30,407</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30,407</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Hedge Funds</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12,490</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82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415,490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415,490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42,897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458,387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1431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27" w:lineRule="exact"/>
        <w:rPr>
          <w:sz w:val="20"/>
          <w:szCs w:val="20"/>
          <w:color w:val="auto"/>
        </w:rPr>
      </w:pPr>
    </w:p>
    <w:p>
      <w:pPr>
        <w:ind w:left="520" w:right="160" w:hanging="512"/>
        <w:spacing w:after="0" w:line="263"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Non-pension Defined Benefit Postretirement Healthcare</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9"/>
              <w:spacing w:after="0" w:line="182" w:lineRule="exact"/>
              <w:rPr>
                <w:sz w:val="20"/>
                <w:szCs w:val="20"/>
                <w:color w:val="auto"/>
              </w:rPr>
            </w:pPr>
            <w:r>
              <w:rPr>
                <w:rFonts w:ascii="Arial" w:cs="Arial" w:eastAsia="Arial" w:hAnsi="Arial"/>
                <w:sz w:val="16"/>
                <w:szCs w:val="16"/>
                <w:b w:val="1"/>
                <w:bCs w:val="1"/>
                <w:color w:val="auto"/>
                <w:w w:val="99"/>
              </w:rPr>
              <w:t>Total</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Investments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Measured at Fair</w:t>
            </w:r>
          </w:p>
        </w:tc>
        <w:tc>
          <w:tcPr>
            <w:tcW w:w="340" w:type="dxa"/>
            <w:vAlign w:val="bottom"/>
          </w:tcPr>
          <w:p>
            <w:pPr>
              <w:spacing w:after="0"/>
              <w:rPr>
                <w:sz w:val="16"/>
                <w:szCs w:val="16"/>
                <w:color w:val="auto"/>
              </w:rPr>
            </w:pPr>
          </w:p>
        </w:tc>
        <w:tc>
          <w:tcPr>
            <w:tcW w:w="1020" w:type="dxa"/>
            <w:vAlign w:val="bottom"/>
          </w:tcPr>
          <w:p>
            <w:pPr>
              <w:jc w:val="center"/>
              <w:ind w:right="3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Value</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7,752</w:t>
            </w:r>
          </w:p>
        </w:tc>
        <w:tc>
          <w:tcPr>
            <w:tcW w:w="96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7,752</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7,752</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7,752</w:t>
            </w:r>
          </w:p>
        </w:tc>
        <w:tc>
          <w:tcPr>
            <w:tcW w:w="9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7,752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7,752</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Non-pension Defined Benefit Postretirement Healthcare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Plan</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9"/>
              <w:spacing w:after="0" w:line="182" w:lineRule="exact"/>
              <w:rPr>
                <w:sz w:val="20"/>
                <w:szCs w:val="20"/>
                <w:color w:val="auto"/>
              </w:rPr>
            </w:pPr>
            <w:r>
              <w:rPr>
                <w:rFonts w:ascii="Arial" w:cs="Arial" w:eastAsia="Arial" w:hAnsi="Arial"/>
                <w:sz w:val="16"/>
                <w:szCs w:val="16"/>
                <w:b w:val="1"/>
                <w:bCs w:val="1"/>
                <w:color w:val="auto"/>
                <w:w w:val="99"/>
              </w:rPr>
              <w:t>Total</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99"/>
              <w:spacing w:after="0"/>
              <w:rPr>
                <w:sz w:val="20"/>
                <w:szCs w:val="20"/>
                <w:color w:val="auto"/>
              </w:rPr>
            </w:pPr>
            <w:r>
              <w:rPr>
                <w:rFonts w:ascii="Arial" w:cs="Arial" w:eastAsia="Arial" w:hAnsi="Arial"/>
                <w:sz w:val="16"/>
                <w:szCs w:val="16"/>
                <w:b w:val="1"/>
                <w:bCs w:val="1"/>
                <w:color w:val="auto"/>
              </w:rPr>
              <w:t>Investments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Measured at Fair</w:t>
            </w:r>
          </w:p>
        </w:tc>
        <w:tc>
          <w:tcPr>
            <w:tcW w:w="340" w:type="dxa"/>
            <w:vAlign w:val="bottom"/>
          </w:tcPr>
          <w:p>
            <w:pPr>
              <w:spacing w:after="0"/>
              <w:rPr>
                <w:sz w:val="16"/>
                <w:szCs w:val="16"/>
                <w:color w:val="auto"/>
              </w:rPr>
            </w:pPr>
          </w:p>
        </w:tc>
        <w:tc>
          <w:tcPr>
            <w:tcW w:w="1020" w:type="dxa"/>
            <w:vAlign w:val="bottom"/>
          </w:tcPr>
          <w:p>
            <w:pPr>
              <w:jc w:val="center"/>
              <w:ind w:right="3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Value</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7,972</w:t>
            </w:r>
          </w:p>
        </w:tc>
        <w:tc>
          <w:tcPr>
            <w:tcW w:w="96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7,972</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7,972</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7,972</w:t>
            </w:r>
          </w:p>
        </w:tc>
        <w:tc>
          <w:tcPr>
            <w:tcW w:w="9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7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Pension Plan, which is based 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collective trust funds’ underlying assets. Unit values are determined by the financial institution sponsoring such funds by dividing the fund’s net assets at fair value by its units outstanding at the valuation dates. The Pension Plan’s investments in common collective trust funds, with the exception of shares of the common collective trust-real estate are categorized as Level 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94" w:lineRule="exact"/>
        <w:rPr>
          <w:sz w:val="20"/>
          <w:szCs w:val="20"/>
          <w:color w:val="auto"/>
        </w:rPr>
      </w:pPr>
    </w:p>
    <w:p>
      <w:pPr>
        <w:ind w:left="380" w:right="100"/>
        <w:spacing w:after="0" w:line="254"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w:t>
      </w:r>
    </w:p>
    <w:p>
      <w:pPr>
        <w:spacing w:after="0" w:line="155" w:lineRule="exact"/>
        <w:rPr>
          <w:sz w:val="20"/>
          <w:szCs w:val="20"/>
          <w:color w:val="auto"/>
        </w:rPr>
      </w:pPr>
    </w:p>
    <w:p>
      <w:pPr>
        <w:ind w:left="380" w:right="100"/>
        <w:spacing w:after="0" w:line="254"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10% of the shares may be redeemed at the end of each month with a 15-day notice and full redemptions are available at the end of each quarter with 60-day notice and is limited to a percentage of the total net assets value of the fund. The net asset values are based on the fair value of each fund’s underlying investments. There are no unfunded commitments related to these hedge funds.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Postretirement Healthcare Plan</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20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in the Consolidated Balance Sheets, accumulated benefit obligation, and reconciliation of components of the net periodic expense and elements of AOCI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gridSpan w:val="2"/>
          </w:tcPr>
          <w:p>
            <w:pPr>
              <w:spacing w:after="0"/>
              <w:rPr>
                <w:sz w:val="20"/>
                <w:szCs w:val="20"/>
                <w:color w:val="auto"/>
              </w:rPr>
            </w:pPr>
            <w:r>
              <w:rPr>
                <w:rFonts w:ascii="Arial" w:cs="Arial" w:eastAsia="Arial" w:hAnsi="Arial"/>
                <w:sz w:val="16"/>
                <w:szCs w:val="16"/>
                <w:color w:val="auto"/>
              </w:rPr>
              <w:t>Employee Benefit Plan Obligations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25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Supplemental Non-qualified</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Defined</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Defined Benefit Pension Plan</w:t>
            </w: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6"/>
                <w:szCs w:val="16"/>
                <w:b w:val="1"/>
                <w:bCs w:val="1"/>
                <w:color w:val="auto"/>
              </w:rPr>
              <w:t>Benefit Plans</w:t>
            </w:r>
          </w:p>
        </w:tc>
        <w:tc>
          <w:tcPr>
            <w:tcW w:w="27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Change in benefit obligation:</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Projected benefit obligation at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beginning of year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478,262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514,008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55,260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55,054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63,484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70,238</w:t>
            </w:r>
          </w:p>
        </w:tc>
        <w:tc>
          <w:tcPr>
            <w:tcW w:w="0" w:type="dxa"/>
            <w:vAlign w:val="bottom"/>
          </w:tcPr>
          <w:p>
            <w:pPr>
              <w:spacing w:after="0"/>
              <w:rPr>
                <w:sz w:val="1"/>
                <w:szCs w:val="1"/>
                <w:color w:val="auto"/>
              </w:rPr>
            </w:pPr>
          </w:p>
        </w:tc>
      </w:tr>
      <w:tr>
        <w:trPr>
          <w:trHeight w:val="217"/>
        </w:trPr>
        <w:tc>
          <w:tcPr>
            <w:tcW w:w="3040" w:type="dxa"/>
            <w:vAlign w:val="bottom"/>
            <w:gridSpan w:val="2"/>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Service cost </w:t>
            </w:r>
            <w:r>
              <w:rPr>
                <w:rFonts w:ascii="Arial" w:cs="Arial" w:eastAsia="Arial" w:hAnsi="Arial"/>
                <w:sz w:val="21"/>
                <w:szCs w:val="21"/>
                <w:color w:val="auto"/>
                <w:vertAlign w:val="superscript"/>
              </w:rPr>
              <w:t>(a)</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3,927</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5,038</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(801 )</w:t>
            </w: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3,149</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1,968</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10,819</w:t>
            </w:r>
          </w:p>
        </w:tc>
        <w:tc>
          <w:tcPr>
            <w:tcW w:w="3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9,313</w:t>
            </w:r>
          </w:p>
        </w:tc>
        <w:tc>
          <w:tcPr>
            <w:tcW w:w="18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834</w:t>
            </w:r>
          </w:p>
        </w:tc>
        <w:tc>
          <w:tcPr>
            <w:tcW w:w="36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706</w:t>
            </w:r>
          </w:p>
        </w:tc>
        <w:tc>
          <w:tcPr>
            <w:tcW w:w="1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1,285</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17"/>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Actuarial (gain) loss</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(97,960 )</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(14,037 )</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(7,007 )</w:t>
            </w: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(1,073 )</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(12,300 )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(5,165 )</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Amendments</w:t>
            </w:r>
          </w:p>
        </w:tc>
        <w:tc>
          <w:tcPr>
            <w:tcW w:w="12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(561 )</w:t>
            </w:r>
          </w:p>
        </w:tc>
        <w:tc>
          <w:tcPr>
            <w:tcW w:w="18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Benefits paid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(36,663 )</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(35,499 )</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(3,061 )</w:t>
            </w:r>
          </w:p>
        </w:tc>
        <w:tc>
          <w:tcPr>
            <w:tcW w:w="3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(2,576 )</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(6,131 )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(6,432 )</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6"/>
                <w:szCs w:val="16"/>
                <w:color w:val="auto"/>
              </w:rPr>
              <w:t>Plan participants’ contributions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1,419</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183"/>
        </w:trPr>
        <w:tc>
          <w:tcPr>
            <w:tcW w:w="304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6"/>
                <w:szCs w:val="16"/>
                <w:color w:val="auto"/>
              </w:rPr>
              <w:t>Projected benefit obligation at end of</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358,385</w:t>
            </w:r>
          </w:p>
        </w:tc>
        <w:tc>
          <w:tcPr>
            <w:tcW w:w="34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478,262</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45,225</w:t>
            </w:r>
          </w:p>
        </w:tc>
        <w:tc>
          <w:tcPr>
            <w:tcW w:w="36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55,260</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49,725</w:t>
            </w:r>
          </w:p>
        </w:tc>
        <w:tc>
          <w:tcPr>
            <w:tcW w:w="32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63,484</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FF0FC"/>
            </w:tcBorders>
            <w:gridSpan w:val="2"/>
            <w:shd w:val="clear" w:color="auto" w:fill="CFF0FC"/>
          </w:tcPr>
          <w:p>
            <w:pPr>
              <w:ind w:left="20"/>
              <w:spacing w:after="0" w:line="176" w:lineRule="exact"/>
              <w:rPr>
                <w:sz w:val="20"/>
                <w:szCs w:val="20"/>
                <w:color w:val="auto"/>
              </w:rPr>
            </w:pPr>
            <w:r>
              <w:rPr>
                <w:rFonts w:ascii="Arial" w:cs="Arial" w:eastAsia="Arial" w:hAnsi="Arial"/>
                <w:sz w:val="16"/>
                <w:szCs w:val="16"/>
                <w:color w:val="auto"/>
              </w:rPr>
              <w:t>year</w:t>
            </w: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1200" w:type="dxa"/>
            <w:vAlign w:val="bottom"/>
            <w:tcBorders>
              <w:bottom w:val="single" w:sz="8" w:color="auto"/>
            </w:tcBorders>
            <w:vMerge w:val="continue"/>
            <w:shd w:val="clear" w:color="auto" w:fill="CFF0FC"/>
          </w:tcPr>
          <w:p>
            <w:pPr>
              <w:spacing w:after="0"/>
              <w:rPr>
                <w:sz w:val="18"/>
                <w:szCs w:val="18"/>
                <w:color w:val="auto"/>
              </w:rPr>
            </w:pPr>
          </w:p>
        </w:tc>
        <w:tc>
          <w:tcPr>
            <w:tcW w:w="340" w:type="dxa"/>
            <w:vAlign w:val="bottom"/>
            <w:tcBorders>
              <w:bottom w:val="single" w:sz="8" w:color="auto"/>
            </w:tcBorders>
            <w:vMerge w:val="continue"/>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360" w:type="dxa"/>
            <w:vAlign w:val="bottom"/>
            <w:tcBorders>
              <w:bottom w:val="single" w:sz="8" w:color="auto"/>
            </w:tcBorders>
            <w:vMerge w:val="continue"/>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vMerge w:val="continue"/>
            <w:shd w:val="clear" w:color="auto" w:fill="CFF0FC"/>
          </w:tcPr>
          <w:p>
            <w:pPr>
              <w:spacing w:after="0"/>
              <w:rPr>
                <w:sz w:val="18"/>
                <w:szCs w:val="18"/>
                <w:color w:val="auto"/>
              </w:rPr>
            </w:pPr>
          </w:p>
        </w:tc>
        <w:tc>
          <w:tcPr>
            <w:tcW w:w="1180" w:type="dxa"/>
            <w:vAlign w:val="bottom"/>
            <w:tcBorders>
              <w:bottom w:val="single" w:sz="8" w:color="auto"/>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5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302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020" w:type="dxa"/>
            <w:vAlign w:val="bottom"/>
            <w:gridSpan w:val="3"/>
          </w:tcPr>
          <w:p>
            <w:pPr>
              <w:spacing w:after="0"/>
              <w:rPr>
                <w:sz w:val="20"/>
                <w:szCs w:val="20"/>
                <w:color w:val="auto"/>
              </w:rPr>
            </w:pPr>
            <w:r>
              <w:rPr>
                <w:rFonts w:ascii="Arial" w:cs="Arial" w:eastAsia="Arial" w:hAnsi="Arial"/>
                <w:sz w:val="16"/>
                <w:szCs w:val="16"/>
                <w:color w:val="auto"/>
              </w:rPr>
              <w:t>Fair Value Employee Benefit Plan Assets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rPr>
              <w:t>Supplemental Non-qualified</w:t>
            </w:r>
          </w:p>
        </w:tc>
        <w:tc>
          <w:tcPr>
            <w:tcW w:w="2640" w:type="dxa"/>
            <w:vAlign w:val="bottom"/>
            <w:gridSpan w:val="4"/>
            <w:vMerge w:val="restart"/>
          </w:tcPr>
          <w:p>
            <w:pPr>
              <w:jc w:val="right"/>
              <w:ind w:right="17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540" w:type="dxa"/>
            <w:vAlign w:val="bottom"/>
            <w:gridSpan w:val="3"/>
            <w:vMerge w:val="restart"/>
          </w:tcPr>
          <w:p>
            <w:pPr>
              <w:jc w:val="right"/>
              <w:ind w:right="799"/>
              <w:spacing w:after="0"/>
              <w:rPr>
                <w:sz w:val="20"/>
                <w:szCs w:val="20"/>
                <w:color w:val="auto"/>
              </w:rPr>
            </w:pPr>
            <w:r>
              <w:rPr>
                <w:rFonts w:ascii="Arial" w:cs="Arial" w:eastAsia="Arial" w:hAnsi="Arial"/>
                <w:sz w:val="16"/>
                <w:szCs w:val="16"/>
                <w:b w:val="1"/>
                <w:bCs w:val="1"/>
                <w:color w:val="auto"/>
              </w:rPr>
              <w:t>Defined Benefit</w:t>
            </w:r>
          </w:p>
        </w:tc>
        <w:tc>
          <w:tcPr>
            <w:tcW w:w="220" w:type="dxa"/>
            <w:vAlign w:val="bottom"/>
          </w:tcPr>
          <w:p>
            <w:pPr>
              <w:spacing w:after="0"/>
              <w:rPr>
                <w:sz w:val="5"/>
                <w:szCs w:val="5"/>
                <w:color w:val="auto"/>
              </w:rPr>
            </w:pPr>
          </w:p>
        </w:tc>
        <w:tc>
          <w:tcPr>
            <w:tcW w:w="1520" w:type="dxa"/>
            <w:vAlign w:val="bottom"/>
            <w:gridSpan w:val="2"/>
            <w:vMerge w:val="restart"/>
          </w:tcPr>
          <w:p>
            <w:pPr>
              <w:jc w:val="center"/>
              <w:ind w:left="639"/>
              <w:spacing w:after="0"/>
              <w:rPr>
                <w:sz w:val="20"/>
                <w:szCs w:val="20"/>
                <w:color w:val="auto"/>
              </w:rPr>
            </w:pPr>
            <w:r>
              <w:rPr>
                <w:rFonts w:ascii="Arial" w:cs="Arial" w:eastAsia="Arial" w:hAnsi="Arial"/>
                <w:sz w:val="16"/>
                <w:szCs w:val="16"/>
                <w:b w:val="1"/>
                <w:bCs w:val="1"/>
                <w:color w:val="auto"/>
              </w:rPr>
              <w:t>Defined</w:t>
            </w:r>
          </w:p>
        </w:tc>
        <w:tc>
          <w:tcPr>
            <w:tcW w:w="1060" w:type="dxa"/>
            <w:vAlign w:val="bottom"/>
          </w:tcPr>
          <w:p>
            <w:pPr>
              <w:spacing w:after="0"/>
              <w:rPr>
                <w:sz w:val="5"/>
                <w:szCs w:val="5"/>
                <w:color w:val="auto"/>
              </w:rPr>
            </w:pPr>
          </w:p>
        </w:tc>
        <w:tc>
          <w:tcPr>
            <w:tcW w:w="26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gridSpan w:val="4"/>
          </w:tcPr>
          <w:p>
            <w:pPr>
              <w:ind w:left="80"/>
              <w:spacing w:after="0" w:line="163" w:lineRule="exact"/>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gridSpan w:val="3"/>
            <w:vMerge w:val="restart"/>
          </w:tcPr>
          <w:p>
            <w:pPr>
              <w:jc w:val="right"/>
              <w:ind w:right="879"/>
              <w:spacing w:after="0" w:line="175" w:lineRule="exact"/>
              <w:rPr>
                <w:sz w:val="20"/>
                <w:szCs w:val="20"/>
                <w:color w:val="auto"/>
              </w:rPr>
            </w:pPr>
            <w:r>
              <w:rPr>
                <w:rFonts w:ascii="Arial" w:cs="Arial" w:eastAsia="Arial" w:hAnsi="Arial"/>
                <w:sz w:val="16"/>
                <w:szCs w:val="16"/>
                <w:b w:val="1"/>
                <w:bCs w:val="1"/>
                <w:color w:val="auto"/>
              </w:rPr>
              <w:t>Pension Plan</w:t>
            </w:r>
          </w:p>
        </w:tc>
        <w:tc>
          <w:tcPr>
            <w:tcW w:w="220" w:type="dxa"/>
            <w:vAlign w:val="bottom"/>
          </w:tcPr>
          <w:p>
            <w:pPr>
              <w:spacing w:after="0"/>
              <w:rPr>
                <w:sz w:val="10"/>
                <w:szCs w:val="10"/>
                <w:color w:val="auto"/>
              </w:rPr>
            </w:pPr>
          </w:p>
        </w:tc>
        <w:tc>
          <w:tcPr>
            <w:tcW w:w="2580" w:type="dxa"/>
            <w:vAlign w:val="bottom"/>
            <w:gridSpan w:val="3"/>
            <w:vMerge w:val="restart"/>
          </w:tcPr>
          <w:p>
            <w:pPr>
              <w:jc w:val="center"/>
              <w:ind w:right="219"/>
              <w:spacing w:after="0" w:line="175" w:lineRule="exact"/>
              <w:rPr>
                <w:sz w:val="20"/>
                <w:szCs w:val="20"/>
                <w:color w:val="auto"/>
              </w:rPr>
            </w:pPr>
            <w:r>
              <w:rPr>
                <w:rFonts w:ascii="Arial" w:cs="Arial" w:eastAsia="Arial" w:hAnsi="Arial"/>
                <w:sz w:val="16"/>
                <w:szCs w:val="16"/>
                <w:b w:val="1"/>
                <w:bCs w:val="1"/>
                <w:color w:val="auto"/>
              </w:rPr>
              <w:t>Benefit Plans</w:t>
            </w:r>
          </w:p>
        </w:tc>
        <w:tc>
          <w:tcPr>
            <w:tcW w:w="300" w:type="dxa"/>
            <w:vAlign w:val="bottom"/>
          </w:tcPr>
          <w:p>
            <w:pPr>
              <w:spacing w:after="0"/>
              <w:rPr>
                <w:sz w:val="10"/>
                <w:szCs w:val="10"/>
                <w:color w:val="auto"/>
              </w:rPr>
            </w:pPr>
          </w:p>
        </w:tc>
        <w:tc>
          <w:tcPr>
            <w:tcW w:w="10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gridSpan w:val="3"/>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gridSpan w:val="3"/>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0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 of December 31,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30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Change in fair value of plan assets: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20" w:type="dxa"/>
            <w:vAlign w:val="bottom"/>
            <w:gridSpan w:val="3"/>
          </w:tcPr>
          <w:p>
            <w:pPr>
              <w:ind w:left="20"/>
              <w:spacing w:after="0"/>
              <w:rPr>
                <w:sz w:val="20"/>
                <w:szCs w:val="20"/>
                <w:color w:val="auto"/>
              </w:rPr>
            </w:pPr>
            <w:r>
              <w:rPr>
                <w:rFonts w:ascii="Arial" w:cs="Arial" w:eastAsia="Arial" w:hAnsi="Arial"/>
                <w:sz w:val="16"/>
                <w:szCs w:val="16"/>
                <w:color w:val="auto"/>
              </w:rPr>
              <w:t>Beginning fair value of plan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458,387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473,721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7,972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8,165</w:t>
            </w:r>
          </w:p>
        </w:tc>
        <w:tc>
          <w:tcPr>
            <w:tcW w:w="0" w:type="dxa"/>
            <w:vAlign w:val="bottom"/>
          </w:tcPr>
          <w:p>
            <w:pPr>
              <w:spacing w:after="0"/>
              <w:rPr>
                <w:sz w:val="1"/>
                <w:szCs w:val="1"/>
                <w:color w:val="auto"/>
              </w:rPr>
            </w:pPr>
          </w:p>
        </w:tc>
      </w:tr>
      <w:tr>
        <w:trPr>
          <w:trHeight w:val="217"/>
        </w:trPr>
        <w:tc>
          <w:tcPr>
            <w:tcW w:w="30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Investment income (loss)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(98,585 )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20,165</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5"/>
        </w:trPr>
        <w:tc>
          <w:tcPr>
            <w:tcW w:w="3020" w:type="dxa"/>
            <w:vAlign w:val="bottom"/>
            <w:gridSpan w:val="3"/>
          </w:tcPr>
          <w:p>
            <w:pPr>
              <w:ind w:left="2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3,061</w:t>
            </w:r>
          </w:p>
        </w:tc>
        <w:tc>
          <w:tcPr>
            <w:tcW w:w="4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2,576</w:t>
            </w:r>
          </w:p>
        </w:tc>
        <w:tc>
          <w:tcPr>
            <w:tcW w:w="300" w:type="dxa"/>
            <w:vAlign w:val="bottom"/>
          </w:tcPr>
          <w:p>
            <w:pPr>
              <w:spacing w:after="0"/>
              <w:rPr>
                <w:sz w:val="18"/>
                <w:szCs w:val="18"/>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4,488</w:t>
            </w:r>
          </w:p>
        </w:tc>
        <w:tc>
          <w:tcPr>
            <w:tcW w:w="2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4,726</w:t>
            </w:r>
          </w:p>
        </w:tc>
        <w:tc>
          <w:tcPr>
            <w:tcW w:w="0" w:type="dxa"/>
            <w:vAlign w:val="bottom"/>
          </w:tcPr>
          <w:p>
            <w:pPr>
              <w:spacing w:after="0"/>
              <w:rPr>
                <w:sz w:val="1"/>
                <w:szCs w:val="1"/>
                <w:color w:val="auto"/>
              </w:rPr>
            </w:pPr>
          </w:p>
        </w:tc>
      </w:tr>
      <w:tr>
        <w:trPr>
          <w:trHeight w:val="217"/>
        </w:trPr>
        <w:tc>
          <w:tcPr>
            <w:tcW w:w="30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Retiree contributions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1,419</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15"/>
        </w:trPr>
        <w:tc>
          <w:tcPr>
            <w:tcW w:w="3020" w:type="dxa"/>
            <w:vAlign w:val="bottom"/>
            <w:gridSpan w:val="3"/>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(36,661 )</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(35,499 )</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(3,061 )</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(2,576 )</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(6,131 )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(6,432 )</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Ending fair value of plan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323,141</w:t>
            </w:r>
          </w:p>
        </w:tc>
        <w:tc>
          <w:tcPr>
            <w:tcW w:w="3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458,387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7,752</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Assets of VEBA trusts.</w:t>
      </w:r>
    </w:p>
    <w:p>
      <w:pPr>
        <w:spacing w:after="0" w:line="18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capital markets volatility had a limited impact to our unfunded status.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Amounts Recognized in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Supplemental</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gridSpan w:val="5"/>
          </w:tcPr>
          <w:p>
            <w:pPr>
              <w:ind w:left="140"/>
              <w:spacing w:after="0"/>
              <w:rPr>
                <w:sz w:val="20"/>
                <w:szCs w:val="20"/>
                <w:color w:val="auto"/>
              </w:rPr>
            </w:pPr>
            <w:r>
              <w:rPr>
                <w:rFonts w:ascii="Arial" w:cs="Arial" w:eastAsia="Arial" w:hAnsi="Arial"/>
                <w:sz w:val="16"/>
                <w:szCs w:val="16"/>
                <w:b w:val="1"/>
                <w:bCs w:val="1"/>
                <w:color w:val="auto"/>
              </w:rPr>
              <w:t>Defined Benefit</w:t>
            </w:r>
          </w:p>
        </w:tc>
        <w:tc>
          <w:tcPr>
            <w:tcW w:w="14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6"/>
                <w:szCs w:val="16"/>
                <w:b w:val="1"/>
                <w:bCs w:val="1"/>
                <w:color w:val="auto"/>
              </w:rPr>
              <w:t>Non-qualified Defined Benefit</w:t>
            </w:r>
          </w:p>
        </w:tc>
        <w:tc>
          <w:tcPr>
            <w:tcW w:w="260" w:type="dxa"/>
            <w:vAlign w:val="bottom"/>
          </w:tcPr>
          <w:p>
            <w:pPr>
              <w:spacing w:after="0"/>
              <w:rPr>
                <w:sz w:val="16"/>
                <w:szCs w:val="16"/>
                <w:color w:val="auto"/>
              </w:rPr>
            </w:pPr>
          </w:p>
        </w:tc>
        <w:tc>
          <w:tcPr>
            <w:tcW w:w="2640" w:type="dxa"/>
            <w:vAlign w:val="bottom"/>
            <w:gridSpan w:val="5"/>
          </w:tcPr>
          <w:p>
            <w:pPr>
              <w:jc w:val="right"/>
              <w:ind w:right="264"/>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Pension Plan</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6"/>
                <w:szCs w:val="16"/>
                <w:b w:val="1"/>
                <w:bCs w:val="1"/>
                <w:color w:val="auto"/>
                <w:w w:val="98"/>
              </w:rPr>
              <w:t>Plans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b w:val="1"/>
                <w:bCs w:val="1"/>
                <w:color w:val="auto"/>
                <w:w w:val="95"/>
              </w:rPr>
              <w:t>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assets</w:t>
            </w:r>
          </w:p>
        </w:tc>
        <w:tc>
          <w:tcPr>
            <w:tcW w:w="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78,654</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67,403</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4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3,788</w:t>
            </w:r>
          </w:p>
        </w:tc>
        <w:tc>
          <w:tcPr>
            <w:tcW w:w="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11,660</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2,231</w:t>
            </w:r>
          </w:p>
        </w:tc>
        <w:tc>
          <w:tcPr>
            <w:tcW w:w="4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2,156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4,427</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17"/>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4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35,243</w:t>
            </w:r>
          </w:p>
        </w:tc>
        <w:tc>
          <w:tcPr>
            <w:tcW w:w="100" w:type="dxa"/>
            <w:vAlign w:val="bottom"/>
          </w:tcPr>
          <w:p>
            <w:pPr>
              <w:spacing w:after="0"/>
              <w:rPr>
                <w:sz w:val="18"/>
                <w:szCs w:val="18"/>
                <w:color w:val="auto"/>
              </w:rPr>
            </w:pPr>
          </w:p>
        </w:tc>
        <w:tc>
          <w:tcPr>
            <w:tcW w:w="4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19,872</w:t>
            </w:r>
          </w:p>
        </w:tc>
        <w:tc>
          <w:tcPr>
            <w:tcW w:w="140" w:type="dxa"/>
            <w:vAlign w:val="bottom"/>
          </w:tcPr>
          <w:p>
            <w:pPr>
              <w:spacing w:after="0"/>
              <w:rPr>
                <w:sz w:val="18"/>
                <w:szCs w:val="18"/>
                <w:color w:val="auto"/>
              </w:rPr>
            </w:pPr>
          </w:p>
        </w:tc>
        <w:tc>
          <w:tcPr>
            <w:tcW w:w="76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42,994</w:t>
            </w:r>
          </w:p>
        </w:tc>
        <w:tc>
          <w:tcPr>
            <w:tcW w:w="4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53,104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38,505</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8"/>
                <w:szCs w:val="18"/>
                <w:color w:val="auto"/>
              </w:rPr>
            </w:pPr>
          </w:p>
        </w:tc>
        <w:tc>
          <w:tcPr>
            <w:tcW w:w="740" w:type="dxa"/>
            <w:vAlign w:val="bottom"/>
          </w:tcPr>
          <w:p>
            <w:pPr>
              <w:jc w:val="right"/>
              <w:ind w:right="44"/>
              <w:spacing w:after="0"/>
              <w:rPr>
                <w:sz w:val="20"/>
                <w:szCs w:val="20"/>
                <w:color w:val="auto"/>
              </w:rPr>
            </w:pPr>
            <w:r>
              <w:rPr>
                <w:rFonts w:ascii="Arial" w:cs="Arial" w:eastAsia="Arial" w:hAnsi="Arial"/>
                <w:sz w:val="16"/>
                <w:szCs w:val="16"/>
                <w:color w:val="auto"/>
              </w:rPr>
              <w:t>50,949</w:t>
            </w:r>
          </w:p>
        </w:tc>
        <w:tc>
          <w:tcPr>
            <w:tcW w:w="0" w:type="dxa"/>
            <w:vAlign w:val="bottom"/>
          </w:tcPr>
          <w:p>
            <w:pPr>
              <w:spacing w:after="0"/>
              <w:rPr>
                <w:sz w:val="1"/>
                <w:szCs w:val="1"/>
                <w:color w:val="auto"/>
              </w:rPr>
            </w:pPr>
          </w:p>
        </w:tc>
      </w:tr>
      <w:tr>
        <w:trPr>
          <w:trHeight w:val="217"/>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Regulatory liabilities</w:t>
            </w:r>
          </w:p>
        </w:tc>
        <w:tc>
          <w:tcPr>
            <w:tcW w:w="200" w:type="dxa"/>
            <w:vAlign w:val="bottom"/>
            <w:shd w:val="clear" w:color="auto" w:fill="CFF0FC"/>
          </w:tcPr>
          <w:p>
            <w:pPr>
              <w:spacing w:after="0"/>
              <w:rPr>
                <w:sz w:val="18"/>
                <w:szCs w:val="18"/>
                <w:color w:val="auto"/>
              </w:rPr>
            </w:pPr>
          </w:p>
        </w:tc>
        <w:tc>
          <w:tcPr>
            <w:tcW w:w="6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2,804</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3,830</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4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6,198</w:t>
            </w:r>
          </w:p>
        </w:tc>
        <w:tc>
          <w:tcPr>
            <w:tcW w:w="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351"/>
        </w:trPr>
        <w:tc>
          <w:tcPr>
            <w:tcW w:w="2400" w:type="dxa"/>
            <w:vAlign w:val="bottom"/>
            <w:gridSpan w:val="2"/>
          </w:tcPr>
          <w:p>
            <w:pPr>
              <w:spacing w:after="0"/>
              <w:rPr>
                <w:sz w:val="20"/>
                <w:szCs w:val="20"/>
                <w:color w:val="auto"/>
              </w:rPr>
            </w:pPr>
            <w:r>
              <w:rPr>
                <w:rFonts w:ascii="Arial" w:cs="Arial" w:eastAsia="Arial" w:hAnsi="Arial"/>
                <w:sz w:val="16"/>
                <w:szCs w:val="16"/>
                <w:color w:val="auto"/>
              </w:rPr>
              <w:t>Accumulated Benefit Obligation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2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b w:val="1"/>
                <w:bCs w:val="1"/>
                <w:color w:val="auto"/>
              </w:rPr>
              <w:t>Supplemental</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gridSpan w:val="5"/>
          </w:tcPr>
          <w:p>
            <w:pPr>
              <w:ind w:left="160"/>
              <w:spacing w:after="0"/>
              <w:rPr>
                <w:sz w:val="20"/>
                <w:szCs w:val="20"/>
                <w:color w:val="auto"/>
              </w:rPr>
            </w:pPr>
            <w:r>
              <w:rPr>
                <w:rFonts w:ascii="Arial" w:cs="Arial" w:eastAsia="Arial" w:hAnsi="Arial"/>
                <w:sz w:val="16"/>
                <w:szCs w:val="16"/>
                <w:b w:val="1"/>
                <w:bCs w:val="1"/>
                <w:color w:val="auto"/>
              </w:rPr>
              <w:t>Defined Benefit</w:t>
            </w:r>
          </w:p>
        </w:tc>
        <w:tc>
          <w:tcPr>
            <w:tcW w:w="14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6"/>
                <w:szCs w:val="16"/>
                <w:b w:val="1"/>
                <w:bCs w:val="1"/>
                <w:color w:val="auto"/>
              </w:rPr>
              <w:t>Non-qualified Defined Benefit</w:t>
            </w:r>
          </w:p>
        </w:tc>
        <w:tc>
          <w:tcPr>
            <w:tcW w:w="260" w:type="dxa"/>
            <w:vAlign w:val="bottom"/>
          </w:tcPr>
          <w:p>
            <w:pPr>
              <w:spacing w:after="0"/>
              <w:rPr>
                <w:sz w:val="16"/>
                <w:szCs w:val="16"/>
                <w:color w:val="auto"/>
              </w:rPr>
            </w:pPr>
          </w:p>
        </w:tc>
        <w:tc>
          <w:tcPr>
            <w:tcW w:w="2640" w:type="dxa"/>
            <w:vAlign w:val="bottom"/>
            <w:gridSpan w:val="5"/>
          </w:tcPr>
          <w:p>
            <w:pPr>
              <w:jc w:val="right"/>
              <w:ind w:right="264"/>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Pension Plan</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b w:val="1"/>
                <w:bCs w:val="1"/>
                <w:color w:val="auto"/>
              </w:rPr>
              <w:t>Plans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210"/>
        </w:trPr>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As of December 31,</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6"/>
                <w:szCs w:val="16"/>
                <w:b w:val="1"/>
                <w:bCs w:val="1"/>
                <w:color w:val="auto"/>
                <w:w w:val="95"/>
              </w:rPr>
              <w:t>2021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Accumulated Benefit Obligation</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6"/>
                <w:szCs w:val="16"/>
                <w:color w:val="auto"/>
              </w:rPr>
              <w:t>350,187</w:t>
            </w:r>
          </w:p>
        </w:tc>
        <w:tc>
          <w:tcPr>
            <w:tcW w:w="4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466,505</w:t>
            </w: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3"/>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45,225</w:t>
            </w:r>
          </w:p>
        </w:tc>
        <w:tc>
          <w:tcPr>
            <w:tcW w:w="4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55,260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49,725</w:t>
            </w:r>
          </w:p>
        </w:tc>
        <w:tc>
          <w:tcPr>
            <w:tcW w:w="5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63,484</w:t>
            </w:r>
          </w:p>
        </w:tc>
        <w:tc>
          <w:tcPr>
            <w:tcW w:w="0" w:type="dxa"/>
            <w:vAlign w:val="bottom"/>
          </w:tcPr>
          <w:p>
            <w:pPr>
              <w:spacing w:after="0"/>
              <w:rPr>
                <w:sz w:val="1"/>
                <w:szCs w:val="1"/>
                <w:color w:val="auto"/>
              </w:rPr>
            </w:pPr>
          </w:p>
        </w:tc>
      </w:tr>
      <w:tr>
        <w:trPr>
          <w:trHeight w:val="345"/>
        </w:trPr>
        <w:tc>
          <w:tcPr>
            <w:tcW w:w="3260" w:type="dxa"/>
            <w:vAlign w:val="bottom"/>
            <w:gridSpan w:val="6"/>
          </w:tcPr>
          <w:p>
            <w:pPr>
              <w:spacing w:after="0"/>
              <w:rPr>
                <w:sz w:val="20"/>
                <w:szCs w:val="20"/>
                <w:color w:val="auto"/>
              </w:rPr>
            </w:pPr>
            <w:r>
              <w:rPr>
                <w:rFonts w:ascii="Arial" w:cs="Arial" w:eastAsia="Arial" w:hAnsi="Arial"/>
                <w:sz w:val="16"/>
                <w:szCs w:val="16"/>
                <w:color w:val="auto"/>
              </w:rPr>
              <w:t>Components of Net Periodic Expense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Defined Benefit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Supplemental</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5"/>
          </w:tcPr>
          <w:p>
            <w:pPr>
              <w:jc w:val="center"/>
              <w:ind w:right="284"/>
              <w:spacing w:after="0"/>
              <w:rPr>
                <w:sz w:val="20"/>
                <w:szCs w:val="20"/>
                <w:color w:val="auto"/>
              </w:rPr>
            </w:pPr>
            <w:r>
              <w:rPr>
                <w:rFonts w:ascii="Arial" w:cs="Arial" w:eastAsia="Arial" w:hAnsi="Arial"/>
                <w:sz w:val="14"/>
                <w:szCs w:val="14"/>
                <w:b w:val="1"/>
                <w:bCs w:val="1"/>
                <w:color w:val="auto"/>
              </w:rPr>
              <w:t>Non-pension Defined Benefit</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Pension Plan</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right="164"/>
              <w:spacing w:after="0"/>
              <w:rPr>
                <w:sz w:val="20"/>
                <w:szCs w:val="20"/>
                <w:color w:val="auto"/>
              </w:rPr>
            </w:pPr>
            <w:r>
              <w:rPr>
                <w:rFonts w:ascii="Arial" w:cs="Arial" w:eastAsia="Arial" w:hAnsi="Arial"/>
                <w:sz w:val="14"/>
                <w:szCs w:val="14"/>
                <w:b w:val="1"/>
                <w:bCs w:val="1"/>
                <w:color w:val="auto"/>
              </w:rPr>
              <w:t>Non-qualified Defined Benefit Plans</w:t>
            </w: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244"/>
              <w:spacing w:after="0"/>
              <w:rPr>
                <w:sz w:val="20"/>
                <w:szCs w:val="20"/>
                <w:color w:val="auto"/>
              </w:rPr>
            </w:pPr>
            <w:r>
              <w:rPr>
                <w:rFonts w:ascii="Arial" w:cs="Arial" w:eastAsia="Arial" w:hAnsi="Arial"/>
                <w:sz w:val="14"/>
                <w:szCs w:val="14"/>
                <w:b w:val="1"/>
                <w:bCs w:val="1"/>
                <w:color w:val="auto"/>
              </w:rPr>
              <w:t>Postretirement Healthcare Plan</w:t>
            </w:r>
          </w:p>
        </w:tc>
        <w:tc>
          <w:tcPr>
            <w:tcW w:w="0" w:type="dxa"/>
            <w:vAlign w:val="bottom"/>
          </w:tcPr>
          <w:p>
            <w:pPr>
              <w:spacing w:after="0"/>
              <w:rPr>
                <w:sz w:val="1"/>
                <w:szCs w:val="1"/>
                <w:color w:val="auto"/>
              </w:rPr>
            </w:pPr>
          </w:p>
        </w:tc>
      </w:tr>
      <w:tr>
        <w:trPr>
          <w:trHeight w:val="160"/>
        </w:trPr>
        <w:tc>
          <w:tcPr>
            <w:tcW w:w="24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For the years ended December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31,</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center"/>
              <w:ind w:right="22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gridSpan w:val="2"/>
          </w:tcPr>
          <w:p>
            <w:pPr>
              <w:jc w:val="center"/>
              <w:ind w:right="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Service cost</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3,927</w:t>
            </w:r>
          </w:p>
        </w:tc>
        <w:tc>
          <w:tcPr>
            <w:tcW w:w="5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1"/>
              <w:spacing w:after="0"/>
              <w:rPr>
                <w:sz w:val="20"/>
                <w:szCs w:val="20"/>
                <w:color w:val="auto"/>
              </w:rPr>
            </w:pPr>
            <w:r>
              <w:rPr>
                <w:rFonts w:ascii="Arial" w:cs="Arial" w:eastAsia="Arial" w:hAnsi="Arial"/>
                <w:sz w:val="14"/>
                <w:szCs w:val="14"/>
                <w:color w:val="auto"/>
              </w:rPr>
              <w:t>5,038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123"/>
              <w:spacing w:after="0"/>
              <w:rPr>
                <w:sz w:val="20"/>
                <w:szCs w:val="20"/>
                <w:color w:val="auto"/>
              </w:rPr>
            </w:pPr>
            <w:r>
              <w:rPr>
                <w:rFonts w:ascii="Arial" w:cs="Arial" w:eastAsia="Arial" w:hAnsi="Arial"/>
                <w:sz w:val="14"/>
                <w:szCs w:val="14"/>
                <w:color w:val="auto"/>
              </w:rPr>
              <w:t>5,411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(801 )</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2"/>
              <w:spacing w:after="0"/>
              <w:rPr>
                <w:sz w:val="20"/>
                <w:szCs w:val="20"/>
                <w:color w:val="auto"/>
              </w:rPr>
            </w:pPr>
            <w:r>
              <w:rPr>
                <w:rFonts w:ascii="Arial" w:cs="Arial" w:eastAsia="Arial" w:hAnsi="Arial"/>
                <w:sz w:val="14"/>
                <w:szCs w:val="14"/>
                <w:color w:val="auto"/>
              </w:rPr>
              <w:t>3,149</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1,579</w:t>
            </w:r>
          </w:p>
        </w:tc>
        <w:tc>
          <w:tcPr>
            <w:tcW w:w="260" w:type="dxa"/>
            <w:vAlign w:val="bottom"/>
            <w:shd w:val="clear" w:color="auto" w:fill="CFF0FC"/>
          </w:tcPr>
          <w:p>
            <w:pPr>
              <w:jc w:val="right"/>
              <w:ind w:right="41"/>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1,968</w:t>
            </w:r>
          </w:p>
        </w:tc>
        <w:tc>
          <w:tcPr>
            <w:tcW w:w="440" w:type="dxa"/>
            <w:vAlign w:val="bottom"/>
            <w:shd w:val="clear" w:color="auto" w:fill="CFF0FC"/>
          </w:tcPr>
          <w:p>
            <w:pPr>
              <w:jc w:val="right"/>
              <w:ind w:right="223"/>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ind w:right="64"/>
              <w:spacing w:after="0"/>
              <w:rPr>
                <w:sz w:val="20"/>
                <w:szCs w:val="20"/>
                <w:color w:val="auto"/>
              </w:rPr>
            </w:pPr>
            <w:r>
              <w:rPr>
                <w:rFonts w:ascii="Arial" w:cs="Arial" w:eastAsia="Arial" w:hAnsi="Arial"/>
                <w:sz w:val="14"/>
                <w:szCs w:val="14"/>
                <w:color w:val="auto"/>
              </w:rPr>
              <w:t>2,237</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4"/>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89"/>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200" w:type="dxa"/>
            <w:vAlign w:val="bottom"/>
          </w:tcPr>
          <w:p>
            <w:pPr>
              <w:spacing w:after="0"/>
              <w:rPr>
                <w:sz w:val="16"/>
                <w:szCs w:val="16"/>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10,819</w:t>
            </w:r>
          </w:p>
        </w:tc>
        <w:tc>
          <w:tcPr>
            <w:tcW w:w="560" w:type="dxa"/>
            <w:vAlign w:val="bottom"/>
          </w:tcPr>
          <w:p>
            <w:pPr>
              <w:spacing w:after="0"/>
              <w:rPr>
                <w:sz w:val="16"/>
                <w:szCs w:val="16"/>
                <w:color w:val="auto"/>
              </w:rPr>
            </w:pPr>
          </w:p>
        </w:tc>
        <w:tc>
          <w:tcPr>
            <w:tcW w:w="580" w:type="dxa"/>
            <w:vAlign w:val="bottom"/>
            <w:gridSpan w:val="2"/>
          </w:tcPr>
          <w:p>
            <w:pPr>
              <w:jc w:val="right"/>
              <w:ind w:right="121"/>
              <w:spacing w:after="0"/>
              <w:rPr>
                <w:sz w:val="20"/>
                <w:szCs w:val="20"/>
                <w:color w:val="auto"/>
              </w:rPr>
            </w:pPr>
            <w:r>
              <w:rPr>
                <w:rFonts w:ascii="Arial" w:cs="Arial" w:eastAsia="Arial" w:hAnsi="Arial"/>
                <w:sz w:val="14"/>
                <w:szCs w:val="14"/>
                <w:color w:val="auto"/>
              </w:rPr>
              <w:t>9,313</w:t>
            </w:r>
          </w:p>
        </w:tc>
        <w:tc>
          <w:tcPr>
            <w:tcW w:w="14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Arial" w:cs="Arial" w:eastAsia="Arial" w:hAnsi="Arial"/>
                <w:sz w:val="14"/>
                <w:szCs w:val="14"/>
                <w:color w:val="auto"/>
              </w:rPr>
              <w:t>13,426</w:t>
            </w:r>
          </w:p>
        </w:tc>
        <w:tc>
          <w:tcPr>
            <w:tcW w:w="14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4"/>
                <w:szCs w:val="14"/>
                <w:color w:val="auto"/>
              </w:rPr>
              <w:t>834</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4"/>
                <w:szCs w:val="14"/>
                <w:color w:val="auto"/>
              </w:rPr>
              <w:t>706</w:t>
            </w:r>
          </w:p>
        </w:tc>
        <w:tc>
          <w:tcPr>
            <w:tcW w:w="160" w:type="dxa"/>
            <w:vAlign w:val="bottom"/>
          </w:tcPr>
          <w:p>
            <w:pPr>
              <w:spacing w:after="0"/>
              <w:rPr>
                <w:sz w:val="16"/>
                <w:szCs w:val="16"/>
                <w:color w:val="auto"/>
              </w:rPr>
            </w:pPr>
          </w:p>
        </w:tc>
        <w:tc>
          <w:tcPr>
            <w:tcW w:w="820" w:type="dxa"/>
            <w:vAlign w:val="bottom"/>
          </w:tcPr>
          <w:p>
            <w:pPr>
              <w:jc w:val="right"/>
              <w:ind w:right="84"/>
              <w:spacing w:after="0"/>
              <w:rPr>
                <w:sz w:val="20"/>
                <w:szCs w:val="20"/>
                <w:color w:val="auto"/>
              </w:rPr>
            </w:pPr>
            <w:r>
              <w:rPr>
                <w:rFonts w:ascii="Arial" w:cs="Arial" w:eastAsia="Arial" w:hAnsi="Arial"/>
                <w:sz w:val="14"/>
                <w:szCs w:val="14"/>
                <w:color w:val="auto"/>
              </w:rPr>
              <w:t>1,099</w:t>
            </w:r>
          </w:p>
        </w:tc>
        <w:tc>
          <w:tcPr>
            <w:tcW w:w="260" w:type="dxa"/>
            <w:vAlign w:val="bottom"/>
          </w:tcPr>
          <w:p>
            <w:pPr>
              <w:spacing w:after="0"/>
              <w:rPr>
                <w:sz w:val="16"/>
                <w:szCs w:val="16"/>
                <w:color w:val="auto"/>
              </w:rPr>
            </w:pPr>
          </w:p>
        </w:tc>
        <w:tc>
          <w:tcPr>
            <w:tcW w:w="720" w:type="dxa"/>
            <w:vAlign w:val="bottom"/>
          </w:tcPr>
          <w:p>
            <w:pPr>
              <w:jc w:val="right"/>
              <w:ind w:right="84"/>
              <w:spacing w:after="0"/>
              <w:rPr>
                <w:sz w:val="20"/>
                <w:szCs w:val="20"/>
                <w:color w:val="auto"/>
              </w:rPr>
            </w:pPr>
            <w:r>
              <w:rPr>
                <w:rFonts w:ascii="Arial" w:cs="Arial" w:eastAsia="Arial" w:hAnsi="Arial"/>
                <w:sz w:val="14"/>
                <w:szCs w:val="14"/>
                <w:color w:val="auto"/>
              </w:rPr>
              <w:t>1,285</w:t>
            </w:r>
          </w:p>
        </w:tc>
        <w:tc>
          <w:tcPr>
            <w:tcW w:w="440" w:type="dxa"/>
            <w:vAlign w:val="bottom"/>
          </w:tcPr>
          <w:p>
            <w:pPr>
              <w:spacing w:after="0"/>
              <w:rPr>
                <w:sz w:val="16"/>
                <w:szCs w:val="16"/>
                <w:color w:val="auto"/>
              </w:rPr>
            </w:pPr>
          </w:p>
        </w:tc>
        <w:tc>
          <w:tcPr>
            <w:tcW w:w="520" w:type="dxa"/>
            <w:vAlign w:val="bottom"/>
          </w:tcPr>
          <w:p>
            <w:pPr>
              <w:jc w:val="right"/>
              <w:ind w:right="64"/>
              <w:spacing w:after="0"/>
              <w:rPr>
                <w:sz w:val="20"/>
                <w:szCs w:val="20"/>
                <w:color w:val="auto"/>
              </w:rPr>
            </w:pPr>
            <w:r>
              <w:rPr>
                <w:rFonts w:ascii="Arial" w:cs="Arial" w:eastAsia="Arial" w:hAnsi="Arial"/>
                <w:sz w:val="14"/>
                <w:szCs w:val="14"/>
                <w:color w:val="auto"/>
              </w:rPr>
              <w:t>1,058</w:t>
            </w:r>
          </w:p>
        </w:tc>
        <w:tc>
          <w:tcPr>
            <w:tcW w:w="22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Expected return on assets</w:t>
            </w:r>
          </w:p>
        </w:tc>
        <w:tc>
          <w:tcPr>
            <w:tcW w:w="2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(18,523 )</w:t>
            </w:r>
          </w:p>
        </w:tc>
        <w:tc>
          <w:tcPr>
            <w:tcW w:w="1140" w:type="dxa"/>
            <w:vAlign w:val="bottom"/>
            <w:gridSpan w:val="3"/>
            <w:shd w:val="clear" w:color="auto" w:fill="CFF0FC"/>
          </w:tcPr>
          <w:p>
            <w:pPr>
              <w:jc w:val="right"/>
              <w:ind w:right="41"/>
              <w:spacing w:after="0"/>
              <w:rPr>
                <w:sz w:val="20"/>
                <w:szCs w:val="20"/>
                <w:color w:val="auto"/>
              </w:rPr>
            </w:pPr>
            <w:r>
              <w:rPr>
                <w:rFonts w:ascii="Arial" w:cs="Arial" w:eastAsia="Arial" w:hAnsi="Arial"/>
                <w:sz w:val="14"/>
                <w:szCs w:val="14"/>
                <w:color w:val="auto"/>
              </w:rPr>
              <w:t>(20,876 )</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63"/>
              <w:spacing w:after="0"/>
              <w:rPr>
                <w:sz w:val="20"/>
                <w:szCs w:val="20"/>
                <w:color w:val="auto"/>
              </w:rPr>
            </w:pPr>
            <w:r>
              <w:rPr>
                <w:rFonts w:ascii="Arial" w:cs="Arial" w:eastAsia="Arial" w:hAnsi="Arial"/>
                <w:sz w:val="14"/>
                <w:szCs w:val="14"/>
                <w:color w:val="auto"/>
              </w:rPr>
              <w:t>(22,591 )</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62"/>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84"/>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
              <w:spacing w:after="0"/>
              <w:rPr>
                <w:sz w:val="20"/>
                <w:szCs w:val="20"/>
                <w:color w:val="auto"/>
              </w:rPr>
            </w:pPr>
            <w:r>
              <w:rPr>
                <w:rFonts w:ascii="Arial" w:cs="Arial" w:eastAsia="Arial" w:hAnsi="Arial"/>
                <w:sz w:val="14"/>
                <w:szCs w:val="14"/>
                <w:color w:val="auto"/>
              </w:rPr>
              <w:t>(125 )</w:t>
            </w:r>
          </w:p>
        </w:tc>
        <w:tc>
          <w:tcPr>
            <w:tcW w:w="4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
              <w:spacing w:after="0"/>
              <w:rPr>
                <w:sz w:val="20"/>
                <w:szCs w:val="20"/>
                <w:color w:val="auto"/>
              </w:rPr>
            </w:pPr>
            <w:r>
              <w:rPr>
                <w:rFonts w:ascii="Arial" w:cs="Arial" w:eastAsia="Arial" w:hAnsi="Arial"/>
                <w:sz w:val="14"/>
                <w:szCs w:val="14"/>
                <w:color w:val="auto"/>
              </w:rPr>
              <w:t>(136 )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166"/>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Net amortization of prior service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cost</w:t>
            </w:r>
          </w:p>
        </w:tc>
        <w:tc>
          <w:tcPr>
            <w:tcW w:w="20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(68 )</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121"/>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12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ind w:right="6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84"/>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4"/>
                <w:szCs w:val="14"/>
                <w:color w:val="auto"/>
              </w:rPr>
              <w:t>(289 )</w:t>
            </w:r>
          </w:p>
        </w:tc>
        <w:tc>
          <w:tcPr>
            <w:tcW w:w="440" w:type="dxa"/>
            <w:vAlign w:val="bottom"/>
          </w:tcPr>
          <w:p>
            <w:pPr>
              <w:spacing w:after="0"/>
              <w:rPr>
                <w:sz w:val="16"/>
                <w:szCs w:val="16"/>
                <w:color w:val="auto"/>
              </w:rPr>
            </w:pPr>
          </w:p>
        </w:tc>
        <w:tc>
          <w:tcPr>
            <w:tcW w:w="520" w:type="dxa"/>
            <w:vAlign w:val="bottom"/>
          </w:tcPr>
          <w:p>
            <w:pPr>
              <w:jc w:val="right"/>
              <w:ind w:right="4"/>
              <w:spacing w:after="0"/>
              <w:rPr>
                <w:sz w:val="20"/>
                <w:szCs w:val="20"/>
                <w:color w:val="auto"/>
              </w:rPr>
            </w:pPr>
            <w:r>
              <w:rPr>
                <w:rFonts w:ascii="Arial" w:cs="Arial" w:eastAsia="Arial" w:hAnsi="Arial"/>
                <w:sz w:val="14"/>
                <w:szCs w:val="14"/>
                <w:color w:val="auto"/>
              </w:rPr>
              <w:t>(434 )</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(546 )</w:t>
            </w: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Recognized net actuarial loss</w:t>
            </w:r>
          </w:p>
        </w:tc>
        <w:tc>
          <w:tcPr>
            <w:tcW w:w="200" w:type="dxa"/>
            <w:vAlign w:val="bottom"/>
            <w:shd w:val="clear" w:color="auto" w:fill="CFF0FC"/>
          </w:tcPr>
          <w:p>
            <w:pPr>
              <w:spacing w:after="0"/>
              <w:rPr>
                <w:sz w:val="14"/>
                <w:szCs w:val="14"/>
                <w:color w:val="auto"/>
              </w:rPr>
            </w:pPr>
          </w:p>
        </w:tc>
        <w:tc>
          <w:tcPr>
            <w:tcW w:w="66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6,092</w:t>
            </w:r>
          </w:p>
        </w:tc>
        <w:tc>
          <w:tcPr>
            <w:tcW w:w="560" w:type="dxa"/>
            <w:vAlign w:val="bottom"/>
            <w:shd w:val="clear" w:color="auto" w:fill="CFF0FC"/>
          </w:tcPr>
          <w:p>
            <w:pPr>
              <w:spacing w:after="0"/>
              <w:rPr>
                <w:sz w:val="14"/>
                <w:szCs w:val="14"/>
                <w:color w:val="auto"/>
              </w:rPr>
            </w:pPr>
          </w:p>
        </w:tc>
        <w:tc>
          <w:tcPr>
            <w:tcW w:w="58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4"/>
                <w:szCs w:val="14"/>
                <w:color w:val="auto"/>
              </w:rPr>
              <w:t>7,315</w:t>
            </w: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ind w:right="123"/>
              <w:spacing w:after="0"/>
              <w:rPr>
                <w:sz w:val="20"/>
                <w:szCs w:val="20"/>
                <w:color w:val="auto"/>
              </w:rPr>
            </w:pPr>
            <w:r>
              <w:rPr>
                <w:rFonts w:ascii="Arial" w:cs="Arial" w:eastAsia="Arial" w:hAnsi="Arial"/>
                <w:sz w:val="14"/>
                <w:szCs w:val="14"/>
                <w:color w:val="auto"/>
              </w:rPr>
              <w:t>8,372</w:t>
            </w:r>
          </w:p>
        </w:tc>
        <w:tc>
          <w:tcPr>
            <w:tcW w:w="14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3"/>
              <w:spacing w:after="0"/>
              <w:rPr>
                <w:sz w:val="20"/>
                <w:szCs w:val="20"/>
                <w:color w:val="auto"/>
              </w:rPr>
            </w:pPr>
            <w:r>
              <w:rPr>
                <w:rFonts w:ascii="Arial" w:cs="Arial" w:eastAsia="Arial" w:hAnsi="Arial"/>
                <w:sz w:val="14"/>
                <w:szCs w:val="14"/>
                <w:color w:val="auto"/>
              </w:rPr>
              <w:t>276</w:t>
            </w:r>
          </w:p>
        </w:tc>
        <w:tc>
          <w:tcPr>
            <w:tcW w:w="28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62"/>
              <w:spacing w:after="0"/>
              <w:rPr>
                <w:sz w:val="20"/>
                <w:szCs w:val="20"/>
                <w:color w:val="auto"/>
              </w:rPr>
            </w:pPr>
            <w:r>
              <w:rPr>
                <w:rFonts w:ascii="Arial" w:cs="Arial" w:eastAsia="Arial" w:hAnsi="Arial"/>
                <w:sz w:val="14"/>
                <w:szCs w:val="14"/>
                <w:color w:val="auto"/>
              </w:rPr>
              <w:t>1,754</w:t>
            </w:r>
          </w:p>
        </w:tc>
        <w:tc>
          <w:tcPr>
            <w:tcW w:w="16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ind w:right="84"/>
              <w:spacing w:after="0"/>
              <w:rPr>
                <w:sz w:val="20"/>
                <w:szCs w:val="20"/>
                <w:color w:val="auto"/>
              </w:rPr>
            </w:pPr>
            <w:r>
              <w:rPr>
                <w:rFonts w:ascii="Arial" w:cs="Arial" w:eastAsia="Arial" w:hAnsi="Arial"/>
                <w:sz w:val="14"/>
                <w:szCs w:val="14"/>
                <w:color w:val="auto"/>
              </w:rPr>
              <w:t>1,702</w:t>
            </w:r>
          </w:p>
        </w:tc>
        <w:tc>
          <w:tcPr>
            <w:tcW w:w="26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ind w:right="84"/>
              <w:spacing w:after="0"/>
              <w:rPr>
                <w:sz w:val="20"/>
                <w:szCs w:val="20"/>
                <w:color w:val="auto"/>
              </w:rPr>
            </w:pPr>
            <w:r>
              <w:rPr>
                <w:rFonts w:ascii="Arial" w:cs="Arial" w:eastAsia="Arial" w:hAnsi="Arial"/>
                <w:sz w:val="14"/>
                <w:szCs w:val="14"/>
                <w:color w:val="auto"/>
              </w:rPr>
              <w:t>64</w:t>
            </w:r>
          </w:p>
        </w:tc>
        <w:tc>
          <w:tcPr>
            <w:tcW w:w="44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466</w:t>
            </w:r>
          </w:p>
        </w:tc>
        <w:tc>
          <w:tcPr>
            <w:tcW w:w="2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ind w:right="44"/>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(gain)</w:t>
            </w: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gridSpan w:val="3"/>
            <w:vMerge w:val="continue"/>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gridSpan w:val="2"/>
          </w:tcPr>
          <w:p>
            <w:pPr>
              <w:ind w:left="20"/>
              <w:spacing w:after="0"/>
              <w:rPr>
                <w:sz w:val="20"/>
                <w:szCs w:val="20"/>
                <w:color w:val="auto"/>
              </w:rPr>
            </w:pPr>
            <w:r>
              <w:rPr>
                <w:rFonts w:ascii="Arial" w:cs="Arial" w:eastAsia="Arial" w:hAnsi="Arial"/>
                <w:sz w:val="14"/>
                <w:szCs w:val="14"/>
                <w:color w:val="auto"/>
              </w:rPr>
              <w:t>Net periodic expense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2,247</w:t>
            </w: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790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4,618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309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color w:val="auto"/>
              </w:rPr>
              <w:t>5,609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4,382</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2,903</w:t>
            </w:r>
          </w:p>
        </w:tc>
        <w:tc>
          <w:tcPr>
            <w:tcW w:w="4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3,191</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2,997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Service costs are recorded in Operations and maintenance expense while nonservice costs were recorded in Other expense on the Consolidated Statements of Income.</w:t>
      </w:r>
    </w:p>
    <w:p>
      <w:pPr>
        <w:spacing w:after="0" w:line="129"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Actuarial gains and losses are amortized using a straight-line method over the average remaining service period of active plan participants or over the average remaining lifetime of the remaining plan participants if the plan is viewed as “all or almost all” inactive participants.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27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760" w:type="dxa"/>
            <w:vAlign w:val="bottom"/>
            <w:gridSpan w:val="4"/>
          </w:tcPr>
          <w:p>
            <w:pPr>
              <w:spacing w:after="0"/>
              <w:rPr>
                <w:sz w:val="20"/>
                <w:szCs w:val="20"/>
                <w:color w:val="auto"/>
              </w:rPr>
            </w:pPr>
            <w:r>
              <w:rPr>
                <w:rFonts w:ascii="Arial" w:cs="Arial" w:eastAsia="Arial" w:hAnsi="Arial"/>
                <w:sz w:val="16"/>
                <w:szCs w:val="16"/>
                <w:color w:val="auto"/>
              </w:rPr>
              <w:t>AOCI Amounts (After-Tax)</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gridSpan w:val="3"/>
          </w:tcPr>
          <w:p>
            <w:pPr>
              <w:jc w:val="center"/>
              <w:ind w:right="506"/>
              <w:spacing w:after="0"/>
              <w:rPr>
                <w:sz w:val="20"/>
                <w:szCs w:val="20"/>
                <w:color w:val="auto"/>
              </w:rPr>
            </w:pPr>
            <w:r>
              <w:rPr>
                <w:rFonts w:ascii="Arial" w:cs="Arial" w:eastAsia="Arial" w:hAnsi="Arial"/>
                <w:sz w:val="16"/>
                <w:szCs w:val="16"/>
                <w:b w:val="1"/>
                <w:bCs w:val="1"/>
                <w:color w:val="auto"/>
              </w:rPr>
              <w:t>Supplemental</w:t>
            </w:r>
          </w:p>
        </w:tc>
        <w:tc>
          <w:tcPr>
            <w:tcW w:w="19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Non-pension Defined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center"/>
              <w:ind w:right="264"/>
              <w:spacing w:after="0"/>
              <w:rPr>
                <w:sz w:val="20"/>
                <w:szCs w:val="20"/>
                <w:color w:val="auto"/>
              </w:rPr>
            </w:pPr>
            <w:r>
              <w:rPr>
                <w:rFonts w:ascii="Arial" w:cs="Arial" w:eastAsia="Arial" w:hAnsi="Arial"/>
                <w:sz w:val="16"/>
                <w:szCs w:val="16"/>
                <w:b w:val="1"/>
                <w:bCs w:val="1"/>
                <w:color w:val="auto"/>
              </w:rPr>
              <w:t>Defined Benefit</w:t>
            </w:r>
          </w:p>
        </w:tc>
        <w:tc>
          <w:tcPr>
            <w:tcW w:w="2220" w:type="dxa"/>
            <w:vAlign w:val="bottom"/>
            <w:gridSpan w:val="4"/>
          </w:tcPr>
          <w:p>
            <w:pPr>
              <w:jc w:val="center"/>
              <w:ind w:right="66"/>
              <w:spacing w:after="0"/>
              <w:rPr>
                <w:sz w:val="20"/>
                <w:szCs w:val="20"/>
                <w:color w:val="auto"/>
              </w:rPr>
            </w:pPr>
            <w:r>
              <w:rPr>
                <w:rFonts w:ascii="Arial" w:cs="Arial" w:eastAsia="Arial" w:hAnsi="Arial"/>
                <w:sz w:val="16"/>
                <w:szCs w:val="16"/>
                <w:b w:val="1"/>
                <w:bCs w:val="1"/>
                <w:color w:val="auto"/>
              </w:rPr>
              <w:t>Non-qualified Defined</w:t>
            </w:r>
          </w:p>
        </w:tc>
        <w:tc>
          <w:tcPr>
            <w:tcW w:w="19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Benefit Postretirement</w:t>
            </w: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right="264"/>
              <w:spacing w:after="0"/>
              <w:rPr>
                <w:sz w:val="20"/>
                <w:szCs w:val="20"/>
                <w:color w:val="auto"/>
              </w:rPr>
            </w:pPr>
            <w:r>
              <w:rPr>
                <w:rFonts w:ascii="Arial" w:cs="Arial" w:eastAsia="Arial" w:hAnsi="Arial"/>
                <w:sz w:val="16"/>
                <w:szCs w:val="16"/>
                <w:b w:val="1"/>
                <w:bCs w:val="1"/>
                <w:color w:val="auto"/>
              </w:rPr>
              <w:t>Pension Plan</w:t>
            </w:r>
          </w:p>
        </w:tc>
        <w:tc>
          <w:tcPr>
            <w:tcW w:w="500" w:type="dxa"/>
            <w:vAlign w:val="bottom"/>
          </w:tcPr>
          <w:p>
            <w:pPr>
              <w:spacing w:after="0"/>
              <w:rPr>
                <w:sz w:val="18"/>
                <w:szCs w:val="18"/>
                <w:color w:val="auto"/>
              </w:rPr>
            </w:pPr>
          </w:p>
        </w:tc>
        <w:tc>
          <w:tcPr>
            <w:tcW w:w="1720" w:type="dxa"/>
            <w:vAlign w:val="bottom"/>
            <w:gridSpan w:val="3"/>
          </w:tcPr>
          <w:p>
            <w:pPr>
              <w:jc w:val="center"/>
              <w:ind w:right="506"/>
              <w:spacing w:after="0"/>
              <w:rPr>
                <w:sz w:val="20"/>
                <w:szCs w:val="20"/>
                <w:color w:val="auto"/>
              </w:rPr>
            </w:pPr>
            <w:r>
              <w:rPr>
                <w:rFonts w:ascii="Arial" w:cs="Arial" w:eastAsia="Arial" w:hAnsi="Arial"/>
                <w:sz w:val="16"/>
                <w:szCs w:val="16"/>
                <w:b w:val="1"/>
                <w:bCs w:val="1"/>
                <w:color w:val="auto"/>
              </w:rPr>
              <w:t>Benefit Plans</w:t>
            </w:r>
          </w:p>
        </w:tc>
        <w:tc>
          <w:tcPr>
            <w:tcW w:w="180" w:type="dxa"/>
            <w:vAlign w:val="bottom"/>
          </w:tcPr>
          <w:p>
            <w:pPr>
              <w:spacing w:after="0"/>
              <w:rPr>
                <w:sz w:val="18"/>
                <w:szCs w:val="18"/>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rPr>
              <w:t>Healthcare Plan</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As of December 31,</w:t>
            </w:r>
          </w:p>
        </w:tc>
        <w:tc>
          <w:tcPr>
            <w:tcW w:w="10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right="242"/>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top w:val="single" w:sz="8" w:color="auto"/>
              <w:bottom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2022</w:t>
            </w:r>
          </w:p>
        </w:tc>
        <w:tc>
          <w:tcPr>
            <w:tcW w:w="1280" w:type="dxa"/>
            <w:vAlign w:val="bottom"/>
            <w:tcBorders>
              <w:top w:val="single" w:sz="8" w:color="auto"/>
              <w:bottom w:val="single" w:sz="8" w:color="auto"/>
            </w:tcBorders>
            <w:gridSpan w:val="2"/>
          </w:tcPr>
          <w:p>
            <w:pPr>
              <w:jc w:val="right"/>
              <w:ind w:right="386"/>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Net (gain) loss</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center"/>
              <w:ind w:left="46"/>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5,179</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4,398</w:t>
            </w:r>
          </w:p>
        </w:tc>
        <w:tc>
          <w:tcPr>
            <w:tcW w:w="500" w:type="dxa"/>
            <w:vAlign w:val="bottom"/>
            <w:shd w:val="clear" w:color="auto" w:fill="CFF0FC"/>
          </w:tcPr>
          <w:p>
            <w:pPr>
              <w:jc w:val="center"/>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560" w:type="dxa"/>
            <w:vAlign w:val="bottom"/>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66"/>
              <w:spacing w:after="0"/>
              <w:rPr>
                <w:sz w:val="20"/>
                <w:szCs w:val="20"/>
                <w:color w:val="auto"/>
              </w:rPr>
            </w:pPr>
            <w:r>
              <w:rPr>
                <w:rFonts w:ascii="Arial" w:cs="Arial" w:eastAsia="Arial" w:hAnsi="Arial"/>
                <w:sz w:val="16"/>
                <w:szCs w:val="16"/>
                <w:color w:val="auto"/>
              </w:rPr>
              <w:t>7,159</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(667 )</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gridSpan w:val="4"/>
          </w:tcPr>
          <w:p>
            <w:pPr>
              <w:ind w:left="20"/>
              <w:spacing w:after="0"/>
              <w:rPr>
                <w:sz w:val="20"/>
                <w:szCs w:val="20"/>
                <w:color w:val="auto"/>
              </w:rPr>
            </w:pPr>
            <w:r>
              <w:rPr>
                <w:rFonts w:ascii="Arial" w:cs="Arial" w:eastAsia="Arial" w:hAnsi="Arial"/>
                <w:sz w:val="16"/>
                <w:szCs w:val="16"/>
                <w:color w:val="auto"/>
              </w:rPr>
              <w:t>Prior service cost (gain)</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74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40" w:type="dxa"/>
            <w:vAlign w:val="bottom"/>
            <w:gridSpan w:val="6"/>
            <w:shd w:val="clear" w:color="auto" w:fill="CFF0FC"/>
          </w:tcPr>
          <w:p>
            <w:pPr>
              <w:ind w:left="20"/>
              <w:spacing w:after="0" w:line="183" w:lineRule="exact"/>
              <w:rPr>
                <w:sz w:val="20"/>
                <w:szCs w:val="20"/>
                <w:color w:val="auto"/>
              </w:rPr>
            </w:pPr>
            <w:r>
              <w:rPr>
                <w:rFonts w:ascii="Arial" w:cs="Arial" w:eastAsia="Arial" w:hAnsi="Arial"/>
                <w:sz w:val="16"/>
                <w:szCs w:val="16"/>
                <w:color w:val="auto"/>
              </w:rPr>
              <w:t>Total amounts included in AOCI, after-tax not yet recognized as</w:t>
            </w:r>
          </w:p>
        </w:tc>
        <w:tc>
          <w:tcPr>
            <w:tcW w:w="440" w:type="dxa"/>
            <w:vAlign w:val="bottom"/>
            <w:gridSpan w:val="2"/>
            <w:vMerge w:val="restart"/>
            <w:shd w:val="clear" w:color="auto" w:fill="CFF0FC"/>
          </w:tcPr>
          <w:p>
            <w:pPr>
              <w:jc w:val="center"/>
              <w:ind w:left="46"/>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FF0FC"/>
          </w:tcPr>
          <w:p>
            <w:pPr>
              <w:jc w:val="right"/>
              <w:ind w:right="22"/>
              <w:spacing w:after="0"/>
              <w:rPr>
                <w:sz w:val="20"/>
                <w:szCs w:val="20"/>
                <w:color w:val="auto"/>
              </w:rPr>
            </w:pPr>
            <w:r>
              <w:rPr>
                <w:rFonts w:ascii="Arial" w:cs="Arial" w:eastAsia="Arial" w:hAnsi="Arial"/>
                <w:sz w:val="16"/>
                <w:szCs w:val="16"/>
                <w:color w:val="auto"/>
              </w:rPr>
              <w:t>5,140</w:t>
            </w: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44"/>
              <w:spacing w:after="0"/>
              <w:rPr>
                <w:sz w:val="20"/>
                <w:szCs w:val="20"/>
                <w:color w:val="auto"/>
              </w:rPr>
            </w:pPr>
            <w:r>
              <w:rPr>
                <w:rFonts w:ascii="Arial" w:cs="Arial" w:eastAsia="Arial" w:hAnsi="Arial"/>
                <w:sz w:val="16"/>
                <w:szCs w:val="16"/>
                <w:color w:val="auto"/>
              </w:rPr>
              <w:t>4,352</w:t>
            </w:r>
          </w:p>
        </w:tc>
        <w:tc>
          <w:tcPr>
            <w:tcW w:w="500" w:type="dxa"/>
            <w:vAlign w:val="bottom"/>
            <w:vMerge w:val="restart"/>
            <w:shd w:val="clear" w:color="auto" w:fill="CFF0FC"/>
          </w:tcPr>
          <w:p>
            <w:pPr>
              <w:jc w:val="center"/>
              <w:ind w:right="4"/>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560" w:type="dxa"/>
            <w:vAlign w:val="bottom"/>
            <w:vMerge w:val="restart"/>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FF0FC"/>
          </w:tcPr>
          <w:p>
            <w:pPr>
              <w:jc w:val="right"/>
              <w:ind w:right="166"/>
              <w:spacing w:after="0"/>
              <w:rPr>
                <w:sz w:val="20"/>
                <w:szCs w:val="20"/>
                <w:color w:val="auto"/>
              </w:rPr>
            </w:pPr>
            <w:r>
              <w:rPr>
                <w:rFonts w:ascii="Arial" w:cs="Arial" w:eastAsia="Arial" w:hAnsi="Arial"/>
                <w:sz w:val="16"/>
                <w:szCs w:val="16"/>
                <w:color w:val="auto"/>
              </w:rPr>
              <w:t>7,159</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FF0FC"/>
          </w:tcPr>
          <w:p>
            <w:pPr>
              <w:jc w:val="right"/>
              <w:ind w:right="44"/>
              <w:spacing w:after="0"/>
              <w:rPr>
                <w:sz w:val="20"/>
                <w:szCs w:val="20"/>
                <w:color w:val="auto"/>
              </w:rPr>
            </w:pPr>
            <w:r>
              <w:rPr>
                <w:rFonts w:ascii="Arial" w:cs="Arial" w:eastAsia="Arial" w:hAnsi="Arial"/>
                <w:sz w:val="16"/>
                <w:szCs w:val="16"/>
                <w:color w:val="auto"/>
              </w:rPr>
              <w:t>(593 )</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(335 )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gridSpan w:val="4"/>
            <w:shd w:val="clear" w:color="auto" w:fill="CFF0FC"/>
          </w:tcPr>
          <w:p>
            <w:pPr>
              <w:ind w:left="20"/>
              <w:spacing w:after="0" w:line="176" w:lineRule="exact"/>
              <w:rPr>
                <w:sz w:val="20"/>
                <w:szCs w:val="20"/>
                <w:color w:val="auto"/>
              </w:rPr>
            </w:pPr>
            <w:r>
              <w:rPr>
                <w:rFonts w:ascii="Arial" w:cs="Arial" w:eastAsia="Arial" w:hAnsi="Arial"/>
                <w:sz w:val="16"/>
                <w:szCs w:val="16"/>
                <w:color w:val="auto"/>
              </w:rPr>
              <w:t>components of net periodic expense</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760" w:type="dxa"/>
            <w:vAlign w:val="bottom"/>
            <w:tcBorders>
              <w:top w:val="single" w:sz="8" w:color="CFF0FC"/>
            </w:tcBorders>
            <w:gridSpan w:val="4"/>
          </w:tcPr>
          <w:p>
            <w:pPr>
              <w:spacing w:after="0"/>
              <w:rPr>
                <w:sz w:val="20"/>
                <w:szCs w:val="20"/>
                <w:color w:val="auto"/>
              </w:rPr>
            </w:pPr>
            <w:r>
              <w:rPr>
                <w:rFonts w:ascii="Arial" w:cs="Arial" w:eastAsia="Arial" w:hAnsi="Arial"/>
                <w:sz w:val="16"/>
                <w:szCs w:val="16"/>
                <w:b w:val="1"/>
                <w:bCs w:val="1"/>
                <w:color w:val="auto"/>
              </w:rPr>
              <w:t>Assumptions</w:t>
            </w:r>
          </w:p>
        </w:tc>
        <w:tc>
          <w:tcPr>
            <w:tcW w:w="10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Supplemental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00" w:type="dxa"/>
            <w:vAlign w:val="bottom"/>
            <w:gridSpan w:val="6"/>
          </w:tcPr>
          <w:p>
            <w:pPr>
              <w:ind w:left="240"/>
              <w:spacing w:after="0"/>
              <w:rPr>
                <w:sz w:val="20"/>
                <w:szCs w:val="20"/>
                <w:color w:val="auto"/>
              </w:rPr>
            </w:pPr>
            <w:r>
              <w:rPr>
                <w:rFonts w:ascii="Arial" w:cs="Arial" w:eastAsia="Arial" w:hAnsi="Arial"/>
                <w:sz w:val="14"/>
                <w:szCs w:val="14"/>
                <w:b w:val="1"/>
                <w:bCs w:val="1"/>
                <w:color w:val="auto"/>
              </w:rPr>
              <w:t>Non-pension Defined Benefit</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Pension Plan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6"/>
          </w:tcPr>
          <w:p>
            <w:pPr>
              <w:jc w:val="right"/>
              <w:ind w:right="245"/>
              <w:spacing w:after="0"/>
              <w:rPr>
                <w:sz w:val="20"/>
                <w:szCs w:val="20"/>
                <w:color w:val="auto"/>
              </w:rPr>
            </w:pPr>
            <w:r>
              <w:rPr>
                <w:rFonts w:ascii="Arial" w:cs="Arial" w:eastAsia="Arial" w:hAnsi="Arial"/>
                <w:sz w:val="14"/>
                <w:szCs w:val="14"/>
                <w:b w:val="1"/>
                <w:bCs w:val="1"/>
                <w:color w:val="auto"/>
              </w:rPr>
              <w:t>Non-qualified Defined Benefit Plans</w:t>
            </w:r>
          </w:p>
        </w:tc>
        <w:tc>
          <w:tcPr>
            <w:tcW w:w="2700" w:type="dxa"/>
            <w:vAlign w:val="bottom"/>
            <w:gridSpan w:val="6"/>
          </w:tcPr>
          <w:p>
            <w:pPr>
              <w:ind w:left="180"/>
              <w:spacing w:after="0"/>
              <w:rPr>
                <w:sz w:val="20"/>
                <w:szCs w:val="20"/>
                <w:color w:val="auto"/>
              </w:rPr>
            </w:pPr>
            <w:r>
              <w:rPr>
                <w:rFonts w:ascii="Arial" w:cs="Arial" w:eastAsia="Arial" w:hAnsi="Arial"/>
                <w:sz w:val="14"/>
                <w:szCs w:val="14"/>
                <w:b w:val="1"/>
                <w:bCs w:val="1"/>
                <w:color w:val="auto"/>
              </w:rPr>
              <w:t>Postretirement Healthcare Plan</w:t>
            </w:r>
          </w:p>
        </w:tc>
        <w:tc>
          <w:tcPr>
            <w:tcW w:w="0" w:type="dxa"/>
            <w:vAlign w:val="bottom"/>
          </w:tcPr>
          <w:p>
            <w:pPr>
              <w:spacing w:after="0"/>
              <w:rPr>
                <w:sz w:val="1"/>
                <w:szCs w:val="1"/>
                <w:color w:val="auto"/>
              </w:rPr>
            </w:pPr>
          </w:p>
        </w:tc>
      </w:tr>
      <w:tr>
        <w:trPr>
          <w:trHeight w:val="160"/>
        </w:trPr>
        <w:tc>
          <w:tcPr>
            <w:tcW w:w="276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Weighted-average assumptions used</w:t>
            </w:r>
          </w:p>
        </w:tc>
        <w:tc>
          <w:tcPr>
            <w:tcW w:w="10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to determine benefit obligations:</w:t>
            </w: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130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gridSpan w:val="2"/>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gridSpan w:val="4"/>
          </w:tcPr>
          <w:p>
            <w:pPr>
              <w:ind w:left="20"/>
              <w:spacing w:after="0"/>
              <w:rPr>
                <w:sz w:val="20"/>
                <w:szCs w:val="20"/>
                <w:color w:val="auto"/>
              </w:rPr>
            </w:pPr>
            <w:r>
              <w:rPr>
                <w:rFonts w:ascii="Arial" w:cs="Arial" w:eastAsia="Arial" w:hAnsi="Arial"/>
                <w:sz w:val="14"/>
                <w:szCs w:val="14"/>
                <w:color w:val="auto"/>
              </w:rPr>
              <w:t>Discount rate</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5.17 %</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2.88 %</w:t>
            </w:r>
          </w:p>
        </w:tc>
        <w:tc>
          <w:tcPr>
            <w:tcW w:w="1120" w:type="dxa"/>
            <w:vAlign w:val="bottom"/>
            <w:gridSpan w:val="3"/>
          </w:tcPr>
          <w:p>
            <w:pPr>
              <w:jc w:val="center"/>
              <w:ind w:left="46"/>
              <w:spacing w:after="0"/>
              <w:rPr>
                <w:sz w:val="20"/>
                <w:szCs w:val="20"/>
                <w:color w:val="auto"/>
              </w:rPr>
            </w:pPr>
            <w:r>
              <w:rPr>
                <w:rFonts w:ascii="Arial" w:cs="Arial" w:eastAsia="Arial" w:hAnsi="Arial"/>
                <w:sz w:val="14"/>
                <w:szCs w:val="14"/>
                <w:color w:val="auto"/>
              </w:rPr>
              <w:t>2.56 %</w:t>
            </w:r>
          </w:p>
        </w:tc>
        <w:tc>
          <w:tcPr>
            <w:tcW w:w="1120" w:type="dxa"/>
            <w:vAlign w:val="bottom"/>
            <w:gridSpan w:val="2"/>
          </w:tcPr>
          <w:p>
            <w:pPr>
              <w:jc w:val="right"/>
              <w:ind w:right="344"/>
              <w:spacing w:after="0"/>
              <w:rPr>
                <w:sz w:val="20"/>
                <w:szCs w:val="20"/>
                <w:color w:val="auto"/>
              </w:rPr>
            </w:pPr>
            <w:r>
              <w:rPr>
                <w:rFonts w:ascii="Arial" w:cs="Arial" w:eastAsia="Arial" w:hAnsi="Arial"/>
                <w:sz w:val="14"/>
                <w:szCs w:val="14"/>
                <w:color w:val="auto"/>
              </w:rPr>
              <w:t>5.13 %</w:t>
            </w:r>
          </w:p>
        </w:tc>
        <w:tc>
          <w:tcPr>
            <w:tcW w:w="940" w:type="dxa"/>
            <w:vAlign w:val="bottom"/>
            <w:gridSpan w:val="2"/>
          </w:tcPr>
          <w:p>
            <w:pPr>
              <w:jc w:val="right"/>
              <w:ind w:right="322"/>
              <w:spacing w:after="0"/>
              <w:rPr>
                <w:sz w:val="20"/>
                <w:szCs w:val="20"/>
                <w:color w:val="auto"/>
              </w:rPr>
            </w:pPr>
            <w:r>
              <w:rPr>
                <w:rFonts w:ascii="Arial" w:cs="Arial" w:eastAsia="Arial" w:hAnsi="Arial"/>
                <w:sz w:val="14"/>
                <w:szCs w:val="14"/>
                <w:color w:val="auto"/>
              </w:rPr>
              <w:t>2.77 %</w:t>
            </w:r>
          </w:p>
        </w:tc>
        <w:tc>
          <w:tcPr>
            <w:tcW w:w="560" w:type="dxa"/>
            <w:vAlign w:val="bottom"/>
          </w:tcPr>
          <w:p>
            <w:pPr>
              <w:jc w:val="right"/>
              <w:spacing w:after="0"/>
              <w:rPr>
                <w:sz w:val="20"/>
                <w:szCs w:val="20"/>
                <w:color w:val="auto"/>
              </w:rPr>
            </w:pPr>
            <w:r>
              <w:rPr>
                <w:rFonts w:ascii="Arial" w:cs="Arial" w:eastAsia="Arial" w:hAnsi="Arial"/>
                <w:sz w:val="14"/>
                <w:szCs w:val="14"/>
                <w:color w:val="auto"/>
              </w:rPr>
              <w:t>2.41 %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5.14 %</w:t>
            </w:r>
          </w:p>
        </w:tc>
        <w:tc>
          <w:tcPr>
            <w:tcW w:w="1000" w:type="dxa"/>
            <w:vAlign w:val="bottom"/>
            <w:gridSpan w:val="2"/>
          </w:tcPr>
          <w:p>
            <w:pPr>
              <w:jc w:val="center"/>
              <w:ind w:left="324"/>
              <w:spacing w:after="0"/>
              <w:rPr>
                <w:sz w:val="20"/>
                <w:szCs w:val="20"/>
                <w:color w:val="auto"/>
              </w:rPr>
            </w:pPr>
            <w:r>
              <w:rPr>
                <w:rFonts w:ascii="Arial" w:cs="Arial" w:eastAsia="Arial" w:hAnsi="Arial"/>
                <w:sz w:val="14"/>
                <w:szCs w:val="14"/>
                <w:color w:val="auto"/>
              </w:rPr>
              <w:t>2.79 %</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2.41 %</w:t>
            </w:r>
          </w:p>
        </w:tc>
        <w:tc>
          <w:tcPr>
            <w:tcW w:w="0" w:type="dxa"/>
            <w:vAlign w:val="bottom"/>
          </w:tcPr>
          <w:p>
            <w:pPr>
              <w:spacing w:after="0"/>
              <w:rPr>
                <w:sz w:val="1"/>
                <w:szCs w:val="1"/>
                <w:color w:val="auto"/>
              </w:rPr>
            </w:pPr>
          </w:p>
        </w:tc>
      </w:tr>
      <w:tr>
        <w:trPr>
          <w:trHeight w:val="194"/>
        </w:trPr>
        <w:tc>
          <w:tcPr>
            <w:tcW w:w="2760" w:type="dxa"/>
            <w:vAlign w:val="bottom"/>
            <w:gridSpan w:val="4"/>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3.06 %</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3.08 %</w:t>
            </w:r>
          </w:p>
        </w:tc>
        <w:tc>
          <w:tcPr>
            <w:tcW w:w="1120" w:type="dxa"/>
            <w:vAlign w:val="bottom"/>
            <w:gridSpan w:val="3"/>
          </w:tcPr>
          <w:p>
            <w:pPr>
              <w:jc w:val="center"/>
              <w:ind w:left="46"/>
              <w:spacing w:after="0"/>
              <w:rPr>
                <w:sz w:val="20"/>
                <w:szCs w:val="20"/>
                <w:color w:val="auto"/>
              </w:rPr>
            </w:pPr>
            <w:r>
              <w:rPr>
                <w:rFonts w:ascii="Arial" w:cs="Arial" w:eastAsia="Arial" w:hAnsi="Arial"/>
                <w:sz w:val="14"/>
                <w:szCs w:val="14"/>
                <w:color w:val="auto"/>
              </w:rPr>
              <w:t>3.34 %</w:t>
            </w:r>
          </w:p>
        </w:tc>
        <w:tc>
          <w:tcPr>
            <w:tcW w:w="320" w:type="dxa"/>
            <w:vAlign w:val="bottom"/>
          </w:tcPr>
          <w:p>
            <w:pPr>
              <w:spacing w:after="0"/>
              <w:rPr>
                <w:sz w:val="16"/>
                <w:szCs w:val="16"/>
                <w:color w:val="auto"/>
              </w:rPr>
            </w:pPr>
          </w:p>
        </w:tc>
        <w:tc>
          <w:tcPr>
            <w:tcW w:w="800" w:type="dxa"/>
            <w:vAlign w:val="bottom"/>
          </w:tcPr>
          <w:p>
            <w:pPr>
              <w:jc w:val="right"/>
              <w:ind w:right="50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2"/>
              <w:spacing w:after="0"/>
              <w:rPr>
                <w:sz w:val="20"/>
                <w:szCs w:val="20"/>
                <w:color w:val="auto"/>
              </w:rPr>
            </w:pPr>
            <w:r>
              <w:rPr>
                <w:rFonts w:ascii="Arial" w:cs="Arial" w:eastAsia="Arial" w:hAnsi="Arial"/>
                <w:sz w:val="14"/>
                <w:szCs w:val="14"/>
                <w:color w:val="auto"/>
              </w:rPr>
              <w:t>5.00 %</w:t>
            </w:r>
          </w:p>
        </w:tc>
        <w:tc>
          <w:tcPr>
            <w:tcW w:w="560" w:type="dxa"/>
            <w:vAlign w:val="bottom"/>
          </w:tcPr>
          <w:p>
            <w:pPr>
              <w:jc w:val="right"/>
              <w:spacing w:after="0"/>
              <w:rPr>
                <w:sz w:val="20"/>
                <w:szCs w:val="20"/>
                <w:color w:val="auto"/>
              </w:rPr>
            </w:pPr>
            <w:r>
              <w:rPr>
                <w:rFonts w:ascii="Arial" w:cs="Arial" w:eastAsia="Arial" w:hAnsi="Arial"/>
                <w:sz w:val="14"/>
                <w:szCs w:val="14"/>
                <w:color w:val="auto"/>
              </w:rPr>
              <w:t>5.00 %</w:t>
            </w: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800" w:type="dxa"/>
            <w:vAlign w:val="bottom"/>
          </w:tcPr>
          <w:p>
            <w:pPr>
              <w:jc w:val="center"/>
              <w:ind w:left="404"/>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63"/>
        </w:trPr>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Defined Benefit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left="24"/>
              <w:spacing w:after="0"/>
              <w:rPr>
                <w:sz w:val="20"/>
                <w:szCs w:val="20"/>
                <w:color w:val="auto"/>
              </w:rPr>
            </w:pPr>
            <w:r>
              <w:rPr>
                <w:rFonts w:ascii="Arial" w:cs="Arial" w:eastAsia="Arial" w:hAnsi="Arial"/>
                <w:sz w:val="14"/>
                <w:szCs w:val="14"/>
                <w:b w:val="1"/>
                <w:bCs w:val="1"/>
                <w:color w:val="auto"/>
              </w:rPr>
              <w:t>Supplemental</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00" w:type="dxa"/>
            <w:vAlign w:val="bottom"/>
            <w:gridSpan w:val="6"/>
          </w:tcPr>
          <w:p>
            <w:pPr>
              <w:ind w:left="200"/>
              <w:spacing w:after="0"/>
              <w:rPr>
                <w:sz w:val="20"/>
                <w:szCs w:val="20"/>
                <w:color w:val="auto"/>
              </w:rPr>
            </w:pPr>
            <w:r>
              <w:rPr>
                <w:rFonts w:ascii="Arial" w:cs="Arial" w:eastAsia="Arial" w:hAnsi="Arial"/>
                <w:sz w:val="14"/>
                <w:szCs w:val="14"/>
                <w:b w:val="1"/>
                <w:bCs w:val="1"/>
                <w:color w:val="auto"/>
              </w:rPr>
              <w:t>Non-pension Defined Benefit</w:t>
            </w:r>
          </w:p>
        </w:tc>
        <w:tc>
          <w:tcPr>
            <w:tcW w:w="0" w:type="dxa"/>
            <w:vAlign w:val="bottom"/>
          </w:tcPr>
          <w:p>
            <w:pPr>
              <w:spacing w:after="0"/>
              <w:rPr>
                <w:sz w:val="1"/>
                <w:szCs w:val="1"/>
                <w:color w:val="auto"/>
              </w:rPr>
            </w:pPr>
          </w:p>
        </w:tc>
      </w:tr>
      <w:tr>
        <w:trPr>
          <w:trHeight w:val="185"/>
        </w:trPr>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Pension Plan</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22"/>
              <w:spacing w:after="0"/>
              <w:rPr>
                <w:sz w:val="20"/>
                <w:szCs w:val="20"/>
                <w:color w:val="auto"/>
              </w:rPr>
            </w:pPr>
            <w:r>
              <w:rPr>
                <w:rFonts w:ascii="Arial" w:cs="Arial" w:eastAsia="Arial" w:hAnsi="Arial"/>
                <w:sz w:val="14"/>
                <w:szCs w:val="14"/>
                <w:b w:val="1"/>
                <w:bCs w:val="1"/>
                <w:color w:val="auto"/>
              </w:rPr>
              <w:t>Non-qualified Defined Benefit Plans</w:t>
            </w:r>
          </w:p>
        </w:tc>
        <w:tc>
          <w:tcPr>
            <w:tcW w:w="2660" w:type="dxa"/>
            <w:vAlign w:val="bottom"/>
            <w:tcBorders>
              <w:bottom w:val="single" w:sz="8" w:color="auto"/>
            </w:tcBorders>
            <w:gridSpan w:val="5"/>
          </w:tcPr>
          <w:p>
            <w:pPr>
              <w:jc w:val="right"/>
              <w:ind w:right="325"/>
              <w:spacing w:after="0"/>
              <w:rPr>
                <w:sz w:val="20"/>
                <w:szCs w:val="20"/>
                <w:color w:val="auto"/>
              </w:rPr>
            </w:pPr>
            <w:r>
              <w:rPr>
                <w:rFonts w:ascii="Arial" w:cs="Arial" w:eastAsia="Arial" w:hAnsi="Arial"/>
                <w:sz w:val="14"/>
                <w:szCs w:val="14"/>
                <w:b w:val="1"/>
                <w:bCs w:val="1"/>
                <w:color w:val="auto"/>
              </w:rPr>
              <w:t>Postretirement Healthcare Plan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6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Weighted-average assumptions used</w:t>
            </w: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60" w:type="dxa"/>
            <w:vAlign w:val="bottom"/>
            <w:gridSpan w:val="4"/>
          </w:tcPr>
          <w:p>
            <w:pPr>
              <w:ind w:left="20"/>
              <w:spacing w:after="0"/>
              <w:rPr>
                <w:sz w:val="20"/>
                <w:szCs w:val="20"/>
                <w:color w:val="auto"/>
              </w:rPr>
            </w:pPr>
            <w:r>
              <w:rPr>
                <w:rFonts w:ascii="Arial" w:cs="Arial" w:eastAsia="Arial" w:hAnsi="Arial"/>
                <w:sz w:val="14"/>
                <w:szCs w:val="14"/>
                <w:b w:val="1"/>
                <w:bCs w:val="1"/>
                <w:color w:val="auto"/>
              </w:rPr>
              <w:t>to determine net periodic benefit cost</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plan year:</w:t>
            </w: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gridSpan w:val="2"/>
          </w:tcPr>
          <w:p>
            <w:pPr>
              <w:jc w:val="center"/>
              <w:ind w:left="442"/>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gridSpan w:val="2"/>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gridSpan w:val="4"/>
          </w:tcPr>
          <w:p>
            <w:pPr>
              <w:ind w:left="20"/>
              <w:spacing w:after="0" w:line="183" w:lineRule="exact"/>
              <w:rPr>
                <w:sz w:val="20"/>
                <w:szCs w:val="20"/>
                <w:color w:val="auto"/>
              </w:rPr>
            </w:pPr>
            <w:r>
              <w:rPr>
                <w:rFonts w:ascii="Arial" w:cs="Arial" w:eastAsia="Arial" w:hAnsi="Arial"/>
                <w:sz w:val="14"/>
                <w:szCs w:val="14"/>
                <w:color w:val="auto"/>
              </w:rPr>
              <w:t xml:space="preserve">Discount rate </w:t>
            </w:r>
            <w:r>
              <w:rPr>
                <w:rFonts w:ascii="Arial" w:cs="Arial" w:eastAsia="Arial" w:hAnsi="Arial"/>
                <w:sz w:val="19"/>
                <w:szCs w:val="19"/>
                <w:color w:val="auto"/>
                <w:vertAlign w:val="superscript"/>
              </w:rPr>
              <w:t>(a)</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2.88 %</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2.56 %</w:t>
            </w:r>
          </w:p>
        </w:tc>
        <w:tc>
          <w:tcPr>
            <w:tcW w:w="1120" w:type="dxa"/>
            <w:vAlign w:val="bottom"/>
            <w:gridSpan w:val="3"/>
          </w:tcPr>
          <w:p>
            <w:pPr>
              <w:jc w:val="right"/>
              <w:ind w:right="202"/>
              <w:spacing w:after="0"/>
              <w:rPr>
                <w:sz w:val="20"/>
                <w:szCs w:val="20"/>
                <w:color w:val="auto"/>
              </w:rPr>
            </w:pPr>
            <w:r>
              <w:rPr>
                <w:rFonts w:ascii="Arial" w:cs="Arial" w:eastAsia="Arial" w:hAnsi="Arial"/>
                <w:sz w:val="14"/>
                <w:szCs w:val="14"/>
                <w:color w:val="auto"/>
              </w:rPr>
              <w:t>3.27 %</w:t>
            </w:r>
          </w:p>
        </w:tc>
        <w:tc>
          <w:tcPr>
            <w:tcW w:w="1120" w:type="dxa"/>
            <w:vAlign w:val="bottom"/>
            <w:gridSpan w:val="2"/>
          </w:tcPr>
          <w:p>
            <w:pPr>
              <w:jc w:val="right"/>
              <w:ind w:right="424"/>
              <w:spacing w:after="0"/>
              <w:rPr>
                <w:sz w:val="20"/>
                <w:szCs w:val="20"/>
                <w:color w:val="auto"/>
              </w:rPr>
            </w:pPr>
            <w:r>
              <w:rPr>
                <w:rFonts w:ascii="Arial" w:cs="Arial" w:eastAsia="Arial" w:hAnsi="Arial"/>
                <w:sz w:val="14"/>
                <w:szCs w:val="14"/>
                <w:color w:val="auto"/>
              </w:rPr>
              <w:t>2.77 %</w:t>
            </w:r>
          </w:p>
        </w:tc>
        <w:tc>
          <w:tcPr>
            <w:tcW w:w="500" w:type="dxa"/>
            <w:vAlign w:val="bottom"/>
          </w:tcPr>
          <w:p>
            <w:pPr>
              <w:jc w:val="right"/>
              <w:spacing w:after="0"/>
              <w:rPr>
                <w:sz w:val="20"/>
                <w:szCs w:val="20"/>
                <w:color w:val="auto"/>
              </w:rPr>
            </w:pPr>
            <w:r>
              <w:rPr>
                <w:rFonts w:ascii="Arial" w:cs="Arial" w:eastAsia="Arial" w:hAnsi="Arial"/>
                <w:sz w:val="14"/>
                <w:szCs w:val="14"/>
                <w:color w:val="auto"/>
              </w:rPr>
              <w:t>2.41 %</w:t>
            </w:r>
          </w:p>
        </w:tc>
        <w:tc>
          <w:tcPr>
            <w:tcW w:w="440" w:type="dxa"/>
            <w:vAlign w:val="bottom"/>
          </w:tcPr>
          <w:p>
            <w:pPr>
              <w:spacing w:after="0"/>
              <w:rPr>
                <w:sz w:val="15"/>
                <w:szCs w:val="15"/>
                <w:color w:val="auto"/>
              </w:rPr>
            </w:pPr>
          </w:p>
        </w:tc>
        <w:tc>
          <w:tcPr>
            <w:tcW w:w="560" w:type="dxa"/>
            <w:vAlign w:val="bottom"/>
          </w:tcPr>
          <w:p>
            <w:pPr>
              <w:jc w:val="right"/>
              <w:ind w:right="45"/>
              <w:spacing w:after="0"/>
              <w:rPr>
                <w:sz w:val="20"/>
                <w:szCs w:val="20"/>
                <w:color w:val="auto"/>
              </w:rPr>
            </w:pPr>
            <w:r>
              <w:rPr>
                <w:rFonts w:ascii="Arial" w:cs="Arial" w:eastAsia="Arial" w:hAnsi="Arial"/>
                <w:sz w:val="14"/>
                <w:szCs w:val="14"/>
                <w:color w:val="auto"/>
                <w:w w:val="96"/>
              </w:rPr>
              <w:t>3.14 %</w:t>
            </w: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2.79 %</w:t>
            </w:r>
          </w:p>
        </w:tc>
        <w:tc>
          <w:tcPr>
            <w:tcW w:w="1000" w:type="dxa"/>
            <w:vAlign w:val="bottom"/>
            <w:gridSpan w:val="2"/>
          </w:tcPr>
          <w:p>
            <w:pPr>
              <w:jc w:val="center"/>
              <w:ind w:left="204"/>
              <w:spacing w:after="0"/>
              <w:rPr>
                <w:sz w:val="20"/>
                <w:szCs w:val="20"/>
                <w:color w:val="auto"/>
              </w:rPr>
            </w:pPr>
            <w:r>
              <w:rPr>
                <w:rFonts w:ascii="Arial" w:cs="Arial" w:eastAsia="Arial" w:hAnsi="Arial"/>
                <w:sz w:val="14"/>
                <w:szCs w:val="14"/>
                <w:color w:val="auto"/>
              </w:rPr>
              <w:t>2.41 %</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148"/>
        </w:trPr>
        <w:tc>
          <w:tcPr>
            <w:tcW w:w="276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Expected long-term rate of return on</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760" w:type="dxa"/>
            <w:vAlign w:val="bottom"/>
            <w:gridSpan w:val="4"/>
          </w:tcPr>
          <w:p>
            <w:pPr>
              <w:ind w:left="20"/>
              <w:spacing w:after="0" w:line="203" w:lineRule="exact"/>
              <w:rPr>
                <w:sz w:val="20"/>
                <w:szCs w:val="20"/>
                <w:color w:val="auto"/>
              </w:rPr>
            </w:pPr>
            <w:r>
              <w:rPr>
                <w:rFonts w:ascii="Arial" w:cs="Arial" w:eastAsia="Arial" w:hAnsi="Arial"/>
                <w:sz w:val="14"/>
                <w:szCs w:val="14"/>
                <w:color w:val="auto"/>
              </w:rPr>
              <w:t xml:space="preserve">assets </w:t>
            </w:r>
            <w:r>
              <w:rPr>
                <w:rFonts w:ascii="Arial" w:cs="Arial" w:eastAsia="Arial" w:hAnsi="Arial"/>
                <w:sz w:val="19"/>
                <w:szCs w:val="19"/>
                <w:color w:val="auto"/>
                <w:vertAlign w:val="superscript"/>
              </w:rPr>
              <w:t>(b)</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4.25 %</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4.50 %</w:t>
            </w:r>
          </w:p>
        </w:tc>
        <w:tc>
          <w:tcPr>
            <w:tcW w:w="1120" w:type="dxa"/>
            <w:vAlign w:val="bottom"/>
            <w:gridSpan w:val="3"/>
          </w:tcPr>
          <w:p>
            <w:pPr>
              <w:jc w:val="right"/>
              <w:ind w:right="202"/>
              <w:spacing w:after="0"/>
              <w:rPr>
                <w:sz w:val="20"/>
                <w:szCs w:val="20"/>
                <w:color w:val="auto"/>
              </w:rPr>
            </w:pPr>
            <w:r>
              <w:rPr>
                <w:rFonts w:ascii="Arial" w:cs="Arial" w:eastAsia="Arial" w:hAnsi="Arial"/>
                <w:sz w:val="14"/>
                <w:szCs w:val="14"/>
                <w:color w:val="auto"/>
              </w:rPr>
              <w:t>5.25 %</w:t>
            </w:r>
          </w:p>
        </w:tc>
        <w:tc>
          <w:tcPr>
            <w:tcW w:w="1120" w:type="dxa"/>
            <w:vAlign w:val="bottom"/>
            <w:gridSpan w:val="2"/>
          </w:tcPr>
          <w:p>
            <w:pPr>
              <w:jc w:val="right"/>
              <w:ind w:right="584"/>
              <w:spacing w:after="0"/>
              <w:rPr>
                <w:sz w:val="20"/>
                <w:szCs w:val="20"/>
                <w:color w:val="auto"/>
              </w:rPr>
            </w:pPr>
            <w:r>
              <w:rPr>
                <w:rFonts w:ascii="Arial" w:cs="Arial" w:eastAsia="Arial" w:hAnsi="Arial"/>
                <w:sz w:val="14"/>
                <w:szCs w:val="14"/>
                <w:color w:val="auto"/>
              </w:rPr>
              <w:t>N/A</w:t>
            </w:r>
          </w:p>
        </w:tc>
        <w:tc>
          <w:tcPr>
            <w:tcW w:w="500" w:type="dxa"/>
            <w:vAlign w:val="bottom"/>
          </w:tcPr>
          <w:p>
            <w:pPr>
              <w:jc w:val="center"/>
              <w:ind w:right="24"/>
              <w:spacing w:after="0"/>
              <w:rPr>
                <w:sz w:val="20"/>
                <w:szCs w:val="20"/>
                <w:color w:val="auto"/>
              </w:rPr>
            </w:pPr>
            <w:r>
              <w:rPr>
                <w:rFonts w:ascii="Arial" w:cs="Arial" w:eastAsia="Arial" w:hAnsi="Arial"/>
                <w:sz w:val="14"/>
                <w:szCs w:val="14"/>
                <w:color w:val="auto"/>
              </w:rPr>
              <w:t>N/A</w:t>
            </w:r>
          </w:p>
        </w:tc>
        <w:tc>
          <w:tcPr>
            <w:tcW w:w="440" w:type="dxa"/>
            <w:vAlign w:val="bottom"/>
          </w:tcPr>
          <w:p>
            <w:pPr>
              <w:spacing w:after="0"/>
              <w:rPr>
                <w:sz w:val="17"/>
                <w:szCs w:val="17"/>
                <w:color w:val="auto"/>
              </w:rPr>
            </w:pPr>
          </w:p>
        </w:tc>
        <w:tc>
          <w:tcPr>
            <w:tcW w:w="560" w:type="dxa"/>
            <w:vAlign w:val="bottom"/>
          </w:tcPr>
          <w:p>
            <w:pPr>
              <w:jc w:val="right"/>
              <w:ind w:right="185"/>
              <w:spacing w:after="0"/>
              <w:rPr>
                <w:sz w:val="20"/>
                <w:szCs w:val="20"/>
                <w:color w:val="auto"/>
              </w:rPr>
            </w:pPr>
            <w:r>
              <w:rPr>
                <w:rFonts w:ascii="Arial" w:cs="Arial" w:eastAsia="Arial" w:hAnsi="Arial"/>
                <w:sz w:val="14"/>
                <w:szCs w:val="14"/>
                <w:color w:val="auto"/>
              </w:rPr>
              <w:t>N/A</w:t>
            </w:r>
          </w:p>
        </w:tc>
        <w:tc>
          <w:tcPr>
            <w:tcW w:w="900" w:type="dxa"/>
            <w:vAlign w:val="bottom"/>
            <w:gridSpan w:val="2"/>
          </w:tcPr>
          <w:p>
            <w:pPr>
              <w:jc w:val="right"/>
              <w:ind w:right="19"/>
              <w:spacing w:after="0"/>
              <w:rPr>
                <w:sz w:val="20"/>
                <w:szCs w:val="20"/>
                <w:color w:val="auto"/>
              </w:rPr>
            </w:pPr>
            <w:r>
              <w:rPr>
                <w:rFonts w:ascii="Arial" w:cs="Arial" w:eastAsia="Arial" w:hAnsi="Arial"/>
                <w:sz w:val="14"/>
                <w:szCs w:val="14"/>
                <w:color w:val="auto"/>
              </w:rPr>
              <w:t>1.70 %</w:t>
            </w:r>
          </w:p>
        </w:tc>
        <w:tc>
          <w:tcPr>
            <w:tcW w:w="1000" w:type="dxa"/>
            <w:vAlign w:val="bottom"/>
            <w:gridSpan w:val="2"/>
          </w:tcPr>
          <w:p>
            <w:pPr>
              <w:jc w:val="center"/>
              <w:ind w:left="204"/>
              <w:spacing w:after="0"/>
              <w:rPr>
                <w:sz w:val="20"/>
                <w:szCs w:val="20"/>
                <w:color w:val="auto"/>
              </w:rPr>
            </w:pPr>
            <w:r>
              <w:rPr>
                <w:rFonts w:ascii="Arial" w:cs="Arial" w:eastAsia="Arial" w:hAnsi="Arial"/>
                <w:sz w:val="14"/>
                <w:szCs w:val="14"/>
                <w:color w:val="auto"/>
              </w:rPr>
              <w:t>1.80 %</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89"/>
        </w:trPr>
        <w:tc>
          <w:tcPr>
            <w:tcW w:w="276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10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3.08 %</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3.34 %</w:t>
            </w:r>
          </w:p>
        </w:tc>
        <w:tc>
          <w:tcPr>
            <w:tcW w:w="1120" w:type="dxa"/>
            <w:vAlign w:val="bottom"/>
            <w:gridSpan w:val="3"/>
            <w:shd w:val="clear" w:color="auto" w:fill="CFF0FC"/>
          </w:tcPr>
          <w:p>
            <w:pPr>
              <w:jc w:val="right"/>
              <w:ind w:right="202"/>
              <w:spacing w:after="0"/>
              <w:rPr>
                <w:sz w:val="20"/>
                <w:szCs w:val="20"/>
                <w:color w:val="auto"/>
              </w:rPr>
            </w:pPr>
            <w:r>
              <w:rPr>
                <w:rFonts w:ascii="Arial" w:cs="Arial" w:eastAsia="Arial" w:hAnsi="Arial"/>
                <w:sz w:val="14"/>
                <w:szCs w:val="14"/>
                <w:color w:val="auto"/>
              </w:rPr>
              <w:t>3.49 %</w:t>
            </w:r>
          </w:p>
        </w:tc>
        <w:tc>
          <w:tcPr>
            <w:tcW w:w="3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84"/>
              <w:spacing w:after="0"/>
              <w:rPr>
                <w:sz w:val="20"/>
                <w:szCs w:val="20"/>
                <w:color w:val="auto"/>
              </w:rPr>
            </w:pPr>
            <w:r>
              <w:rPr>
                <w:rFonts w:ascii="Arial" w:cs="Arial" w:eastAsia="Arial" w:hAnsi="Arial"/>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5.00 %</w:t>
            </w:r>
          </w:p>
        </w:tc>
        <w:tc>
          <w:tcPr>
            <w:tcW w:w="4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45"/>
              <w:spacing w:after="0"/>
              <w:rPr>
                <w:sz w:val="20"/>
                <w:szCs w:val="20"/>
                <w:color w:val="auto"/>
              </w:rPr>
            </w:pPr>
            <w:r>
              <w:rPr>
                <w:rFonts w:ascii="Arial" w:cs="Arial" w:eastAsia="Arial" w:hAnsi="Arial"/>
                <w:sz w:val="14"/>
                <w:szCs w:val="14"/>
                <w:color w:val="auto"/>
                <w:w w:val="96"/>
              </w:rPr>
              <w:t>5.00 %</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24"/>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5"/>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-1397000</wp:posOffset>
            </wp:positionV>
            <wp:extent cx="7132320" cy="1200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200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1431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5.2% for the calculation of the 2023 net periodic pension costs.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expected rate of return on plan assets for the Defined Benefit Pension Plan is 6.0% for the calculation of the 2023 net periodic pension cost.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healthcare benefit obligation at December 31 was determined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Trend Rate - Medical</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4480" w:type="dxa"/>
            <w:vAlign w:val="bottom"/>
          </w:tcPr>
          <w:p>
            <w:pPr>
              <w:ind w:left="200"/>
              <w:spacing w:after="0"/>
              <w:rPr>
                <w:sz w:val="20"/>
                <w:szCs w:val="20"/>
                <w:color w:val="auto"/>
              </w:rPr>
            </w:pPr>
            <w:r>
              <w:rPr>
                <w:rFonts w:ascii="Arial" w:cs="Arial" w:eastAsia="Arial" w:hAnsi="Arial"/>
                <w:sz w:val="16"/>
                <w:szCs w:val="16"/>
                <w:color w:val="auto"/>
              </w:rPr>
              <w:t>Pre-65 for next year - All Plans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7.00 %</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6.05 %</w:t>
            </w:r>
          </w:p>
        </w:tc>
      </w:tr>
      <w:tr>
        <w:trPr>
          <w:trHeight w:val="215"/>
        </w:trPr>
        <w:tc>
          <w:tcPr>
            <w:tcW w:w="4480" w:type="dxa"/>
            <w:vAlign w:val="bottom"/>
          </w:tcPr>
          <w:p>
            <w:pPr>
              <w:ind w:left="200"/>
              <w:spacing w:after="0"/>
              <w:rPr>
                <w:sz w:val="20"/>
                <w:szCs w:val="20"/>
                <w:color w:val="auto"/>
              </w:rPr>
            </w:pPr>
            <w:r>
              <w:rPr>
                <w:rFonts w:ascii="Arial" w:cs="Arial" w:eastAsia="Arial" w:hAnsi="Arial"/>
                <w:sz w:val="16"/>
                <w:szCs w:val="16"/>
                <w:color w:val="auto"/>
              </w:rPr>
              <w:t>Pre-65 Ultimate trend rate - Black Hills Corp</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4.50 %</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4.50 %</w:t>
            </w:r>
          </w:p>
        </w:tc>
      </w:tr>
      <w:tr>
        <w:trPr>
          <w:trHeight w:val="216"/>
        </w:trPr>
        <w:tc>
          <w:tcPr>
            <w:tcW w:w="4480" w:type="dxa"/>
            <w:vAlign w:val="bottom"/>
          </w:tcPr>
          <w:p>
            <w:pPr>
              <w:ind w:left="200"/>
              <w:spacing w:after="0"/>
              <w:rPr>
                <w:sz w:val="20"/>
                <w:szCs w:val="20"/>
                <w:color w:val="auto"/>
              </w:rPr>
            </w:pPr>
            <w:r>
              <w:rPr>
                <w:rFonts w:ascii="Arial" w:cs="Arial" w:eastAsia="Arial" w:hAnsi="Arial"/>
                <w:sz w:val="16"/>
                <w:szCs w:val="16"/>
                <w:color w:val="auto"/>
              </w:rPr>
              <w:t>Trend Year</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2031</w:t>
            </w:r>
          </w:p>
        </w:tc>
        <w:tc>
          <w:tcPr>
            <w:tcW w:w="18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2030</w:t>
            </w:r>
          </w:p>
        </w:tc>
        <w:tc>
          <w:tcPr>
            <w:tcW w:w="40" w:type="dxa"/>
            <w:vAlign w:val="bottom"/>
          </w:tcPr>
          <w:p>
            <w:pPr>
              <w:spacing w:after="0"/>
              <w:rPr>
                <w:sz w:val="18"/>
                <w:szCs w:val="18"/>
                <w:color w:val="auto"/>
              </w:rPr>
            </w:pPr>
          </w:p>
        </w:tc>
      </w:tr>
      <w:tr>
        <w:trPr>
          <w:trHeight w:val="432"/>
        </w:trPr>
        <w:tc>
          <w:tcPr>
            <w:tcW w:w="4480" w:type="dxa"/>
            <w:vAlign w:val="bottom"/>
          </w:tcPr>
          <w:p>
            <w:pPr>
              <w:ind w:left="200"/>
              <w:spacing w:after="0"/>
              <w:rPr>
                <w:sz w:val="20"/>
                <w:szCs w:val="20"/>
                <w:color w:val="auto"/>
              </w:rPr>
            </w:pPr>
            <w:r>
              <w:rPr>
                <w:rFonts w:ascii="Arial" w:cs="Arial" w:eastAsia="Arial" w:hAnsi="Arial"/>
                <w:sz w:val="16"/>
                <w:szCs w:val="16"/>
                <w:color w:val="auto"/>
              </w:rPr>
              <w:t>Post-65 for next year - All Plans</w:t>
            </w: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6.00 %</w:t>
            </w:r>
          </w:p>
        </w:tc>
        <w:tc>
          <w:tcPr>
            <w:tcW w:w="18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5.10 %</w:t>
            </w:r>
          </w:p>
        </w:tc>
      </w:tr>
      <w:tr>
        <w:trPr>
          <w:trHeight w:val="217"/>
        </w:trPr>
        <w:tc>
          <w:tcPr>
            <w:tcW w:w="4480" w:type="dxa"/>
            <w:vAlign w:val="bottom"/>
          </w:tcPr>
          <w:p>
            <w:pPr>
              <w:ind w:left="200"/>
              <w:spacing w:after="0"/>
              <w:rPr>
                <w:sz w:val="20"/>
                <w:szCs w:val="20"/>
                <w:color w:val="auto"/>
              </w:rPr>
            </w:pPr>
            <w:r>
              <w:rPr>
                <w:rFonts w:ascii="Arial" w:cs="Arial" w:eastAsia="Arial" w:hAnsi="Arial"/>
                <w:sz w:val="16"/>
                <w:szCs w:val="16"/>
                <w:color w:val="auto"/>
              </w:rPr>
              <w:t>Post-65 Ultimate trend rate - Black Hills Corp</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4.50 %</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4.50 %</w:t>
            </w:r>
          </w:p>
        </w:tc>
      </w:tr>
      <w:tr>
        <w:trPr>
          <w:trHeight w:val="217"/>
        </w:trPr>
        <w:tc>
          <w:tcPr>
            <w:tcW w:w="4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Trend Year</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2031</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2030</w:t>
            </w:r>
          </w:p>
        </w:tc>
        <w:tc>
          <w:tcPr>
            <w:tcW w:w="40" w:type="dxa"/>
            <w:vAlign w:val="bottom"/>
          </w:tcPr>
          <w:p>
            <w:pPr>
              <w:spacing w:after="0"/>
              <w:rPr>
                <w:sz w:val="18"/>
                <w:szCs w:val="18"/>
                <w:color w:val="auto"/>
              </w:rPr>
            </w:pPr>
          </w:p>
        </w:tc>
      </w:tr>
      <w:tr>
        <w:trPr>
          <w:trHeight w:val="390"/>
        </w:trPr>
        <w:tc>
          <w:tcPr>
            <w:tcW w:w="9480" w:type="dxa"/>
            <w:vAlign w:val="bottom"/>
            <w:gridSpan w:val="7"/>
          </w:tcPr>
          <w:p>
            <w:pPr>
              <w:jc w:val="right"/>
              <w:ind w:right="1239"/>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 (in thousands):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6"/>
        </w:trPr>
        <w:tc>
          <w:tcPr>
            <w:tcW w:w="4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jc w:val="center"/>
              <w:ind w:right="279"/>
              <w:spacing w:after="0"/>
              <w:rPr>
                <w:sz w:val="20"/>
                <w:szCs w:val="20"/>
                <w:color w:val="auto"/>
              </w:rPr>
            </w:pPr>
            <w:r>
              <w:rPr>
                <w:rFonts w:ascii="Arial" w:cs="Arial" w:eastAsia="Arial" w:hAnsi="Arial"/>
                <w:sz w:val="16"/>
                <w:szCs w:val="16"/>
                <w:b w:val="1"/>
                <w:bCs w:val="1"/>
                <w:color w:val="auto"/>
              </w:rPr>
              <w:t>Supplemental</w:t>
            </w:r>
          </w:p>
        </w:tc>
        <w:tc>
          <w:tcPr>
            <w:tcW w:w="180" w:type="dxa"/>
            <w:vAlign w:val="bottom"/>
          </w:tcPr>
          <w:p>
            <w:pPr>
              <w:spacing w:after="0"/>
              <w:rPr>
                <w:sz w:val="24"/>
                <w:szCs w:val="2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Non-pension</w:t>
            </w:r>
          </w:p>
        </w:tc>
      </w:tr>
      <w:tr>
        <w:trPr>
          <w:trHeight w:val="189"/>
        </w:trPr>
        <w:tc>
          <w:tcPr>
            <w:tcW w:w="4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99"/>
              <w:spacing w:after="0"/>
              <w:rPr>
                <w:sz w:val="20"/>
                <w:szCs w:val="20"/>
                <w:color w:val="auto"/>
              </w:rPr>
            </w:pPr>
            <w:r>
              <w:rPr>
                <w:rFonts w:ascii="Arial" w:cs="Arial" w:eastAsia="Arial" w:hAnsi="Arial"/>
                <w:sz w:val="16"/>
                <w:szCs w:val="16"/>
                <w:b w:val="1"/>
                <w:bCs w:val="1"/>
                <w:color w:val="auto"/>
              </w:rPr>
              <w:t>Non-qualified</w:t>
            </w:r>
          </w:p>
        </w:tc>
        <w:tc>
          <w:tcPr>
            <w:tcW w:w="18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Defined Benefit</w:t>
            </w:r>
          </w:p>
        </w:tc>
      </w:tr>
      <w:tr>
        <w:trPr>
          <w:trHeight w:val="189"/>
        </w:trPr>
        <w:tc>
          <w:tcPr>
            <w:tcW w:w="4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Defined Benefit</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Postretirement</w:t>
            </w:r>
          </w:p>
        </w:tc>
      </w:tr>
      <w:tr>
        <w:trPr>
          <w:trHeight w:val="217"/>
        </w:trPr>
        <w:tc>
          <w:tcPr>
            <w:tcW w:w="4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Pension Plan</w:t>
            </w:r>
          </w:p>
        </w:tc>
        <w:tc>
          <w:tcPr>
            <w:tcW w:w="340" w:type="dxa"/>
            <w:vAlign w:val="bottom"/>
          </w:tcPr>
          <w:p>
            <w:pPr>
              <w:spacing w:after="0"/>
              <w:rPr>
                <w:sz w:val="18"/>
                <w:szCs w:val="18"/>
                <w:color w:val="auto"/>
              </w:rPr>
            </w:pPr>
          </w:p>
        </w:tc>
        <w:tc>
          <w:tcPr>
            <w:tcW w:w="1460" w:type="dxa"/>
            <w:vAlign w:val="bottom"/>
          </w:tcPr>
          <w:p>
            <w:pPr>
              <w:jc w:val="center"/>
              <w:ind w:right="239"/>
              <w:spacing w:after="0"/>
              <w:rPr>
                <w:sz w:val="20"/>
                <w:szCs w:val="20"/>
                <w:color w:val="auto"/>
              </w:rPr>
            </w:pPr>
            <w:r>
              <w:rPr>
                <w:rFonts w:ascii="Arial" w:cs="Arial" w:eastAsia="Arial" w:hAnsi="Arial"/>
                <w:sz w:val="16"/>
                <w:szCs w:val="16"/>
                <w:b w:val="1"/>
                <w:bCs w:val="1"/>
                <w:color w:val="auto"/>
                <w:w w:val="98"/>
              </w:rPr>
              <w:t>Plans</w:t>
            </w:r>
          </w:p>
        </w:tc>
        <w:tc>
          <w:tcPr>
            <w:tcW w:w="18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Healthcare Plan</w:t>
            </w: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15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26,889</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2,231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5,600</w:t>
            </w:r>
          </w:p>
        </w:tc>
        <w:tc>
          <w:tcPr>
            <w:tcW w:w="4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2024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26,882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2,417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5,313</w:t>
            </w:r>
          </w:p>
        </w:tc>
        <w:tc>
          <w:tcPr>
            <w:tcW w:w="40" w:type="dxa"/>
            <w:vAlign w:val="bottom"/>
          </w:tcPr>
          <w:p>
            <w:pPr>
              <w:spacing w:after="0"/>
              <w:rPr>
                <w:sz w:val="18"/>
                <w:szCs w:val="18"/>
                <w:color w:val="auto"/>
              </w:rPr>
            </w:pPr>
          </w:p>
        </w:tc>
      </w:tr>
      <w:tr>
        <w:trPr>
          <w:trHeight w:val="217"/>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27,870</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2,764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5,022</w:t>
            </w:r>
          </w:p>
        </w:tc>
        <w:tc>
          <w:tcPr>
            <w:tcW w:w="4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2026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28,182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2,790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4,883</w:t>
            </w:r>
          </w:p>
        </w:tc>
        <w:tc>
          <w:tcPr>
            <w:tcW w:w="40" w:type="dxa"/>
            <w:vAlign w:val="bottom"/>
          </w:tcPr>
          <w:p>
            <w:pPr>
              <w:spacing w:after="0"/>
              <w:rPr>
                <w:sz w:val="18"/>
                <w:szCs w:val="18"/>
                <w:color w:val="auto"/>
              </w:rPr>
            </w:pPr>
          </w:p>
        </w:tc>
      </w:tr>
      <w:tr>
        <w:trPr>
          <w:trHeight w:val="217"/>
        </w:trPr>
        <w:tc>
          <w:tcPr>
            <w:tcW w:w="4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28,166</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2,727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4,769</w:t>
            </w:r>
          </w:p>
        </w:tc>
        <w:tc>
          <w:tcPr>
            <w:tcW w:w="4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2028 -2032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140,416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12,184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21,147</w:t>
            </w:r>
          </w:p>
        </w:tc>
        <w:tc>
          <w:tcPr>
            <w:tcW w:w="40" w:type="dxa"/>
            <w:vAlign w:val="bottom"/>
          </w:tcPr>
          <w:p>
            <w:pPr>
              <w:spacing w:after="0"/>
              <w:rPr>
                <w:sz w:val="18"/>
                <w:szCs w:val="18"/>
                <w:color w:val="auto"/>
              </w:rPr>
            </w:pPr>
          </w:p>
        </w:tc>
      </w:tr>
      <w:tr>
        <w:trPr>
          <w:trHeight w:val="418"/>
        </w:trPr>
        <w:tc>
          <w:tcPr>
            <w:tcW w:w="4480" w:type="dxa"/>
            <w:vAlign w:val="bottom"/>
          </w:tcPr>
          <w:p>
            <w:pPr>
              <w:spacing w:after="0"/>
              <w:rPr>
                <w:sz w:val="24"/>
                <w:szCs w:val="24"/>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0"/>
        </w:trPr>
        <w:tc>
          <w:tcPr>
            <w:tcW w:w="4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18" w:right="29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PLANS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On April 26, 2022, our shareholders approved the Amended and Restated 2015 Omnibus Incentive Plan (the "Amended Plan"), which was adopted by our Board of Directors and became effective on February 24, 2022. The Amended Plan increased the number of shares available for issuance under the 2015 Plan from 1,200,000 to a total of 2,900,000. The Amended Plan allows for the granting of stock, restricted stock, restricted stock units, stock options, performance shares and performance share units. We had 2,213,716 shares available to grant at December 31, 2022.</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2022, total unrecognized compensation expense related to non-vested stock awards was approximately $12 million and is expected to be recognized over a weighted-average period of 1.7 years. Stock-based compensation expense, which is included in Operations and maintenance on the accompanying Consolidated Statements of Income, was as follows for the years ended December 31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0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8,551</w:t>
            </w:r>
          </w:p>
        </w:tc>
        <w:tc>
          <w:tcPr>
            <w:tcW w:w="102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9,655</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5,373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20" w:type="dxa"/>
            <w:vAlign w:val="bottom"/>
            <w:gridSpan w:val="2"/>
          </w:tcPr>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2022, was as follows: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79"/>
        </w:trPr>
        <w:tc>
          <w:tcPr>
            <w:tcW w:w="7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Weighted-Average</w:t>
            </w:r>
          </w:p>
        </w:tc>
      </w:tr>
      <w:tr>
        <w:trPr>
          <w:trHeight w:val="217"/>
        </w:trPr>
        <w:tc>
          <w:tcPr>
            <w:tcW w:w="7220" w:type="dxa"/>
            <w:vAlign w:val="bottom"/>
          </w:tcPr>
          <w:p>
            <w:pPr>
              <w:spacing w:after="0"/>
              <w:rPr>
                <w:sz w:val="18"/>
                <w:szCs w:val="18"/>
                <w:color w:val="auto"/>
              </w:rPr>
            </w:pPr>
          </w:p>
        </w:tc>
        <w:tc>
          <w:tcPr>
            <w:tcW w:w="16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Restricted Stock</w:t>
            </w:r>
          </w:p>
        </w:tc>
        <w:tc>
          <w:tcPr>
            <w:tcW w:w="4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Grant Date Fair Value</w:t>
            </w:r>
          </w:p>
        </w:tc>
      </w:tr>
      <w:tr>
        <w:trPr>
          <w:trHeight w:val="210"/>
        </w:trPr>
        <w:tc>
          <w:tcPr>
            <w:tcW w:w="7220" w:type="dxa"/>
            <w:vAlign w:val="bottom"/>
          </w:tcPr>
          <w:p>
            <w:pPr>
              <w:spacing w:after="0"/>
              <w:rPr>
                <w:sz w:val="18"/>
                <w:szCs w:val="18"/>
                <w:color w:val="auto"/>
              </w:rPr>
            </w:pPr>
          </w:p>
        </w:tc>
        <w:tc>
          <w:tcPr>
            <w:tcW w:w="1600" w:type="dxa"/>
            <w:vAlign w:val="bottom"/>
          </w:tcPr>
          <w:p>
            <w:pPr>
              <w:jc w:val="center"/>
              <w:ind w:left="19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88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January 1, 2022</w:t>
            </w:r>
          </w:p>
        </w:tc>
        <w:tc>
          <w:tcPr>
            <w:tcW w:w="4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7"/>
              </w:rPr>
              <w:t>219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67.64</w:t>
            </w:r>
          </w:p>
        </w:tc>
      </w:tr>
      <w:tr>
        <w:trPr>
          <w:trHeight w:val="215"/>
        </w:trPr>
        <w:tc>
          <w:tcPr>
            <w:tcW w:w="88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69.03</w:t>
            </w:r>
          </w:p>
        </w:tc>
      </w:tr>
      <w:tr>
        <w:trPr>
          <w:trHeight w:val="217"/>
        </w:trPr>
        <w:tc>
          <w:tcPr>
            <w:tcW w:w="88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(94 )</w:t>
            </w: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69.64</w:t>
            </w:r>
          </w:p>
        </w:tc>
      </w:tr>
      <w:tr>
        <w:trPr>
          <w:trHeight w:val="215"/>
        </w:trPr>
        <w:tc>
          <w:tcPr>
            <w:tcW w:w="8820" w:type="dxa"/>
            <w:vAlign w:val="bottom"/>
            <w:gridSpan w:val="2"/>
          </w:tcPr>
          <w:p>
            <w:pPr>
              <w:ind w:left="20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66.03</w:t>
            </w:r>
          </w:p>
        </w:tc>
      </w:tr>
      <w:tr>
        <w:trPr>
          <w:trHeight w:val="250"/>
        </w:trPr>
        <w:tc>
          <w:tcPr>
            <w:tcW w:w="7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60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97"/>
              </w:rPr>
              <w:t>179</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67.23</w:t>
            </w:r>
          </w:p>
        </w:tc>
      </w:tr>
    </w:tbl>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299"/>
              <w:spacing w:after="0"/>
              <w:rPr>
                <w:sz w:val="20"/>
                <w:szCs w:val="20"/>
                <w:color w:val="auto"/>
              </w:rPr>
            </w:pPr>
            <w:r>
              <w:rPr>
                <w:rFonts w:ascii="Arial" w:cs="Arial" w:eastAsia="Arial" w:hAnsi="Arial"/>
                <w:sz w:val="16"/>
                <w:szCs w:val="16"/>
                <w:b w:val="1"/>
                <w:bCs w:val="1"/>
                <w:color w:val="auto"/>
              </w:rPr>
              <w:t>Weighted-Average</w:t>
            </w:r>
          </w:p>
        </w:tc>
        <w:tc>
          <w:tcPr>
            <w:tcW w:w="300" w:type="dxa"/>
            <w:vAlign w:val="bottom"/>
          </w:tcPr>
          <w:p>
            <w:pPr>
              <w:spacing w:after="0"/>
              <w:rPr>
                <w:sz w:val="16"/>
                <w:szCs w:val="16"/>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 Fair Value of</w:t>
            </w:r>
          </w:p>
        </w:tc>
      </w:tr>
      <w:tr>
        <w:trPr>
          <w:trHeight w:val="217"/>
        </w:trPr>
        <w:tc>
          <w:tcPr>
            <w:tcW w:w="7240" w:type="dxa"/>
            <w:vAlign w:val="bottom"/>
          </w:tcPr>
          <w:p>
            <w:pPr>
              <w:spacing w:after="0"/>
              <w:rPr>
                <w:sz w:val="18"/>
                <w:szCs w:val="18"/>
                <w:color w:val="auto"/>
              </w:rPr>
            </w:pPr>
          </w:p>
        </w:tc>
        <w:tc>
          <w:tcPr>
            <w:tcW w:w="19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Grant Date Fair Value</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 Vested</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7240" w:type="dxa"/>
            <w:vAlign w:val="bottom"/>
            <w:shd w:val="clear" w:color="auto" w:fill="CFF0FC"/>
          </w:tcPr>
          <w:p>
            <w:pPr>
              <w:jc w:val="right"/>
              <w:ind w:right="6779"/>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69.03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6,436</w:t>
            </w:r>
          </w:p>
        </w:tc>
      </w:tr>
      <w:tr>
        <w:trPr>
          <w:trHeight w:val="215"/>
        </w:trPr>
        <w:tc>
          <w:tcPr>
            <w:tcW w:w="7240" w:type="dxa"/>
            <w:vAlign w:val="bottom"/>
          </w:tcPr>
          <w:p>
            <w:pPr>
              <w:jc w:val="right"/>
              <w:ind w:right="6779"/>
              <w:spacing w:after="0"/>
              <w:rPr>
                <w:sz w:val="20"/>
                <w:szCs w:val="20"/>
                <w:color w:val="auto"/>
              </w:rPr>
            </w:pPr>
            <w:r>
              <w:rPr>
                <w:rFonts w:ascii="Arial" w:cs="Arial" w:eastAsia="Arial" w:hAnsi="Arial"/>
                <w:sz w:val="16"/>
                <w:szCs w:val="16"/>
                <w:color w:val="auto"/>
              </w:rPr>
              <w:t>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99"/>
              <w:spacing w:after="0"/>
              <w:rPr>
                <w:sz w:val="20"/>
                <w:szCs w:val="20"/>
                <w:color w:val="auto"/>
              </w:rPr>
            </w:pPr>
            <w:r>
              <w:rPr>
                <w:rFonts w:ascii="Arial" w:cs="Arial" w:eastAsia="Arial" w:hAnsi="Arial"/>
                <w:sz w:val="16"/>
                <w:szCs w:val="16"/>
                <w:color w:val="auto"/>
              </w:rPr>
              <w:t>65.64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5,400</w:t>
            </w:r>
          </w:p>
        </w:tc>
      </w:tr>
      <w:tr>
        <w:trPr>
          <w:trHeight w:val="217"/>
        </w:trPr>
        <w:tc>
          <w:tcPr>
            <w:tcW w:w="7240" w:type="dxa"/>
            <w:vAlign w:val="bottom"/>
            <w:shd w:val="clear" w:color="auto" w:fill="CFF0FC"/>
          </w:tcPr>
          <w:p>
            <w:pPr>
              <w:jc w:val="right"/>
              <w:ind w:right="6779"/>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69.49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6,722</w:t>
            </w:r>
          </w:p>
        </w:tc>
      </w:tr>
    </w:tbl>
    <w:p>
      <w:pPr>
        <w:spacing w:after="0" w:line="18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As of December 31, 2022, there was $7.5 million of unrecognized compensation expense related to non-vested restricted stock that is expected to be recognized over a weighted-average period of 1.7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Plan</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Prior to 2021, certain officers of the Company and its subsidiaries became participants in a market-based performance share award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15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These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$1.4 million at December 31, 2022 would be reclassified as a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performance periods at December 31, 2022 were as follows (shares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Possible Payout Range of Target</w:t>
            </w:r>
          </w:p>
        </w:tc>
      </w:tr>
      <w:tr>
        <w:trPr>
          <w:trHeight w:val="182"/>
        </w:trPr>
        <w:tc>
          <w:tcPr>
            <w:tcW w:w="29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7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Target Grant of</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7"/>
        </w:trPr>
        <w:tc>
          <w:tcPr>
            <w:tcW w:w="29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Grant Date</w:t>
            </w:r>
          </w:p>
        </w:tc>
        <w:tc>
          <w:tcPr>
            <w:tcW w:w="37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Performance Period</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Minimum</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210"/>
        </w:trPr>
        <w:tc>
          <w:tcPr>
            <w:tcW w:w="290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January 1, 2020</w:t>
            </w:r>
          </w:p>
        </w:tc>
        <w:tc>
          <w:tcPr>
            <w:tcW w:w="3760" w:type="dxa"/>
            <w:vAlign w:val="bottom"/>
            <w:shd w:val="clear" w:color="auto" w:fill="CFF0FC"/>
          </w:tcPr>
          <w:p>
            <w:pPr>
              <w:jc w:val="center"/>
              <w:ind w:left="399"/>
              <w:spacing w:after="0"/>
              <w:rPr>
                <w:sz w:val="20"/>
                <w:szCs w:val="20"/>
                <w:color w:val="auto"/>
              </w:rPr>
            </w:pPr>
            <w:r>
              <w:rPr>
                <w:rFonts w:ascii="Arial" w:cs="Arial" w:eastAsia="Arial" w:hAnsi="Arial"/>
                <w:sz w:val="16"/>
                <w:szCs w:val="16"/>
                <w:color w:val="auto"/>
              </w:rPr>
              <w:t>January 1, 2020 - December 31, 2022</w:t>
            </w:r>
          </w:p>
        </w:tc>
        <w:tc>
          <w:tcPr>
            <w:tcW w:w="17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36</w:t>
            </w:r>
          </w:p>
        </w:tc>
        <w:tc>
          <w:tcPr>
            <w:tcW w:w="142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0%</w:t>
            </w:r>
          </w:p>
        </w:tc>
        <w:tc>
          <w:tcPr>
            <w:tcW w:w="142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200%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Performance Share Plan at December 31, 2022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6"/>
                <w:szCs w:val="16"/>
                <w:b w:val="1"/>
                <w:bCs w:val="1"/>
                <w:color w:val="auto"/>
              </w:rPr>
              <w:t>Equity Portion</w:t>
            </w:r>
          </w:p>
        </w:tc>
        <w:tc>
          <w:tcPr>
            <w:tcW w:w="30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Liability Portion</w:t>
            </w:r>
          </w:p>
        </w:tc>
      </w:tr>
      <w:tr>
        <w:trPr>
          <w:trHeight w:val="182"/>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Weighted-Average</w:t>
            </w:r>
          </w:p>
        </w:tc>
        <w:tc>
          <w:tcPr>
            <w:tcW w:w="1380" w:type="dxa"/>
            <w:vAlign w:val="bottom"/>
          </w:tcPr>
          <w:p>
            <w:pPr>
              <w:spacing w:after="0"/>
              <w:rPr>
                <w:sz w:val="15"/>
                <w:szCs w:val="15"/>
                <w:color w:val="auto"/>
              </w:rPr>
            </w:pPr>
          </w:p>
        </w:tc>
        <w:tc>
          <w:tcPr>
            <w:tcW w:w="168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Weighted-Average</w:t>
            </w:r>
          </w:p>
        </w:tc>
      </w:tr>
      <w:tr>
        <w:trPr>
          <w:trHeight w:val="189"/>
        </w:trPr>
        <w:tc>
          <w:tcPr>
            <w:tcW w:w="5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Grant Date</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 at</w:t>
            </w:r>
          </w:p>
        </w:tc>
      </w:tr>
      <w:tr>
        <w:trPr>
          <w:trHeight w:val="243"/>
        </w:trPr>
        <w:tc>
          <w:tcPr>
            <w:tcW w:w="5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Shares</w:t>
            </w: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21"/>
                <w:szCs w:val="21"/>
                <w:b w:val="1"/>
                <w:bCs w:val="1"/>
                <w:color w:val="auto"/>
                <w:vertAlign w:val="superscript"/>
              </w:rPr>
              <w:t>(a)</w:t>
            </w: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5180" w:type="dxa"/>
            <w:vAlign w:val="bottom"/>
          </w:tcPr>
          <w:p>
            <w:pPr>
              <w:spacing w:after="0"/>
              <w:rPr>
                <w:sz w:val="18"/>
                <w:szCs w:val="18"/>
                <w:color w:val="auto"/>
              </w:rPr>
            </w:pPr>
          </w:p>
        </w:tc>
        <w:tc>
          <w:tcPr>
            <w:tcW w:w="13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Performance Shares balance at beginning of period</w:t>
            </w:r>
          </w:p>
        </w:tc>
        <w:tc>
          <w:tcPr>
            <w:tcW w:w="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68.14</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608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6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Forfeited</w:t>
            </w:r>
          </w:p>
        </w:tc>
        <w:tc>
          <w:tcPr>
            <w:tcW w:w="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5"/>
        </w:trPr>
        <w:tc>
          <w:tcPr>
            <w:tcW w:w="608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460" w:type="dxa"/>
            <w:vAlign w:val="bottom"/>
          </w:tcPr>
          <w:p>
            <w:pPr>
              <w:jc w:val="right"/>
              <w:spacing w:after="0"/>
              <w:rPr>
                <w:sz w:val="20"/>
                <w:szCs w:val="20"/>
                <w:color w:val="auto"/>
              </w:rPr>
            </w:pPr>
            <w:r>
              <w:rPr>
                <w:rFonts w:ascii="Arial" w:cs="Arial" w:eastAsia="Arial" w:hAnsi="Arial"/>
                <w:sz w:val="16"/>
                <w:szCs w:val="16"/>
                <w:color w:val="auto"/>
              </w:rPr>
              <w:t>(18 )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68.72</w:t>
            </w:r>
          </w:p>
        </w:tc>
        <w:tc>
          <w:tcPr>
            <w:tcW w:w="1380" w:type="dxa"/>
            <w:vAlign w:val="bottom"/>
          </w:tcPr>
          <w:p>
            <w:pPr>
              <w:jc w:val="right"/>
              <w:spacing w:after="0"/>
              <w:rPr>
                <w:sz w:val="20"/>
                <w:szCs w:val="20"/>
                <w:color w:val="auto"/>
              </w:rPr>
            </w:pPr>
            <w:r>
              <w:rPr>
                <w:rFonts w:ascii="Arial" w:cs="Arial" w:eastAsia="Arial" w:hAnsi="Arial"/>
                <w:sz w:val="16"/>
                <w:szCs w:val="16"/>
                <w:color w:val="auto"/>
              </w:rPr>
              <w:t>(18 )</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9"/>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Performance Shares balance at end of period</w:t>
            </w:r>
          </w:p>
        </w:tc>
        <w:tc>
          <w:tcPr>
            <w:tcW w:w="900" w:type="dxa"/>
            <w:vAlign w:val="bottom"/>
            <w:tcBorders>
              <w:top w:val="single" w:sz="8" w:color="auto"/>
              <w:bottom w:val="single" w:sz="8" w:color="auto"/>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18</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81.42</w:t>
            </w:r>
          </w:p>
        </w:tc>
        <w:tc>
          <w:tcPr>
            <w:tcW w:w="13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18</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3742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0" w:lineRule="exact"/>
        <w:rPr>
          <w:sz w:val="20"/>
          <w:szCs w:val="20"/>
          <w:color w:val="auto"/>
        </w:rPr>
      </w:pPr>
    </w:p>
    <w:p>
      <w:pPr>
        <w:ind w:left="520" w:right="140" w:hanging="512"/>
        <w:spacing w:after="0" w:line="285"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grant date fair values for the performance shares granted in 2020 were determined by Monte Carlo simulation using a blended volatility of 18%, comprised of 50% historical volatility and 50% implied volatility and the average risk-free interest rate of the three-year United States Treasury security rate in effect as of the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performance share awards granted was as follows in the years ended:</w:t>
      </w:r>
    </w:p>
    <w:p>
      <w:pPr>
        <w:spacing w:after="0" w:line="221"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Weighted Average</w:t>
      </w:r>
    </w:p>
    <w:p>
      <w:pPr>
        <w:spacing w:after="0" w:line="21"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10795</wp:posOffset>
            </wp:positionV>
            <wp:extent cx="12769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9220" w:val="left"/>
          <w:tab w:leader="none" w:pos="10700" w:val="left"/>
        </w:tabs>
        <w:rPr>
          <w:sz w:val="20"/>
          <w:szCs w:val="20"/>
          <w:color w:val="auto"/>
        </w:rPr>
      </w:pPr>
      <w:r>
        <w:rPr>
          <w:rFonts w:ascii="Arial" w:cs="Arial" w:eastAsia="Arial" w:hAnsi="Arial"/>
          <w:sz w:val="16"/>
          <w:szCs w:val="16"/>
          <w:color w:val="auto"/>
        </w:rPr>
        <w:t>December 31, 2020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Performance plan payouts have been as follows (in thousands):</w:t>
            </w: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79"/>
        </w:trPr>
        <w:tc>
          <w:tcPr>
            <w:tcW w:w="5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 Intrinsic</w:t>
            </w:r>
          </w:p>
        </w:tc>
      </w:tr>
      <w:tr>
        <w:trPr>
          <w:trHeight w:val="21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 Period</w:t>
            </w:r>
          </w:p>
        </w:tc>
        <w:tc>
          <w:tcPr>
            <w:tcW w:w="16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Year Paid</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Stock Issued</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Cash Paid</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Value</w:t>
            </w:r>
          </w:p>
        </w:tc>
      </w:tr>
      <w:tr>
        <w:trPr>
          <w:trHeight w:val="210"/>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2019 to December 31, 2021</w:t>
            </w:r>
          </w:p>
        </w:tc>
        <w:tc>
          <w:tcPr>
            <w:tcW w:w="16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519</w:t>
            </w:r>
          </w:p>
        </w:tc>
        <w:tc>
          <w:tcPr>
            <w:tcW w:w="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1,038</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January 1, 2018 to December 31, 2020</w:t>
            </w:r>
          </w:p>
        </w:tc>
        <w:tc>
          <w:tcPr>
            <w:tcW w:w="1680" w:type="dxa"/>
            <w:vAlign w:val="bottom"/>
          </w:tcPr>
          <w:p>
            <w:pPr>
              <w:jc w:val="center"/>
              <w:ind w:left="439"/>
              <w:spacing w:after="0"/>
              <w:rPr>
                <w:sz w:val="20"/>
                <w:szCs w:val="20"/>
                <w:color w:val="auto"/>
              </w:rPr>
            </w:pPr>
            <w:r>
              <w:rPr>
                <w:rFonts w:ascii="Arial" w:cs="Arial" w:eastAsia="Arial" w:hAnsi="Arial"/>
                <w:sz w:val="16"/>
                <w:szCs w:val="16"/>
                <w:color w:val="auto"/>
              </w:rPr>
              <w:t>2021</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1,647</w:t>
            </w:r>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3,294</w:t>
            </w:r>
          </w:p>
        </w:tc>
      </w:tr>
      <w:tr>
        <w:trPr>
          <w:trHeight w:val="217"/>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2017 to December 31, 2019</w:t>
            </w:r>
          </w:p>
        </w:tc>
        <w:tc>
          <w:tcPr>
            <w:tcW w:w="168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2020</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3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2,199</w:t>
            </w:r>
          </w:p>
        </w:tc>
      </w:tr>
    </w:tbl>
    <w:p>
      <w:pPr>
        <w:spacing w:after="0" w:line="18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January 25, 2023, the Compensation Committee of our Board of Directors determined that the Company’s total shareholder return for the January 1, 2020 to December 31, 2022 performance period was at the 26th percentile of its peer group and confirmed a payout equal to 27% of target shares, valued at $0.7 million. The payout was fully accrued at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Units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Beginning in 2021, certain officers of the Company, and its subsidiaries, were granted performance share units which have a three-year vesting period, do not have voting rights until vested, and are subject to three specified conditions. A market condition of relative total shareholder return, and two equally weighted performance metrics of average earnings per share and the average cost to serve. The units are paid 100% in common stock should conditions be met and can range from 0% to 200% of the target award. Dividend equivalents are accrued during the vesting period and paid out based on the final number of shares awarded. In the event of participant’s death or retirement at age 55 or older, shares awarded vest on a pro-rata basis over the three-year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Market Condition</w:t>
      </w:r>
    </w:p>
    <w:p>
      <w:pPr>
        <w:spacing w:after="0" w:line="19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fair value of each share unit is based on the Company’s closing price at December 31 of the year prior to the award and a Monte Carlo simulation. The Monte Carlo simulation is used to estimate expected share payout based on the Company’s TSR for a three-year performance period relative to the designated peer group beginning January 1 of the award year.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10"/>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share units award</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74.48</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64.97</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Three-year risk-free rate</w:t>
            </w:r>
          </w:p>
        </w:tc>
        <w:tc>
          <w:tcPr>
            <w:tcW w:w="1940" w:type="dxa"/>
            <w:vAlign w:val="bottom"/>
          </w:tcPr>
          <w:p>
            <w:pPr>
              <w:jc w:val="center"/>
              <w:spacing w:after="0"/>
              <w:rPr>
                <w:sz w:val="20"/>
                <w:szCs w:val="20"/>
                <w:color w:val="auto"/>
              </w:rPr>
            </w:pPr>
            <w:r>
              <w:rPr>
                <w:rFonts w:ascii="Arial" w:cs="Arial" w:eastAsia="Arial" w:hAnsi="Arial"/>
                <w:sz w:val="16"/>
                <w:szCs w:val="16"/>
                <w:color w:val="auto"/>
              </w:rPr>
              <w:t>0.97%</w:t>
            </w:r>
          </w:p>
        </w:tc>
        <w:tc>
          <w:tcPr>
            <w:tcW w:w="1940" w:type="dxa"/>
            <w:vAlign w:val="bottom"/>
          </w:tcPr>
          <w:p>
            <w:pPr>
              <w:jc w:val="center"/>
              <w:spacing w:after="0"/>
              <w:rPr>
                <w:sz w:val="20"/>
                <w:szCs w:val="20"/>
                <w:color w:val="auto"/>
              </w:rPr>
            </w:pPr>
            <w:r>
              <w:rPr>
                <w:rFonts w:ascii="Arial" w:cs="Arial" w:eastAsia="Arial" w:hAnsi="Arial"/>
                <w:sz w:val="16"/>
                <w:szCs w:val="16"/>
                <w:color w:val="auto"/>
              </w:rPr>
              <w:t>0.17%</w:t>
            </w: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Corporation’s common stock volatility</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30%</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33%</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Volatility range for the peer group</w:t>
            </w:r>
          </w:p>
        </w:tc>
        <w:tc>
          <w:tcPr>
            <w:tcW w:w="1940" w:type="dxa"/>
            <w:vAlign w:val="bottom"/>
          </w:tcPr>
          <w:p>
            <w:pPr>
              <w:jc w:val="center"/>
              <w:spacing w:after="0"/>
              <w:rPr>
                <w:sz w:val="20"/>
                <w:szCs w:val="20"/>
                <w:color w:val="auto"/>
              </w:rPr>
            </w:pPr>
            <w:r>
              <w:rPr>
                <w:rFonts w:ascii="Arial" w:cs="Arial" w:eastAsia="Arial" w:hAnsi="Arial"/>
                <w:sz w:val="16"/>
                <w:szCs w:val="16"/>
                <w:color w:val="auto"/>
              </w:rPr>
              <w:t>22-67%</w:t>
            </w:r>
          </w:p>
        </w:tc>
        <w:tc>
          <w:tcPr>
            <w:tcW w:w="1940" w:type="dxa"/>
            <w:vAlign w:val="bottom"/>
          </w:tcPr>
          <w:p>
            <w:pPr>
              <w:jc w:val="center"/>
              <w:spacing w:after="0"/>
              <w:rPr>
                <w:sz w:val="20"/>
                <w:szCs w:val="20"/>
                <w:color w:val="auto"/>
              </w:rPr>
            </w:pPr>
            <w:r>
              <w:rPr>
                <w:rFonts w:ascii="Arial" w:cs="Arial" w:eastAsia="Arial" w:hAnsi="Arial"/>
                <w:sz w:val="16"/>
                <w:szCs w:val="16"/>
                <w:color w:val="auto"/>
              </w:rPr>
              <w:t>25-76%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Performance Condition</w:t>
      </w:r>
    </w:p>
    <w:p>
      <w:pPr>
        <w:spacing w:after="0" w:line="19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 performance condition share unit vests at the end of the three-year performance period if the specified performance conditions are achieved. The conditions are based on the Company’s average earnings per share and the average cost to serve. The grant-date fair value for an individual outcome of a performance condition is determined by the closing common share price on the grant date.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performance share unit activity for the year ended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62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Performance Share Units -</w:t>
            </w:r>
          </w:p>
        </w:tc>
        <w:tc>
          <w:tcPr>
            <w:tcW w:w="34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Performance Share Units -</w:t>
            </w:r>
          </w:p>
        </w:tc>
      </w:tr>
      <w:tr>
        <w:trPr>
          <w:trHeight w:val="217"/>
        </w:trPr>
        <w:tc>
          <w:tcPr>
            <w:tcW w:w="4200" w:type="dxa"/>
            <w:vAlign w:val="bottom"/>
          </w:tcPr>
          <w:p>
            <w:pPr>
              <w:spacing w:after="0"/>
              <w:rPr>
                <w:sz w:val="18"/>
                <w:szCs w:val="18"/>
                <w:color w:val="auto"/>
              </w:rPr>
            </w:pPr>
          </w:p>
        </w:tc>
        <w:tc>
          <w:tcPr>
            <w:tcW w:w="362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Market Condition</w:t>
            </w:r>
          </w:p>
        </w:tc>
        <w:tc>
          <w:tcPr>
            <w:tcW w:w="342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Performance Condition</w:t>
            </w:r>
          </w:p>
        </w:tc>
      </w:tr>
      <w:tr>
        <w:trPr>
          <w:trHeight w:val="182"/>
        </w:trPr>
        <w:tc>
          <w:tcPr>
            <w:tcW w:w="4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gridSpan w:val="2"/>
          </w:tcPr>
          <w:p>
            <w:pPr>
              <w:jc w:val="right"/>
              <w:ind w:right="259"/>
              <w:spacing w:after="0" w:line="182" w:lineRule="exact"/>
              <w:rPr>
                <w:sz w:val="20"/>
                <w:szCs w:val="20"/>
                <w:color w:val="auto"/>
              </w:rPr>
            </w:pPr>
            <w:r>
              <w:rPr>
                <w:rFonts w:ascii="Arial" w:cs="Arial" w:eastAsia="Arial" w:hAnsi="Arial"/>
                <w:sz w:val="16"/>
                <w:szCs w:val="16"/>
                <w:b w:val="1"/>
                <w:bCs w:val="1"/>
                <w:color w:val="auto"/>
              </w:rPr>
              <w:t>Weighted-Average</w:t>
            </w:r>
          </w:p>
        </w:tc>
        <w:tc>
          <w:tcPr>
            <w:tcW w:w="1620" w:type="dxa"/>
            <w:vAlign w:val="bottom"/>
          </w:tcPr>
          <w:p>
            <w:pPr>
              <w:spacing w:after="0"/>
              <w:rPr>
                <w:sz w:val="15"/>
                <w:szCs w:val="15"/>
                <w:color w:val="auto"/>
              </w:rPr>
            </w:pPr>
          </w:p>
        </w:tc>
        <w:tc>
          <w:tcPr>
            <w:tcW w:w="1800" w:type="dxa"/>
            <w:vAlign w:val="bottom"/>
            <w:gridSpan w:val="2"/>
          </w:tcPr>
          <w:p>
            <w:pPr>
              <w:jc w:val="right"/>
              <w:ind w:right="119"/>
              <w:spacing w:after="0" w:line="182" w:lineRule="exact"/>
              <w:rPr>
                <w:sz w:val="20"/>
                <w:szCs w:val="20"/>
                <w:color w:val="auto"/>
              </w:rPr>
            </w:pPr>
            <w:r>
              <w:rPr>
                <w:rFonts w:ascii="Arial" w:cs="Arial" w:eastAsia="Arial" w:hAnsi="Arial"/>
                <w:sz w:val="16"/>
                <w:szCs w:val="16"/>
                <w:b w:val="1"/>
                <w:bCs w:val="1"/>
                <w:color w:val="auto"/>
              </w:rPr>
              <w:t>Weighted-Average</w:t>
            </w:r>
          </w:p>
        </w:tc>
      </w:tr>
      <w:tr>
        <w:trPr>
          <w:trHeight w:val="189"/>
        </w:trPr>
        <w:tc>
          <w:tcPr>
            <w:tcW w:w="4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 per</w:t>
            </w: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 per</w:t>
            </w:r>
          </w:p>
        </w:tc>
      </w:tr>
      <w:tr>
        <w:trPr>
          <w:trHeight w:val="217"/>
        </w:trPr>
        <w:tc>
          <w:tcPr>
            <w:tcW w:w="4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Share Units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 Unit</w:t>
            </w: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 Units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 Unit</w:t>
            </w:r>
          </w:p>
        </w:tc>
      </w:tr>
      <w:tr>
        <w:trPr>
          <w:trHeight w:val="210"/>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Nonvested at January 1, 2022</w:t>
            </w:r>
          </w:p>
        </w:tc>
        <w:tc>
          <w:tcPr>
            <w:tcW w:w="1680" w:type="dxa"/>
            <w:vAlign w:val="bottom"/>
            <w:shd w:val="clear" w:color="auto" w:fill="CFF0FC"/>
          </w:tcPr>
          <w:p>
            <w:pPr>
              <w:ind w:left="1020"/>
              <w:spacing w:after="0"/>
              <w:rPr>
                <w:sz w:val="20"/>
                <w:szCs w:val="20"/>
                <w:color w:val="auto"/>
              </w:rPr>
            </w:pPr>
            <w:r>
              <w:rPr>
                <w:rFonts w:ascii="Arial" w:cs="Arial" w:eastAsia="Arial" w:hAnsi="Arial"/>
                <w:sz w:val="16"/>
                <w:szCs w:val="16"/>
                <w:color w:val="auto"/>
              </w:rPr>
              <w:t>32,903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64.97</w:t>
            </w:r>
          </w:p>
        </w:tc>
        <w:tc>
          <w:tcPr>
            <w:tcW w:w="16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21,948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61.45</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Granted</w:t>
            </w:r>
          </w:p>
        </w:tc>
        <w:tc>
          <w:tcPr>
            <w:tcW w:w="16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35,571</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74.48</w:t>
            </w: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23,718</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70.57</w:t>
            </w: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Nonvested at December 31, 2022</w:t>
            </w:r>
          </w:p>
        </w:tc>
        <w:tc>
          <w:tcPr>
            <w:tcW w:w="168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6"/>
                <w:szCs w:val="16"/>
                <w:color w:val="auto"/>
              </w:rPr>
              <w:t>68,474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69.91</w:t>
            </w:r>
          </w:p>
        </w:tc>
        <w:tc>
          <w:tcPr>
            <w:tcW w:w="16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45,666</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66.19</w:t>
            </w:r>
          </w:p>
        </w:tc>
      </w:tr>
    </w:tbl>
    <w:p>
      <w:pPr>
        <w:spacing w:after="0" w:line="175"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As of December 31, 2022, there was $4.1 million of unrecognized compensation expense related to outstanding performance share/unit plans that is expected to be recognized over a weighted-average period of 1.7 years.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600" w:hanging="592"/>
        <w:spacing w:after="0"/>
        <w:tabs>
          <w:tab w:leader="none" w:pos="60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Winter Storm Uri</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above, our Utilities received final commission approval for all of our Winter Storm Uri cost recovery applications, which will allow full recovery of our $546 million of incremental fuel, purchased power and natural gas costs. We will recover these costs from customers over several years, which will increase our taxable income on our tax returns by the amounts collected for each respective year. The incremental costs from Winter Storm Uri were deductible in our 2021 tax return and created a net deferred tax liability, which had balances as of December 31, 2022 and 2021 of $85 million and $124 million, respectively. The deferred tax liability is reversed with the same timing as the costs are recovered from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-510540</wp:posOffset>
            </wp:positionV>
            <wp:extent cx="3028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income tax deduction recognized from Winter Storm Uri created a $509 million NOL in our 2021 federal income tax return and a $375 million NOL in our state income tax returns. Our federal NOL carryforwards related to Winter Storm Uri and other recent adjustments no longer expire due to the TCJA; however, our state NOL carryforwards expire at various dates from 2023 to 2041. We do not anticipate material changes to our valuation allowance against the state NOL carryforwards from Winter Storm Uri. Therefore, we did not record an additional valuation allowance against the state NOL carryforwards as of December 31, 2022 and 2021.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TCJA</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TCJA. The TCJA reduced the U.S. federal corporate tax rate from 35% to 21%. As such, the Company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federal and state utility commissions, which could have a material impact on the Company’s future results of operations, cash flows or financial position. A majority of the excess deferred taxes are subject to the average rate assumption method, as prescribed by the IRS, and will generally be amortized as a reduction of customer rates over the remaining lives of the related assets. For the years ended December 31, 2022, 2021 and 2020, respectively, the Company has amortized, or provided bill credits for, $11 million, $23 million and $13 million of the regulatory liability. The portion that was eligible for amortization under the average rate assumption method in 2021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16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Beginning in 2022, the TJCA modified IRC 174 which changes how taxpayers account for research and development costs. After the IRC 174 modification, taxpayers must amortize specified research and experimental expenditures performed in the United States ratably over five years instead of deducting research and experimental expenditures. This modification did not have a material impact for the year ended December 31, 2022.</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0"/>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4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29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(467 )</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(6,020 )</w:t>
            </w:r>
          </w:p>
        </w:tc>
      </w:tr>
      <w:tr>
        <w:trPr>
          <w:trHeight w:val="216"/>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2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80</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(666 )</w:t>
            </w:r>
          </w:p>
        </w:tc>
        <w:tc>
          <w:tcPr>
            <w:tcW w:w="3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847</w:t>
            </w:r>
          </w:p>
        </w:tc>
      </w:tr>
      <w:tr>
        <w:trPr>
          <w:trHeight w:val="209"/>
        </w:trPr>
        <w:tc>
          <w:tcPr>
            <w:tcW w:w="4000" w:type="dxa"/>
            <w:vAlign w:val="bottom"/>
          </w:tcPr>
          <w:p>
            <w:pPr>
              <w:ind w:left="380"/>
              <w:spacing w:after="0"/>
              <w:rPr>
                <w:sz w:val="20"/>
                <w:szCs w:val="20"/>
                <w:color w:val="auto"/>
              </w:rPr>
            </w:pPr>
            <w:r>
              <w:rPr>
                <w:rFonts w:ascii="Arial" w:cs="Arial" w:eastAsia="Arial" w:hAnsi="Arial"/>
                <w:sz w:val="16"/>
                <w:szCs w:val="16"/>
                <w:color w:val="auto"/>
              </w:rPr>
              <w:t>Current income tax (benefit)</w:t>
            </w:r>
          </w:p>
        </w:tc>
        <w:tc>
          <w:tcPr>
            <w:tcW w:w="2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(387 )</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(92 )</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(5,173 )</w:t>
            </w:r>
          </w:p>
        </w:tc>
      </w:tr>
      <w:tr>
        <w:trPr>
          <w:trHeight w:val="210"/>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4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23,205</w:t>
            </w:r>
          </w:p>
        </w:tc>
        <w:tc>
          <w:tcPr>
            <w:tcW w:w="40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2,170</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35,672</w:t>
            </w:r>
          </w:p>
        </w:tc>
      </w:tr>
      <w:tr>
        <w:trPr>
          <w:trHeight w:val="216"/>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2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2,387</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5,091</w:t>
            </w:r>
          </w:p>
        </w:tc>
        <w:tc>
          <w:tcPr>
            <w:tcW w:w="3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2,419</w:t>
            </w:r>
          </w:p>
        </w:tc>
      </w:tr>
      <w:tr>
        <w:trPr>
          <w:trHeight w:val="209"/>
        </w:trPr>
        <w:tc>
          <w:tcPr>
            <w:tcW w:w="4000" w:type="dxa"/>
            <w:vAlign w:val="bottom"/>
          </w:tcPr>
          <w:p>
            <w:pPr>
              <w:ind w:left="380"/>
              <w:spacing w:after="0"/>
              <w:rPr>
                <w:sz w:val="20"/>
                <w:szCs w:val="20"/>
                <w:color w:val="auto"/>
              </w:rPr>
            </w:pPr>
            <w:r>
              <w:rPr>
                <w:rFonts w:ascii="Arial" w:cs="Arial" w:eastAsia="Arial" w:hAnsi="Arial"/>
                <w:sz w:val="16"/>
                <w:szCs w:val="16"/>
                <w:color w:val="auto"/>
              </w:rPr>
              <w:t>Deferred income tax expense</w:t>
            </w:r>
          </w:p>
        </w:tc>
        <w:tc>
          <w:tcPr>
            <w:tcW w:w="2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25,592</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7,261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38,091</w:t>
            </w:r>
          </w:p>
        </w:tc>
      </w:tr>
      <w:tr>
        <w:trPr>
          <w:trHeight w:val="210"/>
        </w:trPr>
        <w:tc>
          <w:tcPr>
            <w:tcW w:w="400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9"/>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26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25,205</w:t>
            </w:r>
          </w:p>
        </w:tc>
        <w:tc>
          <w:tcPr>
            <w:tcW w:w="4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7,169</w:t>
            </w:r>
          </w:p>
        </w:tc>
        <w:tc>
          <w:tcPr>
            <w:tcW w:w="3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32,918</w:t>
            </w:r>
          </w:p>
        </w:tc>
      </w:tr>
      <w:tr>
        <w:trPr>
          <w:trHeight w:val="398"/>
        </w:trPr>
        <w:tc>
          <w:tcPr>
            <w:tcW w:w="4000" w:type="dxa"/>
            <w:vAlign w:val="bottom"/>
          </w:tcPr>
          <w:p>
            <w:pPr>
              <w:spacing w:after="0"/>
              <w:rPr>
                <w:sz w:val="24"/>
                <w:szCs w:val="24"/>
                <w:color w:val="auto"/>
              </w:rPr>
            </w:pPr>
          </w:p>
        </w:tc>
        <w:tc>
          <w:tcPr>
            <w:tcW w:w="2600" w:type="dxa"/>
            <w:vAlign w:val="bottom"/>
          </w:tcPr>
          <w:p>
            <w:pPr>
              <w:jc w:val="right"/>
              <w:ind w:right="759"/>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
        </w:trPr>
        <w:tc>
          <w:tcPr>
            <w:tcW w:w="400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p>
      <w:pPr>
        <w:sectPr>
          <w:pgSz w:w="11900" w:h="16838" w:orient="portrait"/>
          <w:cols w:equalWidth="0" w:num="1">
            <w:col w:w="11280"/>
          </w:cols>
          <w:pgMar w:left="320" w:top="125" w:right="2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Federal statutory rate</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State income tax (net of federal tax effect) </w:t>
      </w:r>
      <w:r>
        <w:rPr>
          <w:rFonts w:ascii="Arial" w:cs="Arial" w:eastAsia="Arial" w:hAnsi="Arial"/>
          <w:sz w:val="21"/>
          <w:szCs w:val="21"/>
          <w:color w:val="auto"/>
          <w:vertAlign w:val="superscript"/>
        </w:rPr>
        <w:t>(a)</w:t>
      </w:r>
    </w:p>
    <w:p>
      <w:pPr>
        <w:ind w:left="200"/>
        <w:spacing w:after="0" w:line="204" w:lineRule="auto"/>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(b)</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 credits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Uncertain Tax Benefits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Valuation Allowance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tax differences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Amortization of excess deferred income tax expense </w:t>
      </w:r>
      <w:r>
        <w:rPr>
          <w:rFonts w:ascii="Arial" w:cs="Arial" w:eastAsia="Arial" w:hAnsi="Arial"/>
          <w:sz w:val="21"/>
          <w:szCs w:val="21"/>
          <w:color w:val="auto"/>
          <w:vertAlign w:val="superscript"/>
        </w:rPr>
        <w:t>(d)</w:t>
      </w:r>
    </w:p>
    <w:p>
      <w:pPr>
        <w:ind w:left="200"/>
        <w:spacing w:after="0" w:line="204" w:lineRule="auto"/>
        <w:rPr>
          <w:sz w:val="20"/>
          <w:szCs w:val="20"/>
          <w:color w:val="auto"/>
        </w:rPr>
      </w:pPr>
      <w:r>
        <w:rPr>
          <w:rFonts w:ascii="Arial" w:cs="Arial" w:eastAsia="Arial" w:hAnsi="Arial"/>
          <w:sz w:val="16"/>
          <w:szCs w:val="16"/>
          <w:color w:val="auto"/>
        </w:rPr>
        <w:t xml:space="preserve">TCJA bill credits </w:t>
      </w:r>
      <w:r>
        <w:rPr>
          <w:rFonts w:ascii="Arial" w:cs="Arial" w:eastAsia="Arial" w:hAnsi="Arial"/>
          <w:sz w:val="21"/>
          <w:szCs w:val="21"/>
          <w:color w:val="auto"/>
          <w:vertAlign w:val="superscript"/>
        </w:rPr>
        <w:t>(e)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1431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2022</w:t>
            </w:r>
          </w:p>
        </w:tc>
        <w:tc>
          <w:tcPr>
            <w:tcW w:w="16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208"/>
        </w:trPr>
        <w:tc>
          <w:tcPr>
            <w:tcW w:w="1840" w:type="dxa"/>
            <w:vAlign w:val="bottom"/>
          </w:tcPr>
          <w:p>
            <w:pPr>
              <w:jc w:val="right"/>
              <w:ind w:right="199"/>
              <w:spacing w:after="0"/>
              <w:rPr>
                <w:sz w:val="20"/>
                <w:szCs w:val="20"/>
                <w:color w:val="auto"/>
              </w:rPr>
            </w:pPr>
            <w:r>
              <w:rPr>
                <w:rFonts w:ascii="Arial" w:cs="Arial" w:eastAsia="Arial" w:hAnsi="Arial"/>
                <w:sz w:val="16"/>
                <w:szCs w:val="16"/>
                <w:color w:val="auto"/>
              </w:rPr>
              <w:t>21.0 %</w:t>
            </w: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21.0 %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1840" w:type="dxa"/>
            <w:vAlign w:val="bottom"/>
          </w:tcPr>
          <w:p>
            <w:pPr>
              <w:jc w:val="right"/>
              <w:ind w:right="379"/>
              <w:spacing w:after="0"/>
              <w:rPr>
                <w:sz w:val="20"/>
                <w:szCs w:val="20"/>
                <w:color w:val="auto"/>
              </w:rPr>
            </w:pPr>
            <w:r>
              <w:rPr>
                <w:rFonts w:ascii="Arial" w:cs="Arial" w:eastAsia="Arial" w:hAnsi="Arial"/>
                <w:sz w:val="16"/>
                <w:szCs w:val="16"/>
                <w:color w:val="auto"/>
              </w:rPr>
              <w:t>0.5</w:t>
            </w:r>
          </w:p>
        </w:tc>
        <w:tc>
          <w:tcPr>
            <w:tcW w:w="1600" w:type="dxa"/>
            <w:vAlign w:val="bottom"/>
          </w:tcPr>
          <w:p>
            <w:pPr>
              <w:jc w:val="right"/>
              <w:ind w:right="379"/>
              <w:spacing w:after="0"/>
              <w:rPr>
                <w:sz w:val="20"/>
                <w:szCs w:val="20"/>
                <w:color w:val="auto"/>
              </w:rPr>
            </w:pPr>
            <w:r>
              <w:rPr>
                <w:rFonts w:ascii="Arial" w:cs="Arial" w:eastAsia="Arial" w:hAnsi="Arial"/>
                <w:sz w:val="16"/>
                <w:szCs w:val="16"/>
                <w:color w:val="auto"/>
              </w:rPr>
              <w:t>1.2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299"/>
              <w:spacing w:after="0"/>
              <w:rPr>
                <w:sz w:val="20"/>
                <w:szCs w:val="20"/>
                <w:color w:val="auto"/>
              </w:rPr>
            </w:pPr>
            <w:r>
              <w:rPr>
                <w:rFonts w:ascii="Arial" w:cs="Arial" w:eastAsia="Arial" w:hAnsi="Arial"/>
                <w:sz w:val="16"/>
                <w:szCs w:val="16"/>
                <w:color w:val="auto"/>
              </w:rPr>
              <w:t>(0.9 )</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(1.2 )</w:t>
            </w:r>
          </w:p>
        </w:tc>
        <w:tc>
          <w:tcPr>
            <w:tcW w:w="1240" w:type="dxa"/>
            <w:vAlign w:val="bottom"/>
          </w:tcPr>
          <w:p>
            <w:pPr>
              <w:jc w:val="right"/>
              <w:spacing w:after="0"/>
              <w:rPr>
                <w:sz w:val="20"/>
                <w:szCs w:val="20"/>
                <w:color w:val="auto"/>
              </w:rPr>
            </w:pPr>
            <w:r>
              <w:rPr>
                <w:rFonts w:ascii="Arial" w:cs="Arial" w:eastAsia="Arial" w:hAnsi="Arial"/>
                <w:sz w:val="16"/>
                <w:szCs w:val="16"/>
                <w:color w:val="auto"/>
              </w:rPr>
              <w:t>(1.2 )</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299"/>
              <w:spacing w:after="0"/>
              <w:rPr>
                <w:sz w:val="20"/>
                <w:szCs w:val="20"/>
                <w:color w:val="auto"/>
              </w:rPr>
            </w:pPr>
            <w:r>
              <w:rPr>
                <w:rFonts w:ascii="Arial" w:cs="Arial" w:eastAsia="Arial" w:hAnsi="Arial"/>
                <w:sz w:val="16"/>
                <w:szCs w:val="16"/>
                <w:color w:val="auto"/>
              </w:rPr>
              <w:t>(7.7 )</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(8.4 )</w:t>
            </w:r>
          </w:p>
        </w:tc>
        <w:tc>
          <w:tcPr>
            <w:tcW w:w="1240" w:type="dxa"/>
            <w:vAlign w:val="bottom"/>
          </w:tcPr>
          <w:p>
            <w:pPr>
              <w:jc w:val="right"/>
              <w:spacing w:after="0"/>
              <w:rPr>
                <w:sz w:val="20"/>
                <w:szCs w:val="20"/>
                <w:color w:val="auto"/>
              </w:rPr>
            </w:pPr>
            <w:r>
              <w:rPr>
                <w:rFonts w:ascii="Arial" w:cs="Arial" w:eastAsia="Arial" w:hAnsi="Arial"/>
                <w:sz w:val="16"/>
                <w:szCs w:val="16"/>
                <w:color w:val="auto"/>
              </w:rPr>
              <w:t>(9.2 )</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299"/>
              <w:spacing w:after="0"/>
              <w:rPr>
                <w:sz w:val="20"/>
                <w:szCs w:val="20"/>
                <w:color w:val="auto"/>
              </w:rPr>
            </w:pPr>
            <w:r>
              <w:rPr>
                <w:rFonts w:ascii="Arial" w:cs="Arial" w:eastAsia="Arial" w:hAnsi="Arial"/>
                <w:sz w:val="16"/>
                <w:szCs w:val="16"/>
                <w:color w:val="auto"/>
              </w:rPr>
              <w:t>(1.4 )</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(3.2 )</w:t>
            </w:r>
          </w:p>
        </w:tc>
        <w:tc>
          <w:tcPr>
            <w:tcW w:w="1240" w:type="dxa"/>
            <w:vAlign w:val="bottom"/>
          </w:tcPr>
          <w:p>
            <w:pPr>
              <w:jc w:val="right"/>
              <w:spacing w:after="0"/>
              <w:rPr>
                <w:sz w:val="20"/>
                <w:szCs w:val="20"/>
                <w:color w:val="auto"/>
              </w:rPr>
            </w:pPr>
            <w:r>
              <w:rPr>
                <w:rFonts w:ascii="Arial" w:cs="Arial" w:eastAsia="Arial" w:hAnsi="Arial"/>
                <w:sz w:val="16"/>
                <w:szCs w:val="16"/>
                <w:color w:val="auto"/>
              </w:rPr>
              <w:t>(1.6 )</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79"/>
              <w:spacing w:after="0"/>
              <w:rPr>
                <w:sz w:val="20"/>
                <w:szCs w:val="20"/>
                <w:color w:val="auto"/>
              </w:rPr>
            </w:pPr>
            <w:r>
              <w:rPr>
                <w:rFonts w:ascii="Arial" w:cs="Arial" w:eastAsia="Arial" w:hAnsi="Arial"/>
                <w:sz w:val="16"/>
                <w:szCs w:val="16"/>
                <w:color w:val="auto"/>
              </w:rPr>
              <w:t>0.3</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299"/>
              <w:spacing w:after="0"/>
              <w:rPr>
                <w:sz w:val="20"/>
                <w:szCs w:val="20"/>
                <w:color w:val="auto"/>
              </w:rPr>
            </w:pPr>
            <w:r>
              <w:rPr>
                <w:rFonts w:ascii="Arial" w:cs="Arial" w:eastAsia="Arial" w:hAnsi="Arial"/>
                <w:sz w:val="16"/>
                <w:szCs w:val="16"/>
                <w:color w:val="auto"/>
              </w:rPr>
              <w:t>(0.1 )</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(0.2 )</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40" w:type="dxa"/>
            <w:vAlign w:val="bottom"/>
          </w:tcPr>
          <w:p>
            <w:pPr>
              <w:spacing w:after="0"/>
              <w:rPr>
                <w:sz w:val="18"/>
                <w:szCs w:val="18"/>
                <w:color w:val="auto"/>
              </w:rPr>
            </w:pPr>
          </w:p>
        </w:tc>
      </w:tr>
      <w:tr>
        <w:trPr>
          <w:trHeight w:val="216"/>
        </w:trPr>
        <w:tc>
          <w:tcPr>
            <w:tcW w:w="1840" w:type="dxa"/>
            <w:vAlign w:val="bottom"/>
          </w:tcPr>
          <w:p>
            <w:pPr>
              <w:jc w:val="right"/>
              <w:ind w:right="299"/>
              <w:spacing w:after="0"/>
              <w:rPr>
                <w:sz w:val="20"/>
                <w:szCs w:val="20"/>
                <w:color w:val="auto"/>
              </w:rPr>
            </w:pPr>
            <w:r>
              <w:rPr>
                <w:rFonts w:ascii="Arial" w:cs="Arial" w:eastAsia="Arial" w:hAnsi="Arial"/>
                <w:sz w:val="16"/>
                <w:szCs w:val="16"/>
                <w:color w:val="auto"/>
              </w:rPr>
              <w:t>(2.5 )</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(3.1 )</w:t>
            </w:r>
          </w:p>
        </w:tc>
        <w:tc>
          <w:tcPr>
            <w:tcW w:w="1240" w:type="dxa"/>
            <w:vAlign w:val="bottom"/>
          </w:tcPr>
          <w:p>
            <w:pPr>
              <w:jc w:val="right"/>
              <w:spacing w:after="0"/>
              <w:rPr>
                <w:sz w:val="20"/>
                <w:szCs w:val="20"/>
                <w:color w:val="auto"/>
              </w:rPr>
            </w:pPr>
            <w:r>
              <w:rPr>
                <w:rFonts w:ascii="Arial" w:cs="Arial" w:eastAsia="Arial" w:hAnsi="Arial"/>
                <w:sz w:val="16"/>
                <w:szCs w:val="16"/>
                <w:color w:val="auto"/>
              </w:rPr>
              <w:t>(2.3 )</w:t>
            </w:r>
          </w:p>
        </w:tc>
        <w:tc>
          <w:tcPr>
            <w:tcW w:w="40" w:type="dxa"/>
            <w:vAlign w:val="bottom"/>
          </w:tcPr>
          <w:p>
            <w:pPr>
              <w:spacing w:after="0"/>
              <w:rPr>
                <w:sz w:val="18"/>
                <w:szCs w:val="18"/>
                <w:color w:val="auto"/>
              </w:rPr>
            </w:pPr>
          </w:p>
        </w:tc>
      </w:tr>
      <w:tr>
        <w:trPr>
          <w:trHeight w:val="217"/>
        </w:trPr>
        <w:tc>
          <w:tcPr>
            <w:tcW w:w="1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(0.4 )</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(3.6 )</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10"/>
        </w:trPr>
        <w:tc>
          <w:tcPr>
            <w:tcW w:w="1840" w:type="dxa"/>
            <w:vAlign w:val="bottom"/>
          </w:tcPr>
          <w:p>
            <w:pPr>
              <w:jc w:val="right"/>
              <w:ind w:right="199"/>
              <w:spacing w:after="0"/>
              <w:rPr>
                <w:sz w:val="20"/>
                <w:szCs w:val="20"/>
                <w:color w:val="auto"/>
              </w:rPr>
            </w:pPr>
            <w:r>
              <w:rPr>
                <w:rFonts w:ascii="Arial" w:cs="Arial" w:eastAsia="Arial" w:hAnsi="Arial"/>
                <w:sz w:val="16"/>
                <w:szCs w:val="16"/>
                <w:color w:val="auto"/>
              </w:rPr>
              <w:t>8.5 %</w:t>
            </w:r>
          </w:p>
        </w:tc>
        <w:tc>
          <w:tcPr>
            <w:tcW w:w="160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11.9 %</w:t>
            </w:r>
          </w:p>
        </w:tc>
      </w:tr>
      <w:tr>
        <w:trPr>
          <w:trHeight w:val="20"/>
        </w:trPr>
        <w:tc>
          <w:tcPr>
            <w:tcW w:w="18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-1542415</wp:posOffset>
            </wp:positionV>
            <wp:extent cx="71323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-1268095</wp:posOffset>
            </wp:positionV>
            <wp:extent cx="7132320" cy="1371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-993775</wp:posOffset>
            </wp:positionV>
            <wp:extent cx="71323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-719455</wp:posOffset>
            </wp:positionV>
            <wp:extent cx="713232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-445135</wp:posOffset>
            </wp:positionV>
            <wp:extent cx="7132320"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-162560</wp:posOffset>
            </wp:positionV>
            <wp:extent cx="7132320" cy="163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840" w:space="720"/>
            <w:col w:w="4720"/>
          </w:cols>
          <w:pgMar w:left="320" w:top="125" w:right="299" w:bottom="1440" w:gutter="0" w:footer="0" w:header="0"/>
          <w:type w:val="continuous"/>
        </w:sectPr>
      </w:pPr>
    </w:p>
    <w:p>
      <w:pPr>
        <w:ind w:left="520" w:hanging="512"/>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state effective tax rate contains the tax expense attributable to multiple statutory state rate reductions in the Company's state jurisdictions.</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effective tax rate reflects the income attributable to the non-controlling interest in Black Hills Colorado IPP for which a tax provision was not recorded.</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certain indirect costs and gain deferral.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Primarily TCJA - see above.</w:t>
      </w:r>
    </w:p>
    <w:p>
      <w:pPr>
        <w:spacing w:after="0" w:line="1" w:lineRule="exact"/>
        <w:rPr>
          <w:rFonts w:ascii="Arial" w:cs="Arial" w:eastAsia="Arial" w:hAnsi="Arial"/>
          <w:sz w:val="14"/>
          <w:szCs w:val="14"/>
          <w:color w:val="auto"/>
        </w:rPr>
      </w:pPr>
    </w:p>
    <w:p>
      <w:pPr>
        <w:ind w:left="520" w:right="260" w:hanging="512"/>
        <w:spacing w:after="0" w:line="252"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Primarily related to one-time bill credits of TCJA benefits which were delivered to Colorado Electric and Nebraska Gas customers in 2021. These bill credits, which resulted in a reduction in revenue, were offset by a reduction in income tax expense and resulted in a minimal impact to Net income for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74,728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77,099</w:t>
            </w:r>
          </w:p>
        </w:tc>
        <w:tc>
          <w:tcPr>
            <w:tcW w:w="0" w:type="dxa"/>
            <w:vAlign w:val="bottom"/>
          </w:tcPr>
          <w:p>
            <w:pPr>
              <w:spacing w:after="0"/>
              <w:rPr>
                <w:sz w:val="1"/>
                <w:szCs w:val="1"/>
                <w:color w:val="auto"/>
              </w:rPr>
            </w:pPr>
          </w:p>
        </w:tc>
      </w:tr>
      <w:tr>
        <w:trPr>
          <w:trHeight w:val="217"/>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 credits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22,817</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23,342</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Federal NOL</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191,992</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227,535</w:t>
            </w:r>
          </w:p>
        </w:tc>
        <w:tc>
          <w:tcPr>
            <w:tcW w:w="0" w:type="dxa"/>
            <w:vAlign w:val="bottom"/>
          </w:tcPr>
          <w:p>
            <w:pPr>
              <w:spacing w:after="0"/>
              <w:rPr>
                <w:sz w:val="1"/>
                <w:szCs w:val="1"/>
                <w:color w:val="auto"/>
              </w:rPr>
            </w:pPr>
          </w:p>
        </w:tc>
      </w:tr>
      <w:tr>
        <w:trPr>
          <w:trHeight w:val="217"/>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NOL</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23,031</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33,639</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Partnership</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12,755</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13,395</w:t>
            </w:r>
          </w:p>
        </w:tc>
        <w:tc>
          <w:tcPr>
            <w:tcW w:w="0" w:type="dxa"/>
            <w:vAlign w:val="bottom"/>
          </w:tcPr>
          <w:p>
            <w:pPr>
              <w:spacing w:after="0"/>
              <w:rPr>
                <w:sz w:val="1"/>
                <w:szCs w:val="1"/>
                <w:color w:val="auto"/>
              </w:rPr>
            </w:pPr>
          </w:p>
        </w:tc>
      </w:tr>
      <w:tr>
        <w:trPr>
          <w:trHeight w:val="217"/>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Credit Carryovers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90,881</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68,646</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Other deferred tax assets</w:t>
            </w:r>
          </w:p>
        </w:tc>
        <w:tc>
          <w:tcPr>
            <w:tcW w:w="3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45,407</w:t>
            </w:r>
          </w:p>
        </w:tc>
        <w:tc>
          <w:tcPr>
            <w:tcW w:w="4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31,996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(15,476 )</w:t>
            </w:r>
          </w:p>
        </w:tc>
        <w:tc>
          <w:tcPr>
            <w:tcW w:w="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(14,719 )</w:t>
            </w:r>
          </w:p>
        </w:tc>
        <w:tc>
          <w:tcPr>
            <w:tcW w:w="0" w:type="dxa"/>
            <w:vAlign w:val="bottom"/>
          </w:tcPr>
          <w:p>
            <w:pPr>
              <w:spacing w:after="0"/>
              <w:rPr>
                <w:sz w:val="1"/>
                <w:szCs w:val="1"/>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446,135</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460,933</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36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(645,762 )</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(597,284 )</w:t>
            </w:r>
          </w:p>
        </w:tc>
        <w:tc>
          <w:tcPr>
            <w:tcW w:w="0" w:type="dxa"/>
            <w:vAlign w:val="bottom"/>
          </w:tcPr>
          <w:p>
            <w:pPr>
              <w:spacing w:after="0"/>
              <w:rPr>
                <w:sz w:val="1"/>
                <w:szCs w:val="1"/>
                <w:color w:val="auto"/>
              </w:rPr>
            </w:pPr>
          </w:p>
        </w:tc>
      </w:tr>
      <w:tr>
        <w:trPr>
          <w:trHeight w:val="217"/>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(94,433 )</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(124,582 )</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(57,884 )</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(45,471 )</w:t>
            </w:r>
          </w:p>
        </w:tc>
        <w:tc>
          <w:tcPr>
            <w:tcW w:w="0" w:type="dxa"/>
            <w:vAlign w:val="bottom"/>
          </w:tcPr>
          <w:p>
            <w:pPr>
              <w:spacing w:after="0"/>
              <w:rPr>
                <w:sz w:val="1"/>
                <w:szCs w:val="1"/>
                <w:color w:val="auto"/>
              </w:rPr>
            </w:pPr>
          </w:p>
        </w:tc>
      </w:tr>
      <w:tr>
        <w:trPr>
          <w:trHeight w:val="217"/>
        </w:trPr>
        <w:tc>
          <w:tcPr>
            <w:tcW w:w="7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deferred tax liability</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(98,200 )</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(109,136 )</w:t>
            </w:r>
          </w:p>
        </w:tc>
        <w:tc>
          <w:tcPr>
            <w:tcW w:w="0" w:type="dxa"/>
            <w:vAlign w:val="bottom"/>
          </w:tcPr>
          <w:p>
            <w:pPr>
              <w:spacing w:after="0"/>
              <w:rPr>
                <w:sz w:val="1"/>
                <w:szCs w:val="1"/>
                <w:color w:val="auto"/>
              </w:rPr>
            </w:pPr>
          </w:p>
        </w:tc>
      </w:tr>
      <w:tr>
        <w:trPr>
          <w:trHeight w:val="215"/>
        </w:trPr>
        <w:tc>
          <w:tcPr>
            <w:tcW w:w="7700" w:type="dxa"/>
            <w:vAlign w:val="bottom"/>
          </w:tcPr>
          <w:p>
            <w:pPr>
              <w:ind w:left="200"/>
              <w:spacing w:after="0"/>
              <w:rPr>
                <w:sz w:val="20"/>
                <w:szCs w:val="20"/>
                <w:color w:val="auto"/>
              </w:rPr>
            </w:pPr>
            <w:r>
              <w:rPr>
                <w:rFonts w:ascii="Arial" w:cs="Arial" w:eastAsia="Arial" w:hAnsi="Arial"/>
                <w:sz w:val="16"/>
                <w:szCs w:val="16"/>
                <w:color w:val="auto"/>
              </w:rPr>
              <w:t>Other deferred tax liabilities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(58,797 )</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(49,848 )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(955,076 )</w:t>
            </w:r>
          </w:p>
        </w:tc>
        <w:tc>
          <w:tcPr>
            <w:tcW w:w="4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(926,321 )</w:t>
            </w:r>
          </w:p>
        </w:tc>
        <w:tc>
          <w:tcPr>
            <w:tcW w:w="0" w:type="dxa"/>
            <w:vAlign w:val="bottom"/>
          </w:tcPr>
          <w:p>
            <w:pPr>
              <w:spacing w:after="0"/>
              <w:rPr>
                <w:sz w:val="1"/>
                <w:szCs w:val="1"/>
                <w:color w:val="auto"/>
              </w:rPr>
            </w:pPr>
          </w:p>
        </w:tc>
      </w:tr>
      <w:tr>
        <w:trPr>
          <w:trHeight w:val="424"/>
        </w:trPr>
        <w:tc>
          <w:tcPr>
            <w:tcW w:w="7700" w:type="dxa"/>
            <w:vAlign w:val="bottom"/>
          </w:tcPr>
          <w:p>
            <w:pPr>
              <w:ind w:left="200"/>
              <w:spacing w:after="0"/>
              <w:rPr>
                <w:sz w:val="20"/>
                <w:szCs w:val="20"/>
                <w:color w:val="auto"/>
              </w:rPr>
            </w:pPr>
            <w:r>
              <w:rPr>
                <w:rFonts w:ascii="Arial" w:cs="Arial" w:eastAsia="Arial" w:hAnsi="Arial"/>
                <w:sz w:val="16"/>
                <w:szCs w:val="16"/>
                <w:color w:val="auto"/>
              </w:rPr>
              <w:t>Net deferred tax liability</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(508,941 )</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(465,388 )</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5480"/>
              <w:spacing w:after="0"/>
              <w:rPr>
                <w:sz w:val="20"/>
                <w:szCs w:val="20"/>
                <w:color w:val="auto"/>
              </w:rPr>
            </w:pPr>
            <w:r>
              <w:rPr>
                <w:rFonts w:ascii="Arial" w:cs="Arial" w:eastAsia="Arial" w:hAnsi="Arial"/>
                <w:sz w:val="16"/>
                <w:szCs w:val="16"/>
                <w:color w:val="auto"/>
              </w:rPr>
              <w:t>104</w:t>
            </w: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7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 and Tax Credit Carryforwards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we have federal NOL and state NOL and tax credit carryforwards that will expire at various dates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Amounts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Expiration Dates</w:t>
            </w: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Federal NOL Carryforward</w:t>
            </w:r>
          </w:p>
        </w:tc>
        <w:tc>
          <w:tcPr>
            <w:tcW w:w="3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330,085</w:t>
            </w: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 to 2037</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Federal NOL Carryforward</w:t>
            </w:r>
          </w:p>
        </w:tc>
        <w:tc>
          <w:tcPr>
            <w:tcW w:w="3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584,161</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No expiration</w:t>
            </w:r>
          </w:p>
        </w:tc>
      </w:tr>
      <w:tr>
        <w:trPr>
          <w:trHeight w:val="217"/>
        </w:trPr>
        <w:tc>
          <w:tcPr>
            <w:tcW w:w="4940" w:type="dxa"/>
            <w:vAlign w:val="bottom"/>
            <w:shd w:val="clear" w:color="auto" w:fill="CFF0FC"/>
          </w:tcPr>
          <w:p>
            <w:pPr>
              <w:spacing w:after="0"/>
              <w:rPr>
                <w:sz w:val="18"/>
                <w:szCs w:val="18"/>
                <w:color w:val="auto"/>
              </w:rPr>
            </w:pPr>
          </w:p>
        </w:tc>
        <w:tc>
          <w:tcPr>
            <w:tcW w:w="30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State NOL Carryforward </w:t>
            </w:r>
            <w:r>
              <w:rPr>
                <w:rFonts w:ascii="Arial" w:cs="Arial" w:eastAsia="Arial" w:hAnsi="Arial"/>
                <w:sz w:val="21"/>
                <w:szCs w:val="21"/>
                <w:color w:val="auto"/>
                <w:vertAlign w:val="superscript"/>
              </w:rPr>
              <w:t>(a)</w:t>
            </w:r>
          </w:p>
        </w:tc>
        <w:tc>
          <w:tcPr>
            <w:tcW w:w="3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59"/>
              <w:spacing w:after="0"/>
              <w:rPr>
                <w:sz w:val="20"/>
                <w:szCs w:val="20"/>
                <w:color w:val="auto"/>
              </w:rPr>
            </w:pPr>
            <w:r>
              <w:rPr>
                <w:rFonts w:ascii="Arial" w:cs="Arial" w:eastAsia="Arial" w:hAnsi="Arial"/>
                <w:sz w:val="16"/>
                <w:szCs w:val="16"/>
                <w:color w:val="auto"/>
              </w:rPr>
              <w:t>408,269</w:t>
            </w:r>
          </w:p>
        </w:tc>
        <w:tc>
          <w:tcPr>
            <w:tcW w:w="1720" w:type="dxa"/>
            <w:vAlign w:val="bottom"/>
          </w:tcPr>
          <w:p>
            <w:pPr>
              <w:jc w:val="center"/>
              <w:spacing w:after="0"/>
              <w:rPr>
                <w:sz w:val="20"/>
                <w:szCs w:val="20"/>
                <w:color w:val="auto"/>
              </w:rPr>
            </w:pPr>
            <w:r>
              <w:rPr>
                <w:rFonts w:ascii="Arial" w:cs="Arial" w:eastAsia="Arial" w:hAnsi="Arial"/>
                <w:sz w:val="16"/>
                <w:szCs w:val="16"/>
                <w:color w:val="auto"/>
              </w:rPr>
              <w:t>2023 to 2041</w:t>
            </w:r>
          </w:p>
        </w:tc>
      </w:tr>
      <w:tr>
        <w:trPr>
          <w:trHeight w:val="216"/>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State Tax Credit Carryforward</w:t>
            </w:r>
          </w:p>
        </w:tc>
        <w:tc>
          <w:tcPr>
            <w:tcW w:w="3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22,817</w:t>
            </w: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 to 2041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December 31, 2022, we had a $1.1 million valuation allowance against the state NOL carryforwards. Our 2022 analysis of the ability to utilize such NOLs resulted in no increase in the valuation allowance. If the valuation allowance is adjusted due to higher or lower than anticipated utilization of the NOLs, the offsetting amount will affect tax expense.</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of December 31, 2022, we had a $14 million valuation allowance against the state ITC carryforwards. Our 2022 analysis of the ability to utilize such ITC resulted in a $0.8 million increase in the valuation allowance, which resulted in an increase to tax expense of $0.6 million. The remaining $0.2 million increase is attributable to our regulated business and is being accounted for under the deferral method whereby the credits are amortized to expense over the estimated useful life of the underlying asset that generated the credit. The valuation allowance adjustment was primarily attributable to expiring state ITC credits.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Changes in Uncertain Tax Positions: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0"/>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10,554</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8,383</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4,165</w:t>
            </w:r>
          </w:p>
        </w:tc>
      </w:tr>
      <w:tr>
        <w:trPr>
          <w:trHeight w:val="215"/>
        </w:trPr>
        <w:tc>
          <w:tcPr>
            <w:tcW w:w="6600" w:type="dxa"/>
            <w:vAlign w:val="bottom"/>
          </w:tcPr>
          <w:p>
            <w:pPr>
              <w:ind w:left="200"/>
              <w:spacing w:after="0"/>
              <w:rPr>
                <w:sz w:val="20"/>
                <w:szCs w:val="20"/>
                <w:color w:val="auto"/>
              </w:rPr>
            </w:pPr>
            <w:r>
              <w:rPr>
                <w:rFonts w:ascii="Arial" w:cs="Arial" w:eastAsia="Arial" w:hAnsi="Arial"/>
                <w:sz w:val="16"/>
                <w:szCs w:val="16"/>
                <w:color w:val="auto"/>
              </w:rPr>
              <w:t>Additions for prior year tax positions</w:t>
            </w:r>
          </w:p>
        </w:tc>
        <w:tc>
          <w:tcPr>
            <w:tcW w:w="30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40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448</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3,788</w:t>
            </w:r>
          </w:p>
        </w:tc>
      </w:tr>
      <w:tr>
        <w:trPr>
          <w:trHeight w:val="217"/>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Reductions for prior year tax positions</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(773 )</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(732 )</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(1,313 )</w:t>
            </w:r>
          </w:p>
        </w:tc>
      </w:tr>
      <w:tr>
        <w:trPr>
          <w:trHeight w:val="215"/>
        </w:trPr>
        <w:tc>
          <w:tcPr>
            <w:tcW w:w="6600" w:type="dxa"/>
            <w:vAlign w:val="bottom"/>
          </w:tcPr>
          <w:p>
            <w:pPr>
              <w:ind w:left="200"/>
              <w:spacing w:after="0"/>
              <w:rPr>
                <w:sz w:val="20"/>
                <w:szCs w:val="20"/>
                <w:color w:val="auto"/>
              </w:rPr>
            </w:pPr>
            <w:r>
              <w:rPr>
                <w:rFonts w:ascii="Arial" w:cs="Arial" w:eastAsia="Arial" w:hAnsi="Arial"/>
                <w:sz w:val="16"/>
                <w:szCs w:val="16"/>
                <w:color w:val="auto"/>
              </w:rPr>
              <w:t>Additions for current year tax positions</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2,097</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2,455</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1,743</w:t>
            </w: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11,885</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10,554</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8,383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$5.7 million.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recognized no interest expense associated with income taxes for the years ended December 31, 2022, 2021 and 2020. We had no accrued interest (before tax effect) associated with income taxes at December 31,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federal income tax as well as income tax in various state and local jurisdictions.</w:t>
      </w:r>
    </w:p>
    <w:p>
      <w:pPr>
        <w:spacing w:after="0" w:line="19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As of December 31, 2022, we do not have any tax positions for which it is reasonably possible that the total amount of unrecognized tax benefits will significantly increase or decrease on or before December 31, 2023.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operating segments are based on our method of internal reporting, which is generally segregated by differences in products and services. All of our operations and assets are located within the United States.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represents certain unallocated expenses for administrative activities that support our operating segments. Corporate and Other also includes business development activities that are not part of our operating segments.</w:t>
      </w:r>
    </w:p>
    <w:p>
      <w:pPr>
        <w:spacing w:after="0" w:line="12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CODM assesses the performance of our operating segments based on operating income. Our operating segments are equivalent to our reportable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20"/>
                <w:szCs w:val="20"/>
                <w:color w:val="auto"/>
              </w:rPr>
            </w:pPr>
            <w:r>
              <w:rPr>
                <w:rFonts w:ascii="Arial" w:cs="Arial" w:eastAsia="Arial" w:hAnsi="Arial"/>
                <w:sz w:val="16"/>
                <w:szCs w:val="16"/>
                <w:color w:val="auto"/>
              </w:rPr>
              <w:t>Segment information was as follows (in thousands):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21"/>
        </w:trPr>
        <w:tc>
          <w:tcPr>
            <w:tcW w:w="4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6"/>
                <w:szCs w:val="16"/>
                <w:b w:val="1"/>
                <w:bCs w:val="1"/>
                <w:color w:val="auto"/>
              </w:rPr>
              <w:t>Consolidating Income Statement</w:t>
            </w:r>
          </w:p>
        </w:tc>
        <w:tc>
          <w:tcPr>
            <w:tcW w:w="1160" w:type="dxa"/>
            <w:vAlign w:val="bottom"/>
            <w:tcBorders>
              <w:bottom w:val="single" w:sz="8" w:color="auto"/>
            </w:tcBorders>
          </w:tcPr>
          <w:p>
            <w:pPr>
              <w:spacing w:after="0"/>
              <w:rPr>
                <w:sz w:val="24"/>
                <w:szCs w:val="24"/>
                <w:color w:val="auto"/>
              </w:rPr>
            </w:pPr>
          </w:p>
        </w:tc>
      </w:tr>
      <w:tr>
        <w:trPr>
          <w:trHeight w:val="182"/>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239"/>
              <w:spacing w:after="0" w:line="182" w:lineRule="exact"/>
              <w:rPr>
                <w:sz w:val="20"/>
                <w:szCs w:val="20"/>
                <w:color w:val="auto"/>
              </w:rPr>
            </w:pPr>
            <w:r>
              <w:rPr>
                <w:rFonts w:ascii="Arial" w:cs="Arial" w:eastAsia="Arial" w:hAnsi="Arial"/>
                <w:sz w:val="16"/>
                <w:szCs w:val="16"/>
                <w:b w:val="1"/>
                <w:bCs w:val="1"/>
                <w:color w:val="auto"/>
              </w:rPr>
              <w:t>Electric</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00" w:type="dxa"/>
            <w:vAlign w:val="bottom"/>
            <w:gridSpan w:val="3"/>
          </w:tcPr>
          <w:p>
            <w:pPr>
              <w:jc w:val="right"/>
              <w:ind w:right="460"/>
              <w:spacing w:after="0" w:line="182" w:lineRule="exact"/>
              <w:rPr>
                <w:sz w:val="20"/>
                <w:szCs w:val="20"/>
                <w:color w:val="auto"/>
              </w:rPr>
            </w:pPr>
            <w:r>
              <w:rPr>
                <w:rFonts w:ascii="Arial" w:cs="Arial" w:eastAsia="Arial" w:hAnsi="Arial"/>
                <w:sz w:val="16"/>
                <w:szCs w:val="16"/>
                <w:b w:val="1"/>
                <w:bCs w:val="1"/>
                <w:color w:val="auto"/>
              </w:rPr>
              <w:t>Inter-Company</w:t>
            </w:r>
          </w:p>
        </w:tc>
        <w:tc>
          <w:tcPr>
            <w:tcW w:w="1160" w:type="dxa"/>
            <w:vAlign w:val="bottom"/>
          </w:tcPr>
          <w:p>
            <w:pPr>
              <w:spacing w:after="0"/>
              <w:rPr>
                <w:sz w:val="15"/>
                <w:szCs w:val="15"/>
                <w:color w:val="auto"/>
              </w:rPr>
            </w:pPr>
          </w:p>
        </w:tc>
      </w:tr>
      <w:tr>
        <w:trPr>
          <w:trHeight w:val="21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Utilities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Gas Utilities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Corporate</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Eliminations</w:t>
            </w: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4280" w:type="dxa"/>
            <w:vAlign w:val="bottom"/>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882,899</w:t>
            </w:r>
          </w:p>
        </w:tc>
        <w:tc>
          <w:tcPr>
            <w:tcW w:w="260" w:type="dxa"/>
            <w:vAlign w:val="bottom"/>
          </w:tcPr>
          <w:p>
            <w:pPr>
              <w:jc w:val="center"/>
              <w:ind w:lef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1,659,957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2,542,856</w:t>
            </w:r>
          </w:p>
        </w:tc>
      </w:tr>
      <w:tr>
        <w:trPr>
          <w:trHeight w:val="216"/>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5,548</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3,412</w:t>
            </w: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8,960</w:t>
            </w:r>
          </w:p>
        </w:tc>
      </w:tr>
      <w:tr>
        <w:trPr>
          <w:trHeight w:val="210"/>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888,447</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1,663,369</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2,551,816</w:t>
            </w:r>
          </w:p>
        </w:tc>
      </w:tr>
      <w:tr>
        <w:trPr>
          <w:trHeight w:val="210"/>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Inter-company operating revenue -</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4280" w:type="dxa"/>
            <w:vAlign w:val="bottom"/>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11,715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5,292</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(17,545 )</w:t>
            </w: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368,201</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(368,630 )</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11,715</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368,739</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(386,175 )</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900,162</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1,669,090</w:t>
            </w: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368,739</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(386,175 )</w:t>
            </w: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2,551,816</w:t>
            </w:r>
          </w:p>
        </w:tc>
      </w:tr>
      <w:tr>
        <w:trPr>
          <w:trHeight w:val="425"/>
        </w:trPr>
        <w:tc>
          <w:tcPr>
            <w:tcW w:w="428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266,284</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965,108</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(11 )</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(831 )</w:t>
            </w:r>
          </w:p>
        </w:tc>
        <w:tc>
          <w:tcPr>
            <w:tcW w:w="28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1,230,550</w:t>
            </w:r>
          </w:p>
        </w:tc>
      </w:tr>
      <w:tr>
        <w:trPr>
          <w:trHeight w:val="217"/>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 including taxes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283,654</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345,143</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309,773</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(323,457 )</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615,113</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135,966</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114,679</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26,964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(26,700 )</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250,909</w:t>
            </w:r>
          </w:p>
        </w:tc>
      </w:tr>
      <w:tr>
        <w:trPr>
          <w:trHeight w:val="209"/>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214,258</w:t>
            </w:r>
          </w:p>
        </w:tc>
        <w:tc>
          <w:tcPr>
            <w:tcW w:w="260" w:type="dxa"/>
            <w:vAlign w:val="bottom"/>
            <w:tcBorders>
              <w:bottom w:val="single" w:sz="8" w:color="auto"/>
            </w:tcBorders>
            <w:shd w:val="clear" w:color="auto" w:fill="CFF0FC"/>
          </w:tcPr>
          <w:p>
            <w:pPr>
              <w:jc w:val="center"/>
              <w:ind w:lef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244,160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32,013</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(35,187 )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455,244</w:t>
            </w:r>
          </w:p>
        </w:tc>
      </w:tr>
      <w:tr>
        <w:trPr>
          <w:trHeight w:val="425"/>
        </w:trPr>
        <w:tc>
          <w:tcPr>
            <w:tcW w:w="42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(160,989 )</w:t>
            </w:r>
          </w:p>
        </w:tc>
      </w:tr>
      <w:tr>
        <w:trPr>
          <w:trHeight w:val="217"/>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of investment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42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1,708</w:t>
            </w: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(25,205 )</w:t>
            </w:r>
          </w:p>
        </w:tc>
      </w:tr>
      <w:tr>
        <w:trPr>
          <w:trHeight w:val="210"/>
        </w:trPr>
        <w:tc>
          <w:tcPr>
            <w:tcW w:w="42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270,758</w:t>
            </w: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(12,371 )</w:t>
            </w:r>
          </w:p>
        </w:tc>
      </w:tr>
      <w:tr>
        <w:trPr>
          <w:trHeight w:val="209"/>
        </w:trPr>
        <w:tc>
          <w:tcPr>
            <w:tcW w:w="4280" w:type="dxa"/>
            <w:vAlign w:val="bottom"/>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258,387</w:t>
            </w:r>
          </w:p>
        </w:tc>
      </w:tr>
      <w:tr>
        <w:trPr>
          <w:trHeight w:val="411"/>
        </w:trPr>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gridSpan w:val="2"/>
          </w:tcPr>
          <w:p>
            <w:pPr>
              <w:jc w:val="center"/>
              <w:ind w:right="1019"/>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90"/>
        </w:trPr>
        <w:tc>
          <w:tcPr>
            <w:tcW w:w="4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39"/>
        </w:trPr>
        <w:tc>
          <w:tcPr>
            <w:tcW w:w="136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Consolidating Income Statement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379"/>
              <w:spacing w:after="0" w:line="182" w:lineRule="exact"/>
              <w:rPr>
                <w:sz w:val="20"/>
                <w:szCs w:val="20"/>
                <w:color w:val="auto"/>
              </w:rPr>
            </w:pPr>
            <w:r>
              <w:rPr>
                <w:rFonts w:ascii="Arial" w:cs="Arial" w:eastAsia="Arial" w:hAnsi="Arial"/>
                <w:sz w:val="16"/>
                <w:szCs w:val="16"/>
                <w:b w:val="1"/>
                <w:bCs w:val="1"/>
                <w:color w:val="auto"/>
              </w:rPr>
              <w:t>Electric</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Inter-Company</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4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Utilities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5"/>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825,404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1,105,430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1,930,834</w:t>
            </w:r>
          </w:p>
        </w:tc>
      </w:tr>
      <w:tr>
        <w:trPr>
          <w:trHeight w:val="216"/>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5,336</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12,932</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18,268</w:t>
            </w:r>
          </w:p>
        </w:tc>
      </w:tr>
      <w:tr>
        <w:trPr>
          <w:trHeight w:val="210"/>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830,740</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1,118,362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1,949,102</w:t>
            </w:r>
          </w:p>
        </w:tc>
      </w:tr>
      <w:tr>
        <w:trPr>
          <w:trHeight w:val="210"/>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Inter-company operating revenue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5"/>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6,110</w:t>
            </w:r>
          </w:p>
        </w:tc>
        <w:tc>
          <w:tcPr>
            <w:tcW w:w="2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(17,824 )</w:t>
            </w:r>
          </w:p>
        </w:tc>
        <w:tc>
          <w:tcPr>
            <w:tcW w:w="3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356,151</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(356,544 )</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11,518</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6,503</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356,347</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(374,368 )</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842,258</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1,124,865</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356,347</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(374,368 )</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1,949,102</w:t>
            </w:r>
          </w:p>
        </w:tc>
      </w:tr>
      <w:tr>
        <w:trPr>
          <w:trHeight w:val="42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Pr>
          <w:p>
            <w:pPr>
              <w:spacing w:after="0"/>
              <w:rPr>
                <w:sz w:val="24"/>
                <w:szCs w:val="24"/>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248,018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494,738</w:t>
            </w:r>
          </w:p>
        </w:tc>
        <w:tc>
          <w:tcPr>
            <w:tcW w:w="2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(918 )</w:t>
            </w:r>
          </w:p>
        </w:tc>
        <w:tc>
          <w:tcPr>
            <w:tcW w:w="30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741,934</w:t>
            </w:r>
          </w:p>
        </w:tc>
      </w:tr>
      <w:tr>
        <w:trPr>
          <w:trHeight w:val="217"/>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Operations and maintenance, including taxes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260,036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314,810</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293,265</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(306,325 )</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561,786</w:t>
            </w:r>
          </w:p>
        </w:tc>
      </w:tr>
      <w:tr>
        <w:trPr>
          <w:trHeight w:val="21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131,528</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104,160</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26,838</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(26,573 )</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235,953</w:t>
            </w:r>
          </w:p>
        </w:tc>
      </w:tr>
      <w:tr>
        <w:trPr>
          <w:trHeight w:val="210"/>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202,676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211,157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36,148</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(40,552 ) $</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409,429</w:t>
            </w:r>
          </w:p>
        </w:tc>
      </w:tr>
      <w:tr>
        <w:trPr>
          <w:trHeight w:val="42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(152,404 )</w:t>
            </w:r>
          </w:p>
        </w:tc>
      </w:tr>
      <w:tr>
        <w:trPr>
          <w:trHeight w:val="217"/>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Impairment of investment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1,404</w:t>
            </w:r>
          </w:p>
        </w:tc>
      </w:tr>
      <w:tr>
        <w:trPr>
          <w:trHeight w:val="216"/>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(7,169 )</w:t>
            </w:r>
          </w:p>
        </w:tc>
      </w:tr>
      <w:tr>
        <w:trPr>
          <w:trHeight w:val="209"/>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251,260</w:t>
            </w:r>
          </w:p>
        </w:tc>
      </w:tr>
      <w:tr>
        <w:trPr>
          <w:trHeight w:val="216"/>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(14,516 )</w:t>
            </w:r>
          </w:p>
        </w:tc>
      </w:tr>
      <w:tr>
        <w:trPr>
          <w:trHeight w:val="209"/>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236,744</w:t>
            </w:r>
          </w:p>
        </w:tc>
      </w:tr>
      <w:tr>
        <w:trPr>
          <w:trHeight w:val="413"/>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Consolidating Income Statement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Inter-Company</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7"/>
        </w:trPr>
        <w:tc>
          <w:tcPr>
            <w:tcW w:w="4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Electric Utilities</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Gas Utilities</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Corporate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5"/>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721,108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959,696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1,680,804</w:t>
            </w:r>
          </w:p>
        </w:tc>
      </w:tr>
      <w:tr>
        <w:trPr>
          <w:trHeight w:val="216"/>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6,175</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9,962</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16,137</w:t>
            </w:r>
          </w:p>
        </w:tc>
      </w:tr>
      <w:tr>
        <w:trPr>
          <w:trHeight w:val="209"/>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727,283</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969,658</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1,696,941</w:t>
            </w:r>
          </w:p>
        </w:tc>
      </w:tr>
      <w:tr>
        <w:trPr>
          <w:trHeight w:val="210"/>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Inter-company operating revenue -</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5"/>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4,724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(16,465 )</w:t>
            </w:r>
          </w:p>
        </w:tc>
        <w:tc>
          <w:tcPr>
            <w:tcW w:w="3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352,976</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(353,264 )</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1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11,574</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353,143</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(369,729 )</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738,857</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974,670</w:t>
            </w: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353,143</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(369,729 )</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1,696,941</w:t>
            </w:r>
          </w:p>
        </w:tc>
      </w:tr>
      <w:tr>
        <w:trPr>
          <w:trHeight w:val="42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138,572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354,645</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(896 )</w:t>
            </w:r>
          </w:p>
        </w:tc>
        <w:tc>
          <w:tcPr>
            <w:tcW w:w="30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492,404</w:t>
            </w:r>
          </w:p>
        </w:tc>
      </w:tr>
      <w:tr>
        <w:trPr>
          <w:trHeight w:val="217"/>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Operations and maintenance, including taxes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265,679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303,577</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284,501</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(301,980 )</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551,777</w:t>
            </w:r>
          </w:p>
        </w:tc>
      </w:tr>
      <w:tr>
        <w:trPr>
          <w:trHeight w:val="21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123,632</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100,559</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25,150</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(24,884 )</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224,457</w:t>
            </w:r>
          </w:p>
        </w:tc>
      </w:tr>
      <w:tr>
        <w:trPr>
          <w:trHeight w:val="209"/>
        </w:trPr>
        <w:tc>
          <w:tcPr>
            <w:tcW w:w="43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210,974</w:t>
            </w: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215,889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43,409</w:t>
            </w:r>
          </w:p>
        </w:tc>
        <w:tc>
          <w:tcPr>
            <w:tcW w:w="1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(41,969 ) $</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428,303</w:t>
            </w:r>
          </w:p>
        </w:tc>
      </w:tr>
      <w:tr>
        <w:trPr>
          <w:trHeight w:val="42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(143,470 )</w:t>
            </w:r>
          </w:p>
        </w:tc>
      </w:tr>
      <w:tr>
        <w:trPr>
          <w:trHeight w:val="217"/>
        </w:trPr>
        <w:tc>
          <w:tcPr>
            <w:tcW w:w="43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Impairment of investment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(6,859 )</w:t>
            </w:r>
          </w:p>
        </w:tc>
      </w:tr>
      <w:tr>
        <w:trPr>
          <w:trHeight w:val="21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(2,293 )</w:t>
            </w:r>
          </w:p>
        </w:tc>
      </w:tr>
      <w:tr>
        <w:trPr>
          <w:trHeight w:val="216"/>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(32,918 )</w:t>
            </w:r>
          </w:p>
        </w:tc>
      </w:tr>
      <w:tr>
        <w:trPr>
          <w:trHeight w:val="210"/>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242,763</w:t>
            </w:r>
          </w:p>
        </w:tc>
      </w:tr>
      <w:tr>
        <w:trPr>
          <w:trHeight w:val="216"/>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(15,155 )</w:t>
            </w:r>
          </w:p>
        </w:tc>
      </w:tr>
      <w:tr>
        <w:trPr>
          <w:trHeight w:val="209"/>
        </w:trPr>
        <w:tc>
          <w:tcPr>
            <w:tcW w:w="4300" w:type="dxa"/>
            <w:vAlign w:val="bottom"/>
            <w:gridSpan w:val="2"/>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227,608</w:t>
            </w:r>
          </w:p>
        </w:tc>
      </w:tr>
      <w:tr>
        <w:trPr>
          <w:trHeight w:val="411"/>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0"/>
        </w:trPr>
        <w:tc>
          <w:tcPr>
            <w:tcW w:w="136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77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7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 Assets (net of intercompany eliminations) as of December 31,</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09"/>
        </w:trPr>
        <w:tc>
          <w:tcPr>
            <w:tcW w:w="77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Electric Utilities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3,929,721</w:t>
            </w:r>
          </w:p>
        </w:tc>
        <w:tc>
          <w:tcPr>
            <w:tcW w:w="5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3,796,662</w:t>
            </w:r>
          </w:p>
        </w:tc>
      </w:tr>
      <w:tr>
        <w:trPr>
          <w:trHeight w:val="215"/>
        </w:trPr>
        <w:tc>
          <w:tcPr>
            <w:tcW w:w="7700" w:type="dxa"/>
            <w:vAlign w:val="bottom"/>
            <w:gridSpan w:val="2"/>
          </w:tcPr>
          <w:p>
            <w:pPr>
              <w:ind w:left="200"/>
              <w:spacing w:after="0"/>
              <w:rPr>
                <w:sz w:val="20"/>
                <w:szCs w:val="20"/>
                <w:color w:val="auto"/>
              </w:rPr>
            </w:pPr>
            <w:r>
              <w:rPr>
                <w:rFonts w:ascii="Arial" w:cs="Arial" w:eastAsia="Arial" w:hAnsi="Arial"/>
                <w:sz w:val="16"/>
                <w:szCs w:val="16"/>
                <w:color w:val="auto"/>
              </w:rPr>
              <w:t>Gas Utilities</w:t>
            </w:r>
          </w:p>
        </w:tc>
        <w:tc>
          <w:tcPr>
            <w:tcW w:w="36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5,578,282</w:t>
            </w:r>
          </w:p>
        </w:tc>
        <w:tc>
          <w:tcPr>
            <w:tcW w:w="5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5,246,370</w:t>
            </w:r>
          </w:p>
        </w:tc>
      </w:tr>
      <w:tr>
        <w:trPr>
          <w:trHeight w:val="216"/>
        </w:trPr>
        <w:tc>
          <w:tcPr>
            <w:tcW w:w="77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110,227</w:t>
            </w:r>
          </w:p>
        </w:tc>
        <w:tc>
          <w:tcPr>
            <w:tcW w:w="5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88,864</w:t>
            </w:r>
          </w:p>
        </w:tc>
      </w:tr>
      <w:tr>
        <w:trPr>
          <w:trHeight w:val="209"/>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9,618,230</w:t>
            </w:r>
          </w:p>
        </w:tc>
        <w:tc>
          <w:tcPr>
            <w:tcW w:w="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9,131,896</w:t>
            </w:r>
          </w:p>
        </w:tc>
      </w:tr>
      <w:tr>
        <w:trPr>
          <w:trHeight w:val="20"/>
        </w:trPr>
        <w:tc>
          <w:tcPr>
            <w:tcW w:w="13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years ended December 31,</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0"/>
        </w:trPr>
        <w:tc>
          <w:tcPr>
            <w:tcW w:w="66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Electric Utilities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243,133</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285,770</w:t>
            </w:r>
          </w:p>
        </w:tc>
        <w:tc>
          <w:tcPr>
            <w:tcW w:w="4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288,683</w:t>
            </w:r>
          </w:p>
        </w:tc>
      </w:tr>
      <w:tr>
        <w:trPr>
          <w:trHeight w:val="215"/>
        </w:trPr>
        <w:tc>
          <w:tcPr>
            <w:tcW w:w="6600" w:type="dxa"/>
            <w:vAlign w:val="bottom"/>
            <w:gridSpan w:val="2"/>
          </w:tcPr>
          <w:p>
            <w:pPr>
              <w:ind w:left="200"/>
              <w:spacing w:after="0"/>
              <w:rPr>
                <w:sz w:val="20"/>
                <w:szCs w:val="20"/>
                <w:color w:val="auto"/>
              </w:rPr>
            </w:pPr>
            <w:r>
              <w:rPr>
                <w:rFonts w:ascii="Arial" w:cs="Arial" w:eastAsia="Arial" w:hAnsi="Arial"/>
                <w:sz w:val="16"/>
                <w:szCs w:val="16"/>
                <w:color w:val="auto"/>
              </w:rPr>
              <w:t>Gas Utilities</w:t>
            </w:r>
          </w:p>
        </w:tc>
        <w:tc>
          <w:tcPr>
            <w:tcW w:w="3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349,438</w:t>
            </w:r>
          </w:p>
        </w:tc>
        <w:tc>
          <w:tcPr>
            <w:tcW w:w="4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383,320</w:t>
            </w:r>
          </w:p>
        </w:tc>
        <w:tc>
          <w:tcPr>
            <w:tcW w:w="4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449,209</w:t>
            </w:r>
          </w:p>
        </w:tc>
      </w:tr>
      <w:tr>
        <w:trPr>
          <w:trHeight w:val="216"/>
        </w:trPr>
        <w:tc>
          <w:tcPr>
            <w:tcW w:w="66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5,097</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10,500</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17,500</w:t>
            </w:r>
          </w:p>
        </w:tc>
      </w:tr>
      <w:tr>
        <w:trPr>
          <w:trHeight w:val="210"/>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Total capital expenditures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597,668</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679,590</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755,392</w:t>
            </w:r>
          </w:p>
        </w:tc>
      </w:tr>
      <w:tr>
        <w:trPr>
          <w:trHeight w:val="20"/>
        </w:trPr>
        <w:tc>
          <w:tcPr>
            <w:tcW w:w="3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6"/>
        </w:trPr>
        <w:tc>
          <w:tcPr>
            <w:tcW w:w="3460" w:type="dxa"/>
            <w:vAlign w:val="bottom"/>
            <w:tcBorders>
              <w:bottom w:val="single" w:sz="8" w:color="auto"/>
            </w:tcBorders>
          </w:tcPr>
          <w:p>
            <w:pPr>
              <w:spacing w:after="0"/>
              <w:rPr>
                <w:sz w:val="10"/>
                <w:szCs w:val="10"/>
                <w:color w:val="auto"/>
              </w:rPr>
            </w:pPr>
          </w:p>
        </w:tc>
        <w:tc>
          <w:tcPr>
            <w:tcW w:w="3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99"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r>
        <w:rPr>
          <w:rFonts w:ascii="Arial" w:cs="Arial" w:eastAsia="Arial" w:hAnsi="Arial"/>
          <w:sz w:val="14"/>
          <w:szCs w:val="14"/>
          <w:u w:val="single" w:color="auto"/>
          <w:color w:val="0000FF"/>
        </w:rPr>
        <w:t>Consolidated Statement of Cash Flows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4977765</wp:posOffset>
            </wp:positionH>
            <wp:positionV relativeFrom="paragraph">
              <wp:posOffset>-1270</wp:posOffset>
            </wp:positionV>
            <wp:extent cx="15792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79245" cy="8255"/>
                    </a:xfrm>
                    <a:prstGeom prst="rect">
                      <a:avLst/>
                    </a:prstGeom>
                    <a:noFill/>
                  </pic:spPr>
                </pic:pic>
              </a:graphicData>
            </a:graphic>
          </wp:anchor>
        </w:drawing>
      </w:r>
    </w:p>
    <w:p>
      <w:pPr>
        <w:spacing w:after="0" w:line="341" w:lineRule="exact"/>
        <w:rPr>
          <w:sz w:val="20"/>
          <w:szCs w:val="20"/>
          <w:color w:val="auto"/>
        </w:rPr>
      </w:pPr>
    </w:p>
    <w:p>
      <w:pPr>
        <w:ind w:left="600" w:hanging="592"/>
        <w:spacing w:after="0"/>
        <w:tabs>
          <w:tab w:leader="none" w:pos="60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 2</w:t>
      </w:r>
      <w:r>
        <w:rPr>
          <w:rFonts w:ascii="Arial" w:cs="Arial" w:eastAsia="Arial" w:hAnsi="Arial"/>
          <w:sz w:val="16"/>
          <w:szCs w:val="16"/>
          <w:color w:val="auto"/>
        </w:rPr>
        <w:t>, there have been no events subsequent to December 31, 2022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-165735</wp:posOffset>
            </wp:positionV>
            <wp:extent cx="30289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2022. Based on their evaluation, they have concluded that our disclosure controls and procedures are effective.</w:t>
      </w:r>
    </w:p>
    <w:p>
      <w:pPr>
        <w:spacing w:after="0" w:line="144"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During the quarter ended December 31, 2022,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Management’s Report on Internal Control over Financial Reporting is presented on Page </w:t>
      </w:r>
      <w:r>
        <w:rPr>
          <w:rFonts w:ascii="Arial" w:cs="Arial" w:eastAsia="Arial" w:hAnsi="Arial"/>
          <w:sz w:val="16"/>
          <w:szCs w:val="16"/>
          <w:u w:val="single" w:color="auto"/>
          <w:color w:val="0000FF"/>
        </w:rPr>
        <w:t>56</w:t>
      </w:r>
      <w:r>
        <w:rPr>
          <w:rFonts w:ascii="Arial" w:cs="Arial" w:eastAsia="Arial" w:hAnsi="Arial"/>
          <w:sz w:val="16"/>
          <w:szCs w:val="16"/>
          <w:color w:val="auto"/>
        </w:rPr>
        <w:t xml:space="preserve"> of this Annual Report on Form 10-K.</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94"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 xml:space="preserve">Information required under this item with respect to directors and information required by Items 401, 405, 406, 407(c)(3), 407(d)(4) and 407(d)(5) of Regulation S-K, is set forth in the Proxy Statement for our 2023 Annual Meeting of Shareholders, which is incorporated herein by reference. Information about our Executive Officers is reported in </w:t>
      </w:r>
      <w:r>
        <w:rPr>
          <w:rFonts w:ascii="Arial" w:cs="Arial" w:eastAsia="Arial" w:hAnsi="Arial"/>
          <w:sz w:val="16"/>
          <w:szCs w:val="16"/>
          <w:u w:val="single" w:color="auto"/>
          <w:color w:val="0000FF"/>
        </w:rPr>
        <w:t>Part 1</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-36195</wp:posOffset>
            </wp:positionV>
            <wp:extent cx="274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Information required under this item is set forth in the Proxy Statement for our 2023 Annual Meeting of Shareholders, which is incorporated herein by reference.</w:t>
      </w:r>
    </w:p>
    <w:p>
      <w:pPr>
        <w:spacing w:after="0" w:line="142"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2023 Annual Meeting of Shareholders, which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includes information as of December 31, 2022 with respect to our equity compensation plans which includes the Amended and Restated 2015 Omnibus Incentive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2"/>
          </w:tcPr>
          <w:p>
            <w:pPr>
              <w:jc w:val="center"/>
              <w:ind w:right="199"/>
              <w:spacing w:after="0"/>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520" w:type="dxa"/>
            <w:vAlign w:val="bottom"/>
            <w:gridSpan w:val="2"/>
          </w:tcPr>
          <w:p>
            <w:pPr>
              <w:jc w:val="center"/>
              <w:ind w:right="19"/>
              <w:spacing w:after="0"/>
              <w:rPr>
                <w:sz w:val="20"/>
                <w:szCs w:val="20"/>
                <w:color w:val="auto"/>
              </w:rPr>
            </w:pPr>
            <w:r>
              <w:rPr>
                <w:rFonts w:ascii="Arial" w:cs="Arial" w:eastAsia="Arial" w:hAnsi="Arial"/>
                <w:sz w:val="16"/>
                <w:szCs w:val="16"/>
                <w:color w:val="auto"/>
              </w:rPr>
              <w:t>Number of securities to be issued</w:t>
            </w:r>
          </w:p>
        </w:tc>
        <w:tc>
          <w:tcPr>
            <w:tcW w:w="24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Weighted-average exercise</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center"/>
              <w:ind w:right="359"/>
              <w:spacing w:after="0"/>
              <w:rPr>
                <w:sz w:val="20"/>
                <w:szCs w:val="20"/>
                <w:color w:val="auto"/>
              </w:rPr>
            </w:pPr>
            <w:r>
              <w:rPr>
                <w:rFonts w:ascii="Arial" w:cs="Arial" w:eastAsia="Arial" w:hAnsi="Arial"/>
                <w:sz w:val="16"/>
                <w:szCs w:val="16"/>
                <w:color w:val="auto"/>
              </w:rPr>
              <w:t>available for future issuance</w:t>
            </w:r>
          </w:p>
        </w:tc>
        <w:tc>
          <w:tcPr>
            <w:tcW w:w="0" w:type="dxa"/>
            <w:vAlign w:val="bottom"/>
          </w:tcPr>
          <w:p>
            <w:pPr>
              <w:spacing w:after="0"/>
              <w:rPr>
                <w:sz w:val="1"/>
                <w:szCs w:val="1"/>
                <w:color w:val="auto"/>
              </w:rPr>
            </w:pPr>
          </w:p>
        </w:tc>
      </w:tr>
      <w:tr>
        <w:trPr>
          <w:trHeight w:val="189"/>
        </w:trPr>
        <w:tc>
          <w:tcPr>
            <w:tcW w:w="3280" w:type="dxa"/>
            <w:vAlign w:val="bottom"/>
          </w:tcPr>
          <w:p>
            <w:pPr>
              <w:ind w:left="1140"/>
              <w:spacing w:after="0"/>
              <w:rPr>
                <w:sz w:val="20"/>
                <w:szCs w:val="20"/>
                <w:color w:val="auto"/>
              </w:rPr>
            </w:pPr>
            <w:r>
              <w:rPr>
                <w:rFonts w:ascii="Arial" w:cs="Arial" w:eastAsia="Arial" w:hAnsi="Arial"/>
                <w:sz w:val="16"/>
                <w:szCs w:val="16"/>
                <w:color w:val="auto"/>
              </w:rPr>
              <w:t>Plan category</w:t>
            </w:r>
          </w:p>
        </w:tc>
        <w:tc>
          <w:tcPr>
            <w:tcW w:w="140" w:type="dxa"/>
            <w:vAlign w:val="bottom"/>
          </w:tcPr>
          <w:p>
            <w:pPr>
              <w:spacing w:after="0"/>
              <w:rPr>
                <w:sz w:val="16"/>
                <w:szCs w:val="16"/>
                <w:color w:val="auto"/>
              </w:rPr>
            </w:pPr>
          </w:p>
        </w:tc>
        <w:tc>
          <w:tcPr>
            <w:tcW w:w="2380" w:type="dxa"/>
            <w:vAlign w:val="bottom"/>
          </w:tcPr>
          <w:p>
            <w:pPr>
              <w:jc w:val="center"/>
              <w:ind w:right="159"/>
              <w:spacing w:after="0"/>
              <w:rPr>
                <w:sz w:val="20"/>
                <w:szCs w:val="20"/>
                <w:color w:val="auto"/>
              </w:rPr>
            </w:pPr>
            <w:r>
              <w:rPr>
                <w:rFonts w:ascii="Arial" w:cs="Arial" w:eastAsia="Arial" w:hAnsi="Arial"/>
                <w:sz w:val="16"/>
                <w:szCs w:val="16"/>
                <w:color w:val="auto"/>
              </w:rPr>
              <w:t>upon exercise of outstanding</w:t>
            </w:r>
          </w:p>
        </w:tc>
        <w:tc>
          <w:tcPr>
            <w:tcW w:w="24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price of outstanding options,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center"/>
              <w:ind w:right="359"/>
              <w:spacing w:after="0"/>
              <w:rPr>
                <w:sz w:val="20"/>
                <w:szCs w:val="20"/>
                <w:color w:val="auto"/>
              </w:rPr>
            </w:pPr>
            <w:r>
              <w:rPr>
                <w:rFonts w:ascii="Arial" w:cs="Arial" w:eastAsia="Arial" w:hAnsi="Arial"/>
                <w:sz w:val="16"/>
                <w:szCs w:val="16"/>
                <w:color w:val="auto"/>
              </w:rPr>
              <w:t>under equity compensation</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jc w:val="center"/>
              <w:ind w:right="119"/>
              <w:spacing w:after="0"/>
              <w:rPr>
                <w:sz w:val="20"/>
                <w:szCs w:val="20"/>
                <w:color w:val="auto"/>
              </w:rPr>
            </w:pPr>
            <w:r>
              <w:rPr>
                <w:rFonts w:ascii="Arial" w:cs="Arial" w:eastAsia="Arial" w:hAnsi="Arial"/>
                <w:sz w:val="16"/>
                <w:szCs w:val="16"/>
                <w:color w:val="auto"/>
              </w:rPr>
              <w:t>options, warrants and rights</w:t>
            </w:r>
          </w:p>
        </w:tc>
        <w:tc>
          <w:tcPr>
            <w:tcW w:w="240" w:type="dxa"/>
            <w:vAlign w:val="bottom"/>
          </w:tcPr>
          <w:p>
            <w:pPr>
              <w:spacing w:after="0"/>
              <w:rPr>
                <w:sz w:val="16"/>
                <w:szCs w:val="16"/>
                <w:color w:val="auto"/>
              </w:rPr>
            </w:pPr>
          </w:p>
        </w:tc>
        <w:tc>
          <w:tcPr>
            <w:tcW w:w="2220" w:type="dxa"/>
            <w:vAlign w:val="bottom"/>
          </w:tcPr>
          <w:p>
            <w:pPr>
              <w:jc w:val="right"/>
              <w:ind w:right="279"/>
              <w:spacing w:after="0"/>
              <w:rPr>
                <w:sz w:val="20"/>
                <w:szCs w:val="20"/>
                <w:color w:val="auto"/>
              </w:rPr>
            </w:pPr>
            <w:r>
              <w:rPr>
                <w:rFonts w:ascii="Arial" w:cs="Arial" w:eastAsia="Arial" w:hAnsi="Arial"/>
                <w:sz w:val="16"/>
                <w:szCs w:val="16"/>
                <w:color w:val="auto"/>
              </w:rPr>
              <w:t>warrants and rights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center"/>
              <w:ind w:right="379"/>
              <w:spacing w:after="0"/>
              <w:rPr>
                <w:sz w:val="20"/>
                <w:szCs w:val="20"/>
                <w:color w:val="auto"/>
              </w:rPr>
            </w:pPr>
            <w:r>
              <w:rPr>
                <w:rFonts w:ascii="Arial" w:cs="Arial" w:eastAsia="Arial" w:hAnsi="Arial"/>
                <w:sz w:val="16"/>
                <w:szCs w:val="16"/>
                <w:color w:val="auto"/>
              </w:rPr>
              <w:t>plans (excluding securities</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jc w:val="center"/>
              <w:ind w:right="299"/>
              <w:spacing w:after="0"/>
              <w:rPr>
                <w:sz w:val="20"/>
                <w:szCs w:val="20"/>
                <w:color w:val="auto"/>
              </w:rPr>
            </w:pPr>
            <w:r>
              <w:rPr>
                <w:rFonts w:ascii="Arial" w:cs="Arial" w:eastAsia="Arial" w:hAnsi="Arial"/>
                <w:sz w:val="16"/>
                <w:szCs w:val="16"/>
                <w:color w:val="auto"/>
              </w:rPr>
              <w:t>reflected in column (a))</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1"/>
              </w:rPr>
              <w:t>(a)</w:t>
            </w: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(b)</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83"/>
        </w:trPr>
        <w:tc>
          <w:tcPr>
            <w:tcW w:w="32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Equity compensation plans approved by</w:t>
            </w:r>
          </w:p>
        </w:tc>
        <w:tc>
          <w:tcPr>
            <w:tcW w:w="14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FF0FC"/>
          </w:tcPr>
          <w:p>
            <w:pPr>
              <w:spacing w:after="0"/>
              <w:rPr>
                <w:sz w:val="15"/>
                <w:szCs w:val="15"/>
                <w:color w:val="auto"/>
              </w:rPr>
            </w:pPr>
          </w:p>
        </w:tc>
        <w:tc>
          <w:tcPr>
            <w:tcW w:w="2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 xml:space="preserve">2,213,716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17"/>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security 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255,588</w:t>
            </w:r>
          </w:p>
        </w:tc>
        <w:tc>
          <w:tcPr>
            <w:tcW w:w="240" w:type="dxa"/>
            <w:vAlign w:val="bottom"/>
            <w:vMerge w:val="continue"/>
            <w:shd w:val="clear" w:color="auto" w:fill="CFF0FC"/>
          </w:tcPr>
          <w:p>
            <w:pPr>
              <w:spacing w:after="0"/>
              <w:rPr>
                <w:sz w:val="18"/>
                <w:szCs w:val="18"/>
                <w:color w:val="auto"/>
              </w:rPr>
            </w:pPr>
          </w:p>
        </w:tc>
        <w:tc>
          <w:tcPr>
            <w:tcW w:w="2220" w:type="dxa"/>
            <w:vAlign w:val="bottom"/>
            <w:shd w:val="clear" w:color="auto" w:fill="CFF0FC"/>
          </w:tcPr>
          <w:p>
            <w:pPr>
              <w:jc w:val="right"/>
              <w:ind w:right="19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140" w:type="dxa"/>
            <w:vAlign w:val="bottom"/>
          </w:tcPr>
          <w:p>
            <w:pPr>
              <w:spacing w:after="0"/>
              <w:rPr>
                <w:sz w:val="16"/>
                <w:szCs w:val="16"/>
                <w:color w:val="auto"/>
              </w:rPr>
            </w:pPr>
          </w:p>
        </w:tc>
        <w:tc>
          <w:tcPr>
            <w:tcW w:w="2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3280" w:type="dxa"/>
            <w:vAlign w:val="bottom"/>
            <w:vMerge w:val="restart"/>
          </w:tcPr>
          <w:p>
            <w:pPr>
              <w:ind w:left="20"/>
              <w:spacing w:after="0"/>
              <w:rPr>
                <w:sz w:val="20"/>
                <w:szCs w:val="20"/>
                <w:color w:val="auto"/>
              </w:rPr>
            </w:pPr>
            <w:r>
              <w:rPr>
                <w:rFonts w:ascii="Arial" w:cs="Arial" w:eastAsia="Arial" w:hAnsi="Arial"/>
                <w:sz w:val="16"/>
                <w:szCs w:val="16"/>
                <w:color w:val="auto"/>
              </w:rPr>
              <w:t>security holders</w:t>
            </w:r>
          </w:p>
        </w:tc>
        <w:tc>
          <w:tcPr>
            <w:tcW w:w="1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28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255,588</w:t>
            </w:r>
          </w:p>
        </w:tc>
        <w:tc>
          <w:tcPr>
            <w:tcW w:w="240" w:type="dxa"/>
            <w:vAlign w:val="bottom"/>
            <w:tcBorders>
              <w:bottom w:val="single" w:sz="8" w:color="auto"/>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ind w:right="19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2,213,716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19" w:lineRule="exact"/>
        <w:rPr>
          <w:sz w:val="20"/>
          <w:szCs w:val="20"/>
          <w:color w:val="auto"/>
        </w:rPr>
      </w:pPr>
    </w:p>
    <w:p>
      <w:pPr>
        <w:ind w:left="520" w:right="260" w:hanging="512"/>
        <w:spacing w:after="0" w:line="248"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255,588 full value awards outstand as of December 31, 2022, comprised of restricted stock units, performance shares, short-term incentive plan (STIP) units and Director common stock units. In addition, 163,387 shares of unvested restricted stock were outstanding as of December 31, 2022, which are not included in the table above because they have already been issued. We do not have any outstanding options, warrant or rights.</w:t>
      </w:r>
    </w:p>
    <w:p>
      <w:pPr>
        <w:jc w:val="both"/>
        <w:ind w:left="520" w:right="240" w:hanging="512"/>
        <w:spacing w:after="0" w:line="252"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Shares available for issuance are from the 2015 Amended and Restated Omnibus Incentive Plan. The 2015 Amended and Restated Omnibus Incentive Plan permits grant of stock options, stock appreciation rights, restricted stock, restricted stock units, performance shares, performance units, cash-based awards and other stock-based awards.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2023 Annual Meeting of Shareholders, which is incorporated herein by reference.</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regarding principal accounting fees and services billed to us by our principal accountant, Deloitte &amp; Touche LLP (PCAOB ID No. 34) is set forth in the Proxy Statement for our 2023 Annual Meeting to Shareholders, which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94"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194"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statements required under this item are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-4445</wp:posOffset>
            </wp:positionV>
            <wp:extent cx="28575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the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-156210</wp:posOffset>
            </wp:positionV>
            <wp:extent cx="3028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jc w:val="right"/>
              <w:ind w:right="45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80" w:type="dxa"/>
            <w:vAlign w:val="bottom"/>
            <w:gridSpan w:val="13"/>
          </w:tcPr>
          <w:p>
            <w:pPr>
              <w:ind w:left="1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3"/>
        </w:trPr>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2.1</w:t>
            </w:r>
          </w:p>
        </w:tc>
        <w:tc>
          <w:tcPr>
            <w:tcW w:w="9780" w:type="dxa"/>
            <w:vAlign w:val="bottom"/>
            <w:gridSpan w:val="19"/>
            <w:shd w:val="clear" w:color="auto" w:fill="CFF0FC"/>
          </w:tcPr>
          <w:p>
            <w:pPr>
              <w:spacing w:after="0"/>
              <w:rPr>
                <w:rFonts w:ascii="Arial" w:cs="Arial" w:eastAsia="Arial" w:hAnsi="Arial"/>
                <w:sz w:val="16"/>
                <w:szCs w:val="16"/>
                <w:color w:val="0000FF"/>
              </w:rPr>
            </w:pPr>
            <w:hyperlink r:id="rId443">
              <w:r>
                <w:rPr>
                  <w:rFonts w:ascii="Arial" w:cs="Arial" w:eastAsia="Arial" w:hAnsi="Arial"/>
                  <w:sz w:val="16"/>
                  <w:szCs w:val="16"/>
                  <w:color w:val="0000FF"/>
                </w:rPr>
                <w:t>Purchase and Sale Agreement by and among Alinda Gas Delaware LLC, Alinda Infrastructure Fund I, L.P. and Aircraft Services</w:t>
              </w:r>
            </w:hyperlink>
          </w:p>
        </w:tc>
        <w:tc>
          <w:tcPr>
            <w:tcW w:w="0" w:type="dxa"/>
            <w:vAlign w:val="bottom"/>
          </w:tcPr>
          <w:p>
            <w:pPr>
              <w:spacing w:after="0"/>
              <w:rPr>
                <w:sz w:val="1"/>
                <w:szCs w:val="1"/>
                <w:color w:val="auto"/>
              </w:rPr>
            </w:pPr>
          </w:p>
        </w:tc>
      </w:tr>
      <w:tr>
        <w:trPr>
          <w:trHeight w:val="20"/>
        </w:trPr>
        <w:tc>
          <w:tcPr>
            <w:tcW w:w="14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Borders>
              <w:right w:val="single" w:sz="8" w:color="CFF0FC"/>
            </w:tcBorders>
            <w:shd w:val="clear" w:color="auto" w:fill="CFF0FC"/>
          </w:tcPr>
          <w:p>
            <w:pPr>
              <w:spacing w:after="0"/>
              <w:rPr>
                <w:sz w:val="14"/>
                <w:szCs w:val="14"/>
                <w:color w:val="auto"/>
              </w:rPr>
            </w:pPr>
          </w:p>
        </w:tc>
        <w:tc>
          <w:tcPr>
            <w:tcW w:w="9780" w:type="dxa"/>
            <w:vAlign w:val="bottom"/>
            <w:gridSpan w:val="19"/>
            <w:shd w:val="clear" w:color="auto" w:fill="CFF0FC"/>
          </w:tcPr>
          <w:p>
            <w:pPr>
              <w:spacing w:after="0" w:line="169" w:lineRule="exact"/>
              <w:rPr>
                <w:rFonts w:ascii="Arial" w:cs="Arial" w:eastAsia="Arial" w:hAnsi="Arial"/>
                <w:sz w:val="16"/>
                <w:szCs w:val="16"/>
                <w:color w:val="0000FF"/>
              </w:rPr>
            </w:pPr>
            <w:hyperlink r:id="rId443">
              <w:r>
                <w:rPr>
                  <w:rFonts w:ascii="Arial" w:cs="Arial" w:eastAsia="Arial" w:hAnsi="Arial"/>
                  <w:sz w:val="16"/>
                  <w:szCs w:val="16"/>
                  <w:color w:val="0000FF"/>
                </w:rPr>
                <w:t>Corporation, as Sellers, and Black Hills Utility Holdings, Inc., as Buyer, dated as of July 12, 2015 (filed as Exhibit 2.1 to the Registrant’s</w:t>
              </w:r>
            </w:hyperlink>
          </w:p>
        </w:tc>
        <w:tc>
          <w:tcPr>
            <w:tcW w:w="0" w:type="dxa"/>
            <w:vAlign w:val="bottom"/>
          </w:tcPr>
          <w:p>
            <w:pPr>
              <w:spacing w:after="0"/>
              <w:rPr>
                <w:sz w:val="1"/>
                <w:szCs w:val="1"/>
                <w:color w:val="auto"/>
              </w:rPr>
            </w:pPr>
          </w:p>
        </w:tc>
      </w:tr>
      <w:tr>
        <w:trPr>
          <w:trHeight w:val="217"/>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340" w:type="dxa"/>
            <w:vAlign w:val="bottom"/>
            <w:tcBorders>
              <w:top w:val="single" w:sz="8" w:color="0000FF"/>
              <w:bottom w:val="single" w:sz="8" w:color="0000FF"/>
            </w:tcBorders>
            <w:gridSpan w:val="5"/>
            <w:shd w:val="clear" w:color="auto" w:fill="CFF0FC"/>
          </w:tcPr>
          <w:p>
            <w:pPr>
              <w:spacing w:after="0" w:line="169" w:lineRule="exact"/>
              <w:rPr>
                <w:rFonts w:ascii="Arial" w:cs="Arial" w:eastAsia="Arial" w:hAnsi="Arial"/>
                <w:sz w:val="16"/>
                <w:szCs w:val="16"/>
                <w:color w:val="0000FF"/>
                <w:w w:val="99"/>
              </w:rPr>
            </w:pPr>
            <w:hyperlink r:id="rId443">
              <w:r>
                <w:rPr>
                  <w:rFonts w:ascii="Arial" w:cs="Arial" w:eastAsia="Arial" w:hAnsi="Arial"/>
                  <w:sz w:val="16"/>
                  <w:szCs w:val="16"/>
                  <w:color w:val="0000FF"/>
                  <w:w w:val="99"/>
                </w:rPr>
                <w:t>Form 8-K filed on July 14, 2015).</w:t>
              </w:r>
            </w:hyperlink>
          </w:p>
        </w:tc>
        <w:tc>
          <w:tcPr>
            <w:tcW w:w="7340" w:type="dxa"/>
            <w:vAlign w:val="bottom"/>
            <w:tcBorders>
              <w:top w:val="single" w:sz="8" w:color="0000FF"/>
              <w:bottom w:val="single" w:sz="8" w:color="CFF0FC"/>
              <w:right w:val="single" w:sz="8" w:color="CFF0FC"/>
            </w:tcBorders>
            <w:gridSpan w:val="13"/>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2.2</w:t>
            </w:r>
          </w:p>
        </w:tc>
        <w:tc>
          <w:tcPr>
            <w:tcW w:w="9780" w:type="dxa"/>
            <w:vAlign w:val="bottom"/>
            <w:gridSpan w:val="19"/>
          </w:tcPr>
          <w:p>
            <w:pPr>
              <w:spacing w:after="0"/>
              <w:rPr>
                <w:rFonts w:ascii="Arial" w:cs="Arial" w:eastAsia="Arial" w:hAnsi="Arial"/>
                <w:sz w:val="16"/>
                <w:szCs w:val="16"/>
                <w:color w:val="0000FF"/>
              </w:rPr>
            </w:pPr>
            <w:hyperlink r:id="rId444">
              <w:r>
                <w:rPr>
                  <w:rFonts w:ascii="Arial" w:cs="Arial" w:eastAsia="Arial" w:hAnsi="Arial"/>
                  <w:sz w:val="16"/>
                  <w:szCs w:val="16"/>
                  <w:color w:val="0000FF"/>
                </w:rPr>
                <w:t>First Amendment to Purchase and Sale Agreement effective December 10, 2015, by and among, Alinda Gas Delaware LLC, Alinda</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w w:val="99"/>
              </w:rPr>
            </w:pPr>
            <w:hyperlink r:id="rId444">
              <w:r>
                <w:rPr>
                  <w:rFonts w:ascii="Arial" w:cs="Arial" w:eastAsia="Arial" w:hAnsi="Arial"/>
                  <w:sz w:val="16"/>
                  <w:szCs w:val="16"/>
                  <w:color w:val="0000FF"/>
                  <w:w w:val="99"/>
                </w:rPr>
                <w:t>Infrastructure Fund I, L.P. and Aircraft Services Corporation, as Sellers, and Black Hills Utility Holdings, Inc., as Buyer (filed as Exhibit</w:t>
              </w:r>
            </w:hyperlink>
          </w:p>
        </w:tc>
        <w:tc>
          <w:tcPr>
            <w:tcW w:w="1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580" w:type="dxa"/>
            <w:vAlign w:val="bottom"/>
            <w:gridSpan w:val="16"/>
          </w:tcPr>
          <w:p>
            <w:pPr>
              <w:spacing w:after="0" w:line="169" w:lineRule="exact"/>
              <w:rPr>
                <w:rFonts w:ascii="Arial" w:cs="Arial" w:eastAsia="Arial" w:hAnsi="Arial"/>
                <w:sz w:val="16"/>
                <w:szCs w:val="16"/>
                <w:color w:val="0000FF"/>
              </w:rPr>
            </w:pPr>
            <w:hyperlink r:id="rId444">
              <w:r>
                <w:rPr>
                  <w:rFonts w:ascii="Arial" w:cs="Arial" w:eastAsia="Arial" w:hAnsi="Arial"/>
                  <w:sz w:val="16"/>
                  <w:szCs w:val="16"/>
                  <w:color w:val="0000FF"/>
                </w:rPr>
                <w:t>2.</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Registrant’s Form 10-K for 2015).</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2.3</w:t>
            </w:r>
          </w:p>
        </w:tc>
        <w:tc>
          <w:tcPr>
            <w:tcW w:w="9780" w:type="dxa"/>
            <w:vAlign w:val="bottom"/>
            <w:gridSpan w:val="19"/>
            <w:shd w:val="clear" w:color="auto" w:fill="CFF0FC"/>
          </w:tcPr>
          <w:p>
            <w:pPr>
              <w:spacing w:after="0"/>
              <w:rPr>
                <w:rFonts w:ascii="Arial" w:cs="Arial" w:eastAsia="Arial" w:hAnsi="Arial"/>
                <w:sz w:val="16"/>
                <w:szCs w:val="16"/>
                <w:color w:val="0000FF"/>
              </w:rPr>
            </w:pPr>
            <w:hyperlink r:id="rId445">
              <w:r>
                <w:rPr>
                  <w:rFonts w:ascii="Arial" w:cs="Arial" w:eastAsia="Arial" w:hAnsi="Arial"/>
                  <w:sz w:val="16"/>
                  <w:szCs w:val="16"/>
                  <w:color w:val="0000FF"/>
                </w:rPr>
                <w:t>Option Agreement, by and among, Aircraft Services Corporation, as ASC, SourceGas Holdings LLC, as the Company and Black Hills</w:t>
              </w:r>
            </w:hyperlink>
          </w:p>
        </w:tc>
        <w:tc>
          <w:tcPr>
            <w:tcW w:w="0" w:type="dxa"/>
            <w:vAlign w:val="bottom"/>
          </w:tcPr>
          <w:p>
            <w:pPr>
              <w:spacing w:after="0"/>
              <w:rPr>
                <w:sz w:val="1"/>
                <w:szCs w:val="1"/>
                <w:color w:val="auto"/>
              </w:rPr>
            </w:pPr>
          </w:p>
        </w:tc>
      </w:tr>
      <w:tr>
        <w:trPr>
          <w:trHeight w:val="216"/>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7300" w:type="dxa"/>
            <w:vAlign w:val="bottom"/>
            <w:tcBorders>
              <w:top w:val="single" w:sz="8" w:color="0000FF"/>
              <w:bottom w:val="single" w:sz="8" w:color="0000FF"/>
            </w:tcBorders>
            <w:gridSpan w:val="7"/>
            <w:shd w:val="clear" w:color="auto" w:fill="CFF0FC"/>
          </w:tcPr>
          <w:p>
            <w:pPr>
              <w:spacing w:after="0" w:line="169" w:lineRule="exact"/>
              <w:rPr>
                <w:rFonts w:ascii="Arial" w:cs="Arial" w:eastAsia="Arial" w:hAnsi="Arial"/>
                <w:sz w:val="16"/>
                <w:szCs w:val="16"/>
                <w:color w:val="0000FF"/>
              </w:rPr>
            </w:pPr>
            <w:hyperlink r:id="rId445">
              <w:r>
                <w:rPr>
                  <w:rFonts w:ascii="Arial" w:cs="Arial" w:eastAsia="Arial" w:hAnsi="Arial"/>
                  <w:sz w:val="16"/>
                  <w:szCs w:val="16"/>
                  <w:color w:val="0000FF"/>
                </w:rPr>
                <w:t>Utility Holdings, Inc., as Buyer (filed as Exhibit 2.2 to the Registrant’s Form 8-K filed on July 14, 2015).</w:t>
              </w:r>
            </w:hyperlink>
          </w:p>
        </w:tc>
        <w:tc>
          <w:tcPr>
            <w:tcW w:w="2260" w:type="dxa"/>
            <w:vAlign w:val="bottom"/>
            <w:tcBorders>
              <w:top w:val="single" w:sz="8" w:color="0000FF"/>
              <w:bottom w:val="single" w:sz="8" w:color="CFF0FC"/>
            </w:tcBorders>
            <w:gridSpan w:val="8"/>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3.1</w:t>
            </w:r>
          </w:p>
        </w:tc>
        <w:tc>
          <w:tcPr>
            <w:tcW w:w="9780" w:type="dxa"/>
            <w:vAlign w:val="bottom"/>
            <w:gridSpan w:val="19"/>
          </w:tcPr>
          <w:p>
            <w:pPr>
              <w:spacing w:after="0"/>
              <w:rPr>
                <w:rFonts w:ascii="Arial" w:cs="Arial" w:eastAsia="Arial" w:hAnsi="Arial"/>
                <w:sz w:val="16"/>
                <w:szCs w:val="16"/>
                <w:color w:val="0000FF"/>
              </w:rPr>
            </w:pPr>
            <w:hyperlink r:id="rId446">
              <w:r>
                <w:rPr>
                  <w:rFonts w:ascii="Arial" w:cs="Arial" w:eastAsia="Arial" w:hAnsi="Arial"/>
                  <w:sz w:val="16"/>
                  <w:szCs w:val="16"/>
                  <w:color w:val="0000FF"/>
                </w:rPr>
                <w:t>Restated Articles of Incorporation of the Registrant (filed as Exhibit 3 to the Registrant’s Form 8-K filed on February 5, 2018).</w:t>
              </w:r>
            </w:hyperlink>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3.2</w:t>
            </w:r>
          </w:p>
        </w:tc>
        <w:tc>
          <w:tcPr>
            <w:tcW w:w="9780" w:type="dxa"/>
            <w:vAlign w:val="bottom"/>
            <w:gridSpan w:val="19"/>
            <w:shd w:val="clear" w:color="auto" w:fill="CFF0FC"/>
          </w:tcPr>
          <w:p>
            <w:pPr>
              <w:spacing w:after="0"/>
              <w:rPr>
                <w:rFonts w:ascii="Arial" w:cs="Arial" w:eastAsia="Arial" w:hAnsi="Arial"/>
                <w:sz w:val="16"/>
                <w:szCs w:val="16"/>
                <w:color w:val="0000FF"/>
              </w:rPr>
            </w:pPr>
            <w:hyperlink r:id="rId447">
              <w:r>
                <w:rPr>
                  <w:rFonts w:ascii="Arial" w:cs="Arial" w:eastAsia="Arial" w:hAnsi="Arial"/>
                  <w:sz w:val="16"/>
                  <w:szCs w:val="16"/>
                  <w:color w:val="0000FF"/>
                </w:rPr>
                <w:t>Amended and Restated Bylaws of the Registrant dated April 24, 2017 (filed as Exhibit 3 to the Registrant’s Form 8-K filed on April 28,</w:t>
              </w:r>
            </w:hyperlink>
          </w:p>
        </w:tc>
        <w:tc>
          <w:tcPr>
            <w:tcW w:w="0" w:type="dxa"/>
            <w:vAlign w:val="bottom"/>
          </w:tcPr>
          <w:p>
            <w:pPr>
              <w:spacing w:after="0"/>
              <w:rPr>
                <w:sz w:val="1"/>
                <w:szCs w:val="1"/>
                <w:color w:val="auto"/>
              </w:rPr>
            </w:pPr>
          </w:p>
        </w:tc>
      </w:tr>
      <w:tr>
        <w:trPr>
          <w:trHeight w:val="169"/>
        </w:trPr>
        <w:tc>
          <w:tcPr>
            <w:tcW w:w="1460" w:type="dxa"/>
            <w:vAlign w:val="bottom"/>
            <w:tcBorders>
              <w:top w:val="single" w:sz="8" w:color="CFF0FC"/>
              <w:right w:val="single" w:sz="8" w:color="CFF0FC"/>
            </w:tcBorders>
            <w:shd w:val="clear" w:color="auto" w:fill="CFF0FC"/>
          </w:tcPr>
          <w:p>
            <w:pPr>
              <w:spacing w:after="0"/>
              <w:rPr>
                <w:sz w:val="14"/>
                <w:szCs w:val="14"/>
                <w:color w:val="auto"/>
              </w:rPr>
            </w:pPr>
          </w:p>
        </w:tc>
        <w:tc>
          <w:tcPr>
            <w:tcW w:w="600" w:type="dxa"/>
            <w:vAlign w:val="bottom"/>
            <w:tcBorders>
              <w:top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47">
              <w:r>
                <w:rPr>
                  <w:rFonts w:ascii="Arial" w:cs="Arial" w:eastAsia="Arial" w:hAnsi="Arial"/>
                  <w:sz w:val="16"/>
                  <w:szCs w:val="16"/>
                  <w:color w:val="0000FF"/>
                </w:rPr>
                <w:t>2017).</w:t>
              </w:r>
            </w:hyperlink>
          </w:p>
        </w:tc>
        <w:tc>
          <w:tcPr>
            <w:tcW w:w="1120" w:type="dxa"/>
            <w:vAlign w:val="bottom"/>
            <w:tcBorders>
              <w:top w:val="single" w:sz="8" w:color="0000FF"/>
            </w:tcBorders>
            <w:shd w:val="clear" w:color="auto" w:fill="CFF0FC"/>
          </w:tcPr>
          <w:p>
            <w:pPr>
              <w:spacing w:after="0"/>
              <w:rPr>
                <w:sz w:val="14"/>
                <w:szCs w:val="14"/>
                <w:color w:val="auto"/>
              </w:rPr>
            </w:pPr>
          </w:p>
        </w:tc>
        <w:tc>
          <w:tcPr>
            <w:tcW w:w="620" w:type="dxa"/>
            <w:vAlign w:val="bottom"/>
            <w:tcBorders>
              <w:top w:val="single" w:sz="8" w:color="0000FF"/>
            </w:tcBorders>
            <w:shd w:val="clear" w:color="auto" w:fill="CFF0FC"/>
          </w:tcPr>
          <w:p>
            <w:pPr>
              <w:spacing w:after="0"/>
              <w:rPr>
                <w:sz w:val="14"/>
                <w:szCs w:val="14"/>
                <w:color w:val="auto"/>
              </w:rPr>
            </w:pPr>
          </w:p>
        </w:tc>
        <w:tc>
          <w:tcPr>
            <w:tcW w:w="760" w:type="dxa"/>
            <w:vAlign w:val="bottom"/>
            <w:tcBorders>
              <w:top w:val="single" w:sz="8" w:color="0000FF"/>
            </w:tcBorders>
            <w:shd w:val="clear" w:color="auto" w:fill="CFF0FC"/>
          </w:tcPr>
          <w:p>
            <w:pPr>
              <w:spacing w:after="0"/>
              <w:rPr>
                <w:sz w:val="14"/>
                <w:szCs w:val="14"/>
                <w:color w:val="auto"/>
              </w:rPr>
            </w:pPr>
          </w:p>
        </w:tc>
        <w:tc>
          <w:tcPr>
            <w:tcW w:w="4200" w:type="dxa"/>
            <w:vAlign w:val="bottom"/>
            <w:tcBorders>
              <w:top w:val="single" w:sz="8" w:color="0000FF"/>
            </w:tcBorders>
            <w:shd w:val="clear" w:color="auto" w:fill="CFF0FC"/>
          </w:tcPr>
          <w:p>
            <w:pPr>
              <w:spacing w:after="0"/>
              <w:rPr>
                <w:sz w:val="14"/>
                <w:szCs w:val="14"/>
                <w:color w:val="auto"/>
              </w:rPr>
            </w:pPr>
          </w:p>
        </w:tc>
        <w:tc>
          <w:tcPr>
            <w:tcW w:w="154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6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14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8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12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760" w:type="dxa"/>
            <w:vAlign w:val="bottom"/>
            <w:tcBorders>
              <w:top w:val="single" w:sz="8" w:color="CFF0FC"/>
            </w:tcBorders>
            <w:shd w:val="clear" w:color="auto" w:fill="CFF0FC"/>
          </w:tcPr>
          <w:p>
            <w:pPr>
              <w:spacing w:after="0"/>
              <w:rPr>
                <w:sz w:val="4"/>
                <w:szCs w:val="4"/>
                <w:color w:val="auto"/>
              </w:rPr>
            </w:pPr>
          </w:p>
        </w:tc>
        <w:tc>
          <w:tcPr>
            <w:tcW w:w="4200" w:type="dxa"/>
            <w:vAlign w:val="bottom"/>
            <w:tcBorders>
              <w:top w:val="single" w:sz="8" w:color="CFF0FC"/>
            </w:tcBorders>
            <w:shd w:val="clear" w:color="auto" w:fill="CFF0FC"/>
          </w:tcPr>
          <w:p>
            <w:pPr>
              <w:spacing w:after="0"/>
              <w:rPr>
                <w:sz w:val="4"/>
                <w:szCs w:val="4"/>
                <w:color w:val="auto"/>
              </w:rPr>
            </w:pPr>
          </w:p>
        </w:tc>
        <w:tc>
          <w:tcPr>
            <w:tcW w:w="15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4.1</w:t>
            </w:r>
          </w:p>
        </w:tc>
        <w:tc>
          <w:tcPr>
            <w:tcW w:w="9780" w:type="dxa"/>
            <w:vAlign w:val="bottom"/>
            <w:gridSpan w:val="19"/>
          </w:tcPr>
          <w:p>
            <w:pPr>
              <w:spacing w:after="0"/>
              <w:rPr>
                <w:rFonts w:ascii="Arial" w:cs="Arial" w:eastAsia="Arial" w:hAnsi="Arial"/>
                <w:sz w:val="16"/>
                <w:szCs w:val="16"/>
                <w:color w:val="0000FF"/>
              </w:rPr>
            </w:pPr>
            <w:hyperlink r:id="rId448">
              <w:r>
                <w:rPr>
                  <w:rFonts w:ascii="Arial" w:cs="Arial" w:eastAsia="Arial" w:hAnsi="Arial"/>
                  <w:sz w:val="16"/>
                  <w:szCs w:val="16"/>
                  <w:color w:val="0000FF"/>
                </w:rPr>
                <w:t>Indenture dated as of May 21, 2003 between the Registrant and Wells Fargo Bank, National Association (as successor to LaSalle Bank</w:t>
              </w:r>
            </w:hyperlink>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12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9680" w:type="dxa"/>
            <w:vAlign w:val="bottom"/>
            <w:gridSpan w:val="18"/>
          </w:tcPr>
          <w:p>
            <w:pPr>
              <w:spacing w:after="0" w:line="169" w:lineRule="exact"/>
              <w:rPr>
                <w:rFonts w:ascii="Arial" w:cs="Arial" w:eastAsia="Arial" w:hAnsi="Arial"/>
                <w:sz w:val="16"/>
                <w:szCs w:val="16"/>
                <w:color w:val="0000FF"/>
              </w:rPr>
            </w:pPr>
            <w:hyperlink r:id="rId448">
              <w:r>
                <w:rPr>
                  <w:rFonts w:ascii="Arial" w:cs="Arial" w:eastAsia="Arial" w:hAnsi="Arial"/>
                  <w:sz w:val="16"/>
                  <w:szCs w:val="16"/>
                  <w:color w:val="0000FF"/>
                </w:rPr>
                <w:t>National Association), as Trustee (filed as Exhibit 4.1 to the Registrant’s Form 10-Q for the quarterly period ended June 30, 2003).</w:t>
              </w:r>
            </w:hyperlink>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4.1.1</w:t>
            </w:r>
          </w:p>
        </w:tc>
        <w:tc>
          <w:tcPr>
            <w:tcW w:w="9780" w:type="dxa"/>
            <w:vAlign w:val="bottom"/>
            <w:gridSpan w:val="19"/>
            <w:shd w:val="clear" w:color="auto" w:fill="CFF0FC"/>
          </w:tcPr>
          <w:p>
            <w:pPr>
              <w:ind w:left="100"/>
              <w:spacing w:after="0"/>
              <w:rPr>
                <w:rFonts w:ascii="Arial" w:cs="Arial" w:eastAsia="Arial" w:hAnsi="Arial"/>
                <w:sz w:val="16"/>
                <w:szCs w:val="16"/>
                <w:color w:val="0000FF"/>
              </w:rPr>
            </w:pPr>
            <w:hyperlink r:id="rId449">
              <w:r>
                <w:rPr>
                  <w:rFonts w:ascii="Arial" w:cs="Arial" w:eastAsia="Arial" w:hAnsi="Arial"/>
                  <w:sz w:val="16"/>
                  <w:szCs w:val="16"/>
                  <w:color w:val="0000FF"/>
                </w:rPr>
                <w:t>First Supplemental Indenture dated as of May 21, 2003 (filed as Exhibit 4.2 to the Registrant’s Form 10-Q for the quarterly period</w:t>
              </w:r>
            </w:hyperlink>
          </w:p>
        </w:tc>
        <w:tc>
          <w:tcPr>
            <w:tcW w:w="0" w:type="dxa"/>
            <w:vAlign w:val="bottom"/>
          </w:tcPr>
          <w:p>
            <w:pPr>
              <w:spacing w:after="0"/>
              <w:rPr>
                <w:sz w:val="1"/>
                <w:szCs w:val="1"/>
                <w:color w:val="auto"/>
              </w:rPr>
            </w:pPr>
          </w:p>
        </w:tc>
      </w:tr>
      <w:tr>
        <w:trPr>
          <w:trHeight w:val="217"/>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20" w:type="dxa"/>
            <w:vAlign w:val="bottom"/>
            <w:tcBorders>
              <w:top w:val="single" w:sz="8" w:color="0000FF"/>
              <w:bottom w:val="single" w:sz="8" w:color="0000FF"/>
            </w:tcBorders>
            <w:gridSpan w:val="3"/>
            <w:shd w:val="clear" w:color="auto" w:fill="CFF0FC"/>
          </w:tcPr>
          <w:p>
            <w:pPr>
              <w:spacing w:after="0" w:line="169" w:lineRule="exact"/>
              <w:rPr>
                <w:rFonts w:ascii="Arial" w:cs="Arial" w:eastAsia="Arial" w:hAnsi="Arial"/>
                <w:sz w:val="16"/>
                <w:szCs w:val="16"/>
                <w:color w:val="0000FF"/>
                <w:w w:val="99"/>
              </w:rPr>
            </w:pPr>
            <w:hyperlink r:id="rId449">
              <w:r>
                <w:rPr>
                  <w:rFonts w:ascii="Arial" w:cs="Arial" w:eastAsia="Arial" w:hAnsi="Arial"/>
                  <w:sz w:val="16"/>
                  <w:szCs w:val="16"/>
                  <w:color w:val="0000FF"/>
                  <w:w w:val="99"/>
                </w:rPr>
                <w:t>ended June 30, 2003).</w:t>
              </w:r>
            </w:hyperlink>
          </w:p>
        </w:tc>
        <w:tc>
          <w:tcPr>
            <w:tcW w:w="7640" w:type="dxa"/>
            <w:vAlign w:val="bottom"/>
            <w:tcBorders>
              <w:top w:val="single" w:sz="8" w:color="0000FF"/>
              <w:bottom w:val="single" w:sz="8" w:color="CFF0FC"/>
            </w:tcBorders>
            <w:gridSpan w:val="9"/>
            <w:shd w:val="clear" w:color="auto" w:fill="CFF0FC"/>
          </w:tcPr>
          <w:p>
            <w:pPr>
              <w:spacing w:after="0"/>
              <w:rPr>
                <w:sz w:val="18"/>
                <w:szCs w:val="18"/>
                <w:color w:val="auto"/>
              </w:rPr>
            </w:pPr>
          </w:p>
        </w:tc>
        <w:tc>
          <w:tcPr>
            <w:tcW w:w="320" w:type="dxa"/>
            <w:vAlign w:val="bottom"/>
            <w:tcBorders>
              <w:top w:val="single" w:sz="8" w:color="CFF0FC"/>
              <w:bottom w:val="single" w:sz="8" w:color="CFF0FC"/>
              <w:right w:val="single" w:sz="8" w:color="CFF0FC"/>
            </w:tcBorders>
            <w:gridSpan w:val="5"/>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799"/>
              <w:spacing w:after="0"/>
              <w:rPr>
                <w:sz w:val="20"/>
                <w:szCs w:val="20"/>
                <w:color w:val="auto"/>
              </w:rPr>
            </w:pPr>
            <w:r>
              <w:rPr>
                <w:rFonts w:ascii="Arial" w:cs="Arial" w:eastAsia="Arial" w:hAnsi="Arial"/>
                <w:sz w:val="16"/>
                <w:szCs w:val="16"/>
                <w:color w:val="auto"/>
              </w:rPr>
              <w:t>4.1.2</w:t>
            </w:r>
          </w:p>
        </w:tc>
        <w:tc>
          <w:tcPr>
            <w:tcW w:w="9780" w:type="dxa"/>
            <w:vAlign w:val="bottom"/>
            <w:gridSpan w:val="19"/>
          </w:tcPr>
          <w:p>
            <w:pPr>
              <w:ind w:left="100"/>
              <w:spacing w:after="0"/>
              <w:rPr>
                <w:rFonts w:ascii="Arial" w:cs="Arial" w:eastAsia="Arial" w:hAnsi="Arial"/>
                <w:sz w:val="16"/>
                <w:szCs w:val="16"/>
                <w:color w:val="0000FF"/>
              </w:rPr>
            </w:pPr>
            <w:hyperlink r:id="rId450">
              <w:r>
                <w:rPr>
                  <w:rFonts w:ascii="Arial" w:cs="Arial" w:eastAsia="Arial" w:hAnsi="Arial"/>
                  <w:sz w:val="16"/>
                  <w:szCs w:val="16"/>
                  <w:color w:val="0000FF"/>
                </w:rPr>
                <w:t>Second Supplemental Indenture dated as of May 14, 2009 (filed as Exhibit 4 to the Registrant’s Form 8-K filed on May 14, 2009).</w:t>
              </w:r>
            </w:hyperlink>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4.1.3</w:t>
            </w:r>
          </w:p>
        </w:tc>
        <w:tc>
          <w:tcPr>
            <w:tcW w:w="9780" w:type="dxa"/>
            <w:vAlign w:val="bottom"/>
            <w:gridSpan w:val="19"/>
            <w:shd w:val="clear" w:color="auto" w:fill="CFF0FC"/>
          </w:tcPr>
          <w:p>
            <w:pPr>
              <w:ind w:left="100"/>
              <w:spacing w:after="0"/>
              <w:rPr>
                <w:rFonts w:ascii="Arial" w:cs="Arial" w:eastAsia="Arial" w:hAnsi="Arial"/>
                <w:sz w:val="16"/>
                <w:szCs w:val="16"/>
                <w:color w:val="0000FF"/>
              </w:rPr>
            </w:pPr>
            <w:hyperlink r:id="rId451">
              <w:r>
                <w:rPr>
                  <w:rFonts w:ascii="Arial" w:cs="Arial" w:eastAsia="Arial" w:hAnsi="Arial"/>
                  <w:sz w:val="16"/>
                  <w:szCs w:val="16"/>
                  <w:color w:val="0000FF"/>
                </w:rPr>
                <w:t>Third Supplemental Indenture dated as of July 16, 2010 (filed as Exhibit 4 to Registrant’s Form 8-K filed on July 15, 2010).</w:t>
              </w:r>
            </w:hyperlink>
          </w:p>
        </w:tc>
        <w:tc>
          <w:tcPr>
            <w:tcW w:w="0" w:type="dxa"/>
            <w:vAlign w:val="bottom"/>
          </w:tcPr>
          <w:p>
            <w:pPr>
              <w:spacing w:after="0"/>
              <w:rPr>
                <w:sz w:val="1"/>
                <w:szCs w:val="1"/>
                <w:color w:val="auto"/>
              </w:rPr>
            </w:pPr>
          </w:p>
        </w:tc>
      </w:tr>
      <w:tr>
        <w:trPr>
          <w:trHeight w:val="48"/>
        </w:trPr>
        <w:tc>
          <w:tcPr>
            <w:tcW w:w="146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120" w:type="dxa"/>
            <w:vAlign w:val="bottom"/>
            <w:tcBorders>
              <w:top w:val="single" w:sz="8" w:color="0000FF"/>
            </w:tcBorders>
            <w:shd w:val="clear" w:color="auto" w:fill="CFF0FC"/>
          </w:tcPr>
          <w:p>
            <w:pPr>
              <w:spacing w:after="0"/>
              <w:rPr>
                <w:sz w:val="4"/>
                <w:szCs w:val="4"/>
                <w:color w:val="auto"/>
              </w:rPr>
            </w:pPr>
          </w:p>
        </w:tc>
        <w:tc>
          <w:tcPr>
            <w:tcW w:w="620" w:type="dxa"/>
            <w:vAlign w:val="bottom"/>
            <w:tcBorders>
              <w:top w:val="single" w:sz="8" w:color="0000FF"/>
            </w:tcBorders>
            <w:shd w:val="clear" w:color="auto" w:fill="CFF0FC"/>
          </w:tcPr>
          <w:p>
            <w:pPr>
              <w:spacing w:after="0"/>
              <w:rPr>
                <w:sz w:val="4"/>
                <w:szCs w:val="4"/>
                <w:color w:val="auto"/>
              </w:rPr>
            </w:pPr>
          </w:p>
        </w:tc>
        <w:tc>
          <w:tcPr>
            <w:tcW w:w="760" w:type="dxa"/>
            <w:vAlign w:val="bottom"/>
            <w:tcBorders>
              <w:top w:val="single" w:sz="8" w:color="0000FF"/>
            </w:tcBorders>
            <w:shd w:val="clear" w:color="auto" w:fill="CFF0FC"/>
          </w:tcPr>
          <w:p>
            <w:pPr>
              <w:spacing w:after="0"/>
              <w:rPr>
                <w:sz w:val="4"/>
                <w:szCs w:val="4"/>
                <w:color w:val="auto"/>
              </w:rPr>
            </w:pPr>
          </w:p>
        </w:tc>
        <w:tc>
          <w:tcPr>
            <w:tcW w:w="4200" w:type="dxa"/>
            <w:vAlign w:val="bottom"/>
            <w:tcBorders>
              <w:top w:val="single" w:sz="8" w:color="0000FF"/>
            </w:tcBorders>
            <w:shd w:val="clear" w:color="auto" w:fill="CFF0FC"/>
          </w:tcPr>
          <w:p>
            <w:pPr>
              <w:spacing w:after="0"/>
              <w:rPr>
                <w:sz w:val="4"/>
                <w:szCs w:val="4"/>
                <w:color w:val="auto"/>
              </w:rPr>
            </w:pPr>
          </w:p>
        </w:tc>
        <w:tc>
          <w:tcPr>
            <w:tcW w:w="154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799"/>
              <w:spacing w:after="0"/>
              <w:rPr>
                <w:sz w:val="20"/>
                <w:szCs w:val="20"/>
                <w:color w:val="auto"/>
              </w:rPr>
            </w:pPr>
            <w:r>
              <w:rPr>
                <w:rFonts w:ascii="Arial" w:cs="Arial" w:eastAsia="Arial" w:hAnsi="Arial"/>
                <w:sz w:val="16"/>
                <w:szCs w:val="16"/>
                <w:color w:val="auto"/>
              </w:rPr>
              <w:t>4.1.4</w:t>
            </w:r>
          </w:p>
        </w:tc>
        <w:tc>
          <w:tcPr>
            <w:tcW w:w="9780" w:type="dxa"/>
            <w:vAlign w:val="bottom"/>
            <w:gridSpan w:val="19"/>
          </w:tcPr>
          <w:p>
            <w:pPr>
              <w:ind w:left="100"/>
              <w:spacing w:after="0"/>
              <w:rPr>
                <w:rFonts w:ascii="Arial" w:cs="Arial" w:eastAsia="Arial" w:hAnsi="Arial"/>
                <w:sz w:val="16"/>
                <w:szCs w:val="16"/>
                <w:color w:val="0000FF"/>
              </w:rPr>
            </w:pPr>
            <w:hyperlink r:id="rId452">
              <w:r>
                <w:rPr>
                  <w:rFonts w:ascii="Arial" w:cs="Arial" w:eastAsia="Arial" w:hAnsi="Arial"/>
                  <w:sz w:val="16"/>
                  <w:szCs w:val="16"/>
                  <w:color w:val="0000FF"/>
                </w:rPr>
                <w:t>Fourth Supplemental Indenture dated as of November 19, 2013 (filed as Exhibit 4 to the Registrant’s Form 8-K filed on November 18,</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0000FF"/>
              <w:bottom w:val="single" w:sz="8" w:color="0000EE"/>
            </w:tcBorders>
            <w:gridSpan w:val="2"/>
          </w:tcPr>
          <w:p>
            <w:pPr>
              <w:spacing w:after="0" w:line="169" w:lineRule="exact"/>
              <w:rPr>
                <w:rFonts w:ascii="Arial" w:cs="Arial" w:eastAsia="Arial" w:hAnsi="Arial"/>
                <w:sz w:val="16"/>
                <w:szCs w:val="16"/>
                <w:color w:val="0000FF"/>
              </w:rPr>
            </w:pPr>
            <w:hyperlink r:id="rId452">
              <w:r>
                <w:rPr>
                  <w:rFonts w:ascii="Arial" w:cs="Arial" w:eastAsia="Arial" w:hAnsi="Arial"/>
                  <w:sz w:val="16"/>
                  <w:szCs w:val="16"/>
                  <w:color w:val="0000FF"/>
                </w:rPr>
                <w:t>2013).</w:t>
              </w:r>
            </w:hyperlink>
          </w:p>
        </w:tc>
        <w:tc>
          <w:tcPr>
            <w:tcW w:w="1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20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460" w:type="dxa"/>
            <w:vAlign w:val="bottom"/>
          </w:tcPr>
          <w:p>
            <w:pPr>
              <w:spacing w:after="0"/>
              <w:rPr>
                <w:sz w:val="21"/>
                <w:szCs w:val="21"/>
                <w:color w:val="auto"/>
              </w:rPr>
            </w:pPr>
          </w:p>
        </w:tc>
        <w:tc>
          <w:tcPr>
            <w:tcW w:w="7300" w:type="dxa"/>
            <w:vAlign w:val="bottom"/>
            <w:gridSpan w:val="7"/>
          </w:tcPr>
          <w:p>
            <w:pPr>
              <w:ind w:left="4040"/>
              <w:spacing w:after="0"/>
              <w:rPr>
                <w:sz w:val="20"/>
                <w:szCs w:val="20"/>
                <w:color w:val="auto"/>
              </w:rPr>
            </w:pPr>
            <w:r>
              <w:rPr>
                <w:rFonts w:ascii="Arial" w:cs="Arial" w:eastAsia="Arial" w:hAnsi="Arial"/>
                <w:sz w:val="16"/>
                <w:szCs w:val="16"/>
                <w:color w:val="auto"/>
              </w:rPr>
              <w:t>110</w:t>
            </w: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4.1.5</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56">
              <w:r>
                <w:rPr>
                  <w:rFonts w:ascii="Arial" w:cs="Arial" w:eastAsia="Arial" w:hAnsi="Arial"/>
                  <w:sz w:val="16"/>
                  <w:szCs w:val="16"/>
                  <w:color w:val="0000FF"/>
                </w:rPr>
                <w:t>Fifth Supplemental Indenture dated as of January 13, 2016 (filed as Exhibit 4.1 to the Registrant’s Form 8-K filed on January 13,</w:t>
              </w:r>
            </w:hyperlink>
          </w:p>
        </w:tc>
        <w:tc>
          <w:tcPr>
            <w:tcW w:w="0" w:type="dxa"/>
            <w:vAlign w:val="bottom"/>
          </w:tcPr>
          <w:p>
            <w:pPr>
              <w:spacing w:after="0"/>
              <w:rPr>
                <w:sz w:val="1"/>
                <w:szCs w:val="1"/>
                <w:color w:val="auto"/>
              </w:rPr>
            </w:pPr>
          </w:p>
        </w:tc>
      </w:tr>
      <w:tr>
        <w:trPr>
          <w:trHeight w:val="222"/>
        </w:trPr>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0000FF"/>
            </w:tcBorders>
            <w:shd w:val="clear" w:color="auto" w:fill="CFF0FC"/>
          </w:tcPr>
          <w:p>
            <w:pPr>
              <w:spacing w:after="0" w:line="169" w:lineRule="exact"/>
              <w:rPr>
                <w:rFonts w:ascii="Arial" w:cs="Arial" w:eastAsia="Arial" w:hAnsi="Arial"/>
                <w:sz w:val="16"/>
                <w:szCs w:val="16"/>
                <w:color w:val="0000FF"/>
                <w:w w:val="96"/>
              </w:rPr>
            </w:pPr>
            <w:hyperlink r:id="rId456">
              <w:r>
                <w:rPr>
                  <w:rFonts w:ascii="Arial" w:cs="Arial" w:eastAsia="Arial" w:hAnsi="Arial"/>
                  <w:sz w:val="16"/>
                  <w:szCs w:val="16"/>
                  <w:color w:val="0000FF"/>
                  <w:w w:val="96"/>
                </w:rPr>
                <w:t>2016).</w:t>
              </w:r>
            </w:hyperlink>
          </w:p>
        </w:tc>
        <w:tc>
          <w:tcPr>
            <w:tcW w:w="5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1440" w:type="dxa"/>
            <w:vAlign w:val="bottom"/>
            <w:tcBorders>
              <w:top w:val="single" w:sz="8" w:color="0000FF"/>
              <w:bottom w:val="single" w:sz="8" w:color="CFF0FC"/>
            </w:tcBorders>
            <w:shd w:val="clear" w:color="auto" w:fill="CFF0FC"/>
          </w:tcPr>
          <w:p>
            <w:pPr>
              <w:spacing w:after="0"/>
              <w:rPr>
                <w:sz w:val="18"/>
                <w:szCs w:val="18"/>
                <w:color w:val="auto"/>
              </w:rPr>
            </w:pPr>
          </w:p>
        </w:tc>
        <w:tc>
          <w:tcPr>
            <w:tcW w:w="220" w:type="dxa"/>
            <w:vAlign w:val="bottom"/>
            <w:tcBorders>
              <w:top w:val="single" w:sz="8" w:color="0000FF"/>
              <w:bottom w:val="single" w:sz="8" w:color="CFF0FC"/>
            </w:tcBorders>
            <w:shd w:val="clear" w:color="auto" w:fill="CFF0FC"/>
          </w:tcPr>
          <w:p>
            <w:pPr>
              <w:spacing w:after="0"/>
              <w:rPr>
                <w:sz w:val="18"/>
                <w:szCs w:val="18"/>
                <w:color w:val="auto"/>
              </w:rPr>
            </w:pPr>
          </w:p>
        </w:tc>
        <w:tc>
          <w:tcPr>
            <w:tcW w:w="320" w:type="dxa"/>
            <w:vAlign w:val="bottom"/>
            <w:tcBorders>
              <w:top w:val="single" w:sz="8" w:color="0000FF"/>
              <w:bottom w:val="single" w:sz="8" w:color="CFF0FC"/>
            </w:tcBorders>
            <w:shd w:val="clear" w:color="auto" w:fill="CFF0FC"/>
          </w:tcPr>
          <w:p>
            <w:pPr>
              <w:spacing w:after="0"/>
              <w:rPr>
                <w:sz w:val="18"/>
                <w:szCs w:val="18"/>
                <w:color w:val="auto"/>
              </w:rPr>
            </w:pPr>
          </w:p>
        </w:tc>
        <w:tc>
          <w:tcPr>
            <w:tcW w:w="360" w:type="dxa"/>
            <w:vAlign w:val="bottom"/>
            <w:tcBorders>
              <w:top w:val="single" w:sz="8" w:color="0000FF"/>
              <w:bottom w:val="single" w:sz="8" w:color="CFF0FC"/>
            </w:tcBorders>
            <w:shd w:val="clear" w:color="auto" w:fill="CFF0FC"/>
          </w:tcPr>
          <w:p>
            <w:pPr>
              <w:spacing w:after="0"/>
              <w:rPr>
                <w:sz w:val="18"/>
                <w:szCs w:val="18"/>
                <w:color w:val="auto"/>
              </w:rPr>
            </w:pPr>
          </w:p>
        </w:tc>
        <w:tc>
          <w:tcPr>
            <w:tcW w:w="30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122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44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360" w:type="dxa"/>
            <w:vAlign w:val="bottom"/>
            <w:tcBorders>
              <w:top w:val="single" w:sz="8" w:color="0000FF"/>
              <w:bottom w:val="single" w:sz="8" w:color="CFF0FC"/>
            </w:tcBorders>
            <w:shd w:val="clear" w:color="auto" w:fill="CFF0FC"/>
          </w:tcPr>
          <w:p>
            <w:pPr>
              <w:spacing w:after="0"/>
              <w:rPr>
                <w:sz w:val="18"/>
                <w:szCs w:val="18"/>
                <w:color w:val="auto"/>
              </w:rPr>
            </w:pPr>
          </w:p>
        </w:tc>
        <w:tc>
          <w:tcPr>
            <w:tcW w:w="1320" w:type="dxa"/>
            <w:vAlign w:val="bottom"/>
            <w:tcBorders>
              <w:top w:val="single" w:sz="8" w:color="0000FF"/>
              <w:bottom w:val="single" w:sz="8" w:color="CFF0FC"/>
            </w:tcBorders>
            <w:shd w:val="clear" w:color="auto" w:fill="CFF0FC"/>
          </w:tcPr>
          <w:p>
            <w:pPr>
              <w:spacing w:after="0"/>
              <w:rPr>
                <w:sz w:val="18"/>
                <w:szCs w:val="18"/>
                <w:color w:val="auto"/>
              </w:rPr>
            </w:pPr>
          </w:p>
        </w:tc>
        <w:tc>
          <w:tcPr>
            <w:tcW w:w="1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CFF0FC"/>
            </w:tcBorders>
            <w:shd w:val="clear" w:color="auto" w:fill="CFF0FC"/>
          </w:tcPr>
          <w:p>
            <w:pPr>
              <w:spacing w:after="0"/>
              <w:rPr>
                <w:sz w:val="18"/>
                <w:szCs w:val="18"/>
                <w:color w:val="auto"/>
              </w:rPr>
            </w:pPr>
          </w:p>
        </w:tc>
        <w:tc>
          <w:tcPr>
            <w:tcW w:w="280" w:type="dxa"/>
            <w:vAlign w:val="bottom"/>
            <w:tcBorders>
              <w:top w:val="single" w:sz="8" w:color="0000FF"/>
              <w:bottom w:val="single" w:sz="8" w:color="CFF0FC"/>
            </w:tcBorders>
            <w:shd w:val="clear" w:color="auto" w:fill="CFF0FC"/>
          </w:tcPr>
          <w:p>
            <w:pPr>
              <w:spacing w:after="0"/>
              <w:rPr>
                <w:sz w:val="18"/>
                <w:szCs w:val="18"/>
                <w:color w:val="auto"/>
              </w:rPr>
            </w:pPr>
          </w:p>
        </w:tc>
        <w:tc>
          <w:tcPr>
            <w:tcW w:w="100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4.1.6</w:t>
            </w:r>
          </w:p>
        </w:tc>
        <w:tc>
          <w:tcPr>
            <w:tcW w:w="340" w:type="dxa"/>
            <w:vAlign w:val="bottom"/>
            <w:tcBorders>
              <w:top w:val="single" w:sz="8" w:color="CFF0FC"/>
            </w:tcBorders>
          </w:tcPr>
          <w:p>
            <w:pPr>
              <w:spacing w:after="0"/>
              <w:rPr>
                <w:sz w:val="19"/>
                <w:szCs w:val="19"/>
                <w:color w:val="auto"/>
              </w:rPr>
            </w:pPr>
          </w:p>
        </w:tc>
        <w:tc>
          <w:tcPr>
            <w:tcW w:w="9800" w:type="dxa"/>
            <w:vAlign w:val="bottom"/>
            <w:tcBorders>
              <w:top w:val="single" w:sz="8" w:color="CFF0FC"/>
            </w:tcBorders>
            <w:gridSpan w:val="39"/>
          </w:tcPr>
          <w:p>
            <w:pPr>
              <w:ind w:left="120"/>
              <w:spacing w:after="0"/>
              <w:rPr>
                <w:rFonts w:ascii="Arial" w:cs="Arial" w:eastAsia="Arial" w:hAnsi="Arial"/>
                <w:sz w:val="16"/>
                <w:szCs w:val="16"/>
                <w:color w:val="0000FF"/>
              </w:rPr>
            </w:pPr>
            <w:hyperlink r:id="rId457">
              <w:r>
                <w:rPr>
                  <w:rFonts w:ascii="Arial" w:cs="Arial" w:eastAsia="Arial" w:hAnsi="Arial"/>
                  <w:sz w:val="16"/>
                  <w:szCs w:val="16"/>
                  <w:color w:val="0000FF"/>
                </w:rPr>
                <w:t>Sixth Supplemental Indenture dated as of August 19, 2016 (filed as Exhibit 4.1 to the Registrant’s Form 8-K filed on August 19, 2016).</w:t>
              </w:r>
            </w:hyperlink>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4.1.7</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58">
              <w:r>
                <w:rPr>
                  <w:rFonts w:ascii="Arial" w:cs="Arial" w:eastAsia="Arial" w:hAnsi="Arial"/>
                  <w:sz w:val="16"/>
                  <w:szCs w:val="16"/>
                  <w:color w:val="0000FF"/>
                </w:rPr>
                <w:t>Seventh Supplemental Indenture dated as of August 17, 2018 (filed as Exhibit 4.2 to the Registrant’s Form 8-K filed on August 17,</w:t>
              </w:r>
            </w:hyperlink>
          </w:p>
        </w:tc>
        <w:tc>
          <w:tcPr>
            <w:tcW w:w="0" w:type="dxa"/>
            <w:vAlign w:val="bottom"/>
          </w:tcPr>
          <w:p>
            <w:pPr>
              <w:spacing w:after="0"/>
              <w:rPr>
                <w:sz w:val="1"/>
                <w:szCs w:val="1"/>
                <w:color w:val="auto"/>
              </w:rPr>
            </w:pPr>
          </w:p>
        </w:tc>
      </w:tr>
      <w:tr>
        <w:trPr>
          <w:trHeight w:val="222"/>
        </w:trPr>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0000FF"/>
            </w:tcBorders>
            <w:shd w:val="clear" w:color="auto" w:fill="CFF0FC"/>
          </w:tcPr>
          <w:p>
            <w:pPr>
              <w:spacing w:after="0" w:line="169" w:lineRule="exact"/>
              <w:rPr>
                <w:rFonts w:ascii="Arial" w:cs="Arial" w:eastAsia="Arial" w:hAnsi="Arial"/>
                <w:sz w:val="16"/>
                <w:szCs w:val="16"/>
                <w:color w:val="0000FF"/>
                <w:w w:val="96"/>
              </w:rPr>
            </w:pPr>
            <w:hyperlink r:id="rId458">
              <w:r>
                <w:rPr>
                  <w:rFonts w:ascii="Arial" w:cs="Arial" w:eastAsia="Arial" w:hAnsi="Arial"/>
                  <w:sz w:val="16"/>
                  <w:szCs w:val="16"/>
                  <w:color w:val="0000FF"/>
                  <w:w w:val="96"/>
                </w:rPr>
                <w:t>2018).</w:t>
              </w:r>
            </w:hyperlink>
          </w:p>
        </w:tc>
        <w:tc>
          <w:tcPr>
            <w:tcW w:w="5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1440" w:type="dxa"/>
            <w:vAlign w:val="bottom"/>
            <w:tcBorders>
              <w:top w:val="single" w:sz="8" w:color="0000FF"/>
              <w:bottom w:val="single" w:sz="8" w:color="CFF0FC"/>
            </w:tcBorders>
            <w:shd w:val="clear" w:color="auto" w:fill="CFF0FC"/>
          </w:tcPr>
          <w:p>
            <w:pPr>
              <w:spacing w:after="0"/>
              <w:rPr>
                <w:sz w:val="18"/>
                <w:szCs w:val="18"/>
                <w:color w:val="auto"/>
              </w:rPr>
            </w:pPr>
          </w:p>
        </w:tc>
        <w:tc>
          <w:tcPr>
            <w:tcW w:w="220" w:type="dxa"/>
            <w:vAlign w:val="bottom"/>
            <w:tcBorders>
              <w:top w:val="single" w:sz="8" w:color="0000FF"/>
              <w:bottom w:val="single" w:sz="8" w:color="CFF0FC"/>
            </w:tcBorders>
            <w:shd w:val="clear" w:color="auto" w:fill="CFF0FC"/>
          </w:tcPr>
          <w:p>
            <w:pPr>
              <w:spacing w:after="0"/>
              <w:rPr>
                <w:sz w:val="18"/>
                <w:szCs w:val="18"/>
                <w:color w:val="auto"/>
              </w:rPr>
            </w:pPr>
          </w:p>
        </w:tc>
        <w:tc>
          <w:tcPr>
            <w:tcW w:w="320" w:type="dxa"/>
            <w:vAlign w:val="bottom"/>
            <w:tcBorders>
              <w:top w:val="single" w:sz="8" w:color="0000FF"/>
              <w:bottom w:val="single" w:sz="8" w:color="CFF0FC"/>
            </w:tcBorders>
            <w:shd w:val="clear" w:color="auto" w:fill="CFF0FC"/>
          </w:tcPr>
          <w:p>
            <w:pPr>
              <w:spacing w:after="0"/>
              <w:rPr>
                <w:sz w:val="18"/>
                <w:szCs w:val="18"/>
                <w:color w:val="auto"/>
              </w:rPr>
            </w:pPr>
          </w:p>
        </w:tc>
        <w:tc>
          <w:tcPr>
            <w:tcW w:w="360" w:type="dxa"/>
            <w:vAlign w:val="bottom"/>
            <w:tcBorders>
              <w:top w:val="single" w:sz="8" w:color="0000FF"/>
              <w:bottom w:val="single" w:sz="8" w:color="CFF0FC"/>
            </w:tcBorders>
            <w:shd w:val="clear" w:color="auto" w:fill="CFF0FC"/>
          </w:tcPr>
          <w:p>
            <w:pPr>
              <w:spacing w:after="0"/>
              <w:rPr>
                <w:sz w:val="18"/>
                <w:szCs w:val="18"/>
                <w:color w:val="auto"/>
              </w:rPr>
            </w:pPr>
          </w:p>
        </w:tc>
        <w:tc>
          <w:tcPr>
            <w:tcW w:w="30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122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44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360" w:type="dxa"/>
            <w:vAlign w:val="bottom"/>
            <w:tcBorders>
              <w:top w:val="single" w:sz="8" w:color="0000FF"/>
              <w:bottom w:val="single" w:sz="8" w:color="CFF0FC"/>
            </w:tcBorders>
            <w:shd w:val="clear" w:color="auto" w:fill="CFF0FC"/>
          </w:tcPr>
          <w:p>
            <w:pPr>
              <w:spacing w:after="0"/>
              <w:rPr>
                <w:sz w:val="18"/>
                <w:szCs w:val="18"/>
                <w:color w:val="auto"/>
              </w:rPr>
            </w:pPr>
          </w:p>
        </w:tc>
        <w:tc>
          <w:tcPr>
            <w:tcW w:w="1320" w:type="dxa"/>
            <w:vAlign w:val="bottom"/>
            <w:tcBorders>
              <w:top w:val="single" w:sz="8" w:color="0000FF"/>
              <w:bottom w:val="single" w:sz="8" w:color="CFF0FC"/>
            </w:tcBorders>
            <w:shd w:val="clear" w:color="auto" w:fill="CFF0FC"/>
          </w:tcPr>
          <w:p>
            <w:pPr>
              <w:spacing w:after="0"/>
              <w:rPr>
                <w:sz w:val="18"/>
                <w:szCs w:val="18"/>
                <w:color w:val="auto"/>
              </w:rPr>
            </w:pPr>
          </w:p>
        </w:tc>
        <w:tc>
          <w:tcPr>
            <w:tcW w:w="1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CFF0FC"/>
            </w:tcBorders>
            <w:shd w:val="clear" w:color="auto" w:fill="CFF0FC"/>
          </w:tcPr>
          <w:p>
            <w:pPr>
              <w:spacing w:after="0"/>
              <w:rPr>
                <w:sz w:val="18"/>
                <w:szCs w:val="18"/>
                <w:color w:val="auto"/>
              </w:rPr>
            </w:pPr>
          </w:p>
        </w:tc>
        <w:tc>
          <w:tcPr>
            <w:tcW w:w="280" w:type="dxa"/>
            <w:vAlign w:val="bottom"/>
            <w:tcBorders>
              <w:top w:val="single" w:sz="8" w:color="0000FF"/>
              <w:bottom w:val="single" w:sz="8" w:color="CFF0FC"/>
            </w:tcBorders>
            <w:shd w:val="clear" w:color="auto" w:fill="CFF0FC"/>
          </w:tcPr>
          <w:p>
            <w:pPr>
              <w:spacing w:after="0"/>
              <w:rPr>
                <w:sz w:val="18"/>
                <w:szCs w:val="18"/>
                <w:color w:val="auto"/>
              </w:rPr>
            </w:pPr>
          </w:p>
        </w:tc>
        <w:tc>
          <w:tcPr>
            <w:tcW w:w="100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80" w:type="dxa"/>
            <w:vAlign w:val="bottom"/>
            <w:tcBorders>
              <w:top w:val="single" w:sz="8" w:color="0000FF"/>
              <w:bottom w:val="single" w:sz="8" w:color="CFF0FC"/>
              <w:right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top w:val="single" w:sz="8" w:color="CFF0FC"/>
            </w:tcBorders>
          </w:tcPr>
          <w:p>
            <w:pPr>
              <w:ind w:left="220"/>
              <w:spacing w:after="0"/>
              <w:rPr>
                <w:sz w:val="20"/>
                <w:szCs w:val="20"/>
                <w:color w:val="auto"/>
              </w:rPr>
            </w:pPr>
            <w:r>
              <w:rPr>
                <w:rFonts w:ascii="Arial" w:cs="Arial" w:eastAsia="Arial" w:hAnsi="Arial"/>
                <w:sz w:val="16"/>
                <w:szCs w:val="16"/>
                <w:color w:val="auto"/>
              </w:rPr>
              <w:t>4.1.8</w:t>
            </w:r>
          </w:p>
        </w:tc>
        <w:tc>
          <w:tcPr>
            <w:tcW w:w="340" w:type="dxa"/>
            <w:vAlign w:val="bottom"/>
            <w:tcBorders>
              <w:top w:val="single" w:sz="8" w:color="CFF0FC"/>
            </w:tcBorders>
          </w:tcPr>
          <w:p>
            <w:pPr>
              <w:spacing w:after="0"/>
              <w:rPr>
                <w:sz w:val="19"/>
                <w:szCs w:val="19"/>
                <w:color w:val="auto"/>
              </w:rPr>
            </w:pPr>
          </w:p>
        </w:tc>
        <w:tc>
          <w:tcPr>
            <w:tcW w:w="9800" w:type="dxa"/>
            <w:vAlign w:val="bottom"/>
            <w:tcBorders>
              <w:top w:val="single" w:sz="8" w:color="CFF0FC"/>
            </w:tcBorders>
            <w:gridSpan w:val="39"/>
          </w:tcPr>
          <w:p>
            <w:pPr>
              <w:ind w:left="120"/>
              <w:spacing w:after="0"/>
              <w:rPr>
                <w:rFonts w:ascii="Arial" w:cs="Arial" w:eastAsia="Arial" w:hAnsi="Arial"/>
                <w:sz w:val="16"/>
                <w:szCs w:val="16"/>
                <w:color w:val="0000FF"/>
              </w:rPr>
            </w:pPr>
            <w:hyperlink r:id="rId459">
              <w:r>
                <w:rPr>
                  <w:rFonts w:ascii="Arial" w:cs="Arial" w:eastAsia="Arial" w:hAnsi="Arial"/>
                  <w:sz w:val="16"/>
                  <w:szCs w:val="16"/>
                  <w:color w:val="0000FF"/>
                </w:rPr>
                <w:t>Eighth Supplemental Indenture dated as of October 3, 2019 (filed as Exhibit 4.1 to the Registrant’s Form 8-K filed on October 4,</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6"/>
              </w:rPr>
            </w:pPr>
            <w:hyperlink r:id="rId459">
              <w:r>
                <w:rPr>
                  <w:rFonts w:ascii="Arial" w:cs="Arial" w:eastAsia="Arial" w:hAnsi="Arial"/>
                  <w:sz w:val="16"/>
                  <w:szCs w:val="16"/>
                  <w:color w:val="0000FF"/>
                  <w:w w:val="96"/>
                </w:rPr>
                <w:t>2019).</w:t>
              </w:r>
            </w:hyperlink>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4.1.9</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60">
              <w:r>
                <w:rPr>
                  <w:rFonts w:ascii="Arial" w:cs="Arial" w:eastAsia="Arial" w:hAnsi="Arial"/>
                  <w:sz w:val="16"/>
                  <w:szCs w:val="16"/>
                  <w:color w:val="0000FF"/>
                </w:rPr>
                <w:t>Ninth Supplemental Indenture dated as of June 17, 2020 (filed as Exhibit 4.1 to the Registrant’s Form 8-K filed on June 17, 2020).</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4.1.10</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61">
              <w:r>
                <w:rPr>
                  <w:rFonts w:ascii="Arial" w:cs="Arial" w:eastAsia="Arial" w:hAnsi="Arial"/>
                  <w:sz w:val="16"/>
                  <w:szCs w:val="16"/>
                  <w:color w:val="0000FF"/>
                </w:rPr>
                <w:t>Tenth Supplemental Indenture dated as of August 26, 2021 (filed as Exhibit 4.1 to the Registrant’s Form 8-K filed on August 26,</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6"/>
              </w:rPr>
            </w:pPr>
            <w:hyperlink r:id="rId461">
              <w:r>
                <w:rPr>
                  <w:rFonts w:ascii="Arial" w:cs="Arial" w:eastAsia="Arial" w:hAnsi="Arial"/>
                  <w:sz w:val="16"/>
                  <w:szCs w:val="16"/>
                  <w:color w:val="0000FF"/>
                  <w:w w:val="96"/>
                </w:rPr>
                <w:t>2021).</w:t>
              </w:r>
            </w:hyperlink>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w:t>
            </w:r>
          </w:p>
        </w:tc>
        <w:tc>
          <w:tcPr>
            <w:tcW w:w="10140" w:type="dxa"/>
            <w:vAlign w:val="bottom"/>
            <w:gridSpan w:val="40"/>
            <w:shd w:val="clear" w:color="auto" w:fill="CFF0FC"/>
          </w:tcPr>
          <w:p>
            <w:pPr>
              <w:ind w:left="340"/>
              <w:spacing w:after="0"/>
              <w:rPr>
                <w:rFonts w:ascii="Arial" w:cs="Arial" w:eastAsia="Arial" w:hAnsi="Arial"/>
                <w:sz w:val="16"/>
                <w:szCs w:val="16"/>
                <w:color w:val="0000FF"/>
              </w:rPr>
            </w:pPr>
            <w:hyperlink r:id="rId462">
              <w:r>
                <w:rPr>
                  <w:rFonts w:ascii="Arial" w:cs="Arial" w:eastAsia="Arial" w:hAnsi="Arial"/>
                  <w:sz w:val="16"/>
                  <w:szCs w:val="16"/>
                  <w:color w:val="0000FF"/>
                </w:rPr>
                <w:t>Restated and Amended Indenture of Mortgage and Deed of Trust of Black Hills Corporation (now called Black Hills Power, Inc.) dated</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9600" w:type="dxa"/>
            <w:vAlign w:val="bottom"/>
            <w:tcBorders>
              <w:top w:val="single" w:sz="8" w:color="0000FF"/>
            </w:tcBorders>
            <w:gridSpan w:val="30"/>
            <w:shd w:val="clear" w:color="auto" w:fill="CFF0FC"/>
          </w:tcPr>
          <w:p>
            <w:pPr>
              <w:spacing w:after="0" w:line="169" w:lineRule="exact"/>
              <w:rPr>
                <w:rFonts w:ascii="Arial" w:cs="Arial" w:eastAsia="Arial" w:hAnsi="Arial"/>
                <w:sz w:val="16"/>
                <w:szCs w:val="16"/>
                <w:color w:val="0000FF"/>
              </w:rPr>
            </w:pPr>
            <w:hyperlink r:id="rId462">
              <w:r>
                <w:rPr>
                  <w:rFonts w:ascii="Arial" w:cs="Arial" w:eastAsia="Arial" w:hAnsi="Arial"/>
                  <w:sz w:val="16"/>
                  <w:szCs w:val="16"/>
                  <w:color w:val="0000FF"/>
                </w:rPr>
                <w:t>as of September 1, 1999 (filed as Exhibit 4.19 to the Registrant’s Post-Effective Amendment No. 1 to the Registrant’s Registration</w:t>
              </w:r>
            </w:hyperlink>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9320" w:type="dxa"/>
            <w:vAlign w:val="bottom"/>
            <w:tcBorders>
              <w:top w:val="single" w:sz="8" w:color="0000FF"/>
            </w:tcBorders>
            <w:gridSpan w:val="25"/>
            <w:shd w:val="clear" w:color="auto" w:fill="CFF0FC"/>
          </w:tcPr>
          <w:p>
            <w:pPr>
              <w:spacing w:after="0" w:line="169" w:lineRule="exact"/>
              <w:rPr>
                <w:rFonts w:ascii="Arial" w:cs="Arial" w:eastAsia="Arial" w:hAnsi="Arial"/>
                <w:sz w:val="16"/>
                <w:szCs w:val="16"/>
                <w:color w:val="0000FF"/>
              </w:rPr>
            </w:pPr>
            <w:hyperlink r:id="rId462">
              <w:r>
                <w:rPr>
                  <w:rFonts w:ascii="Arial" w:cs="Arial" w:eastAsia="Arial" w:hAnsi="Arial"/>
                  <w:sz w:val="16"/>
                  <w:szCs w:val="16"/>
                  <w:color w:val="0000FF"/>
                </w:rPr>
                <w:t>Statement on Form S-3 (No. 333-150669)).</w:t>
              </w:r>
            </w:hyperlink>
          </w:p>
        </w:tc>
        <w:tc>
          <w:tcPr>
            <w:tcW w:w="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CFF0FC"/>
            </w:tcBorders>
            <w:gridSpan w:val="2"/>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4.2.1</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63">
              <w:r>
                <w:rPr>
                  <w:rFonts w:ascii="Arial" w:cs="Arial" w:eastAsia="Arial" w:hAnsi="Arial"/>
                  <w:sz w:val="16"/>
                  <w:szCs w:val="16"/>
                  <w:color w:val="0000FF"/>
                </w:rPr>
                <w:t>First Supplemental Indenture, dated as of August 13, 2002, between Black Hills Power, Inc. and The Bank of New York Mellon (as</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463">
              <w:r>
                <w:rPr>
                  <w:rFonts w:ascii="Arial" w:cs="Arial" w:eastAsia="Arial" w:hAnsi="Arial"/>
                  <w:sz w:val="16"/>
                  <w:szCs w:val="16"/>
                  <w:color w:val="0000FF"/>
                </w:rPr>
                <w:t>successor to JPMorgan Chase Bank), as Trustee (filed as Exhibit 4.20 to the Registrant’s Post-Effective Amendment No. 1 to the</w:t>
              </w:r>
            </w:hyperlink>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6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63">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4.2.2</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64">
              <w:r>
                <w:rPr>
                  <w:rFonts w:ascii="Arial" w:cs="Arial" w:eastAsia="Arial" w:hAnsi="Arial"/>
                  <w:sz w:val="16"/>
                  <w:szCs w:val="16"/>
                  <w:color w:val="0000FF"/>
                </w:rPr>
                <w:t>Second Supplemental Indenture, dated as of October 27, 2009, between Black Hills Power, Inc. and The Bank of New York Mellon</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CFF0FC"/>
            </w:tcBorders>
            <w:gridSpan w:val="2"/>
            <w:shd w:val="clear" w:color="auto" w:fill="0000FF"/>
          </w:tcPr>
          <w:p>
            <w:pPr>
              <w:spacing w:after="0" w:line="20" w:lineRule="exact"/>
              <w:rPr>
                <w:sz w:val="1"/>
                <w:szCs w:val="1"/>
                <w:color w:val="auto"/>
              </w:rPr>
            </w:pPr>
          </w:p>
        </w:tc>
        <w:tc>
          <w:tcPr>
            <w:tcW w:w="80" w:type="dxa"/>
            <w:vAlign w:val="bottom"/>
            <w:gridSpan w:val="2"/>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680" w:type="dxa"/>
            <w:vAlign w:val="bottom"/>
            <w:gridSpan w:val="38"/>
            <w:shd w:val="clear" w:color="auto" w:fill="CFF0FC"/>
          </w:tcPr>
          <w:p>
            <w:pPr>
              <w:spacing w:after="0" w:line="169" w:lineRule="exact"/>
              <w:rPr>
                <w:rFonts w:ascii="Arial" w:cs="Arial" w:eastAsia="Arial" w:hAnsi="Arial"/>
                <w:sz w:val="16"/>
                <w:szCs w:val="16"/>
                <w:color w:val="0000FF"/>
              </w:rPr>
            </w:pPr>
            <w:hyperlink r:id="rId464">
              <w:r>
                <w:rPr>
                  <w:rFonts w:ascii="Arial" w:cs="Arial" w:eastAsia="Arial" w:hAnsi="Arial"/>
                  <w:sz w:val="16"/>
                  <w:szCs w:val="16"/>
                  <w:color w:val="0000FF"/>
                </w:rPr>
                <w:t>(filed as Exhibit 4.21 to the Registrant’s Post-Effective Amendment No. 2 to the Registrant’s Registration Statement on Form S-3 (No.</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gridSpan w:val="2"/>
            <w:shd w:val="clear" w:color="auto" w:fill="CFF0FC"/>
          </w:tcPr>
          <w:p>
            <w:pPr>
              <w:spacing w:after="0"/>
              <w:rPr>
                <w:sz w:val="14"/>
                <w:szCs w:val="14"/>
                <w:color w:val="auto"/>
              </w:rPr>
            </w:pPr>
          </w:p>
        </w:tc>
        <w:tc>
          <w:tcPr>
            <w:tcW w:w="2440" w:type="dxa"/>
            <w:vAlign w:val="bottom"/>
            <w:tcBorders>
              <w:top w:val="single" w:sz="8" w:color="0000FF"/>
            </w:tcBorders>
            <w:gridSpan w:val="4"/>
            <w:shd w:val="clear" w:color="auto" w:fill="CFF0FC"/>
          </w:tcPr>
          <w:p>
            <w:pPr>
              <w:spacing w:after="0" w:line="169" w:lineRule="exact"/>
              <w:rPr>
                <w:rFonts w:ascii="Arial" w:cs="Arial" w:eastAsia="Arial" w:hAnsi="Arial"/>
                <w:sz w:val="16"/>
                <w:szCs w:val="16"/>
                <w:color w:val="0000FF"/>
              </w:rPr>
            </w:pPr>
            <w:hyperlink r:id="rId464">
              <w:r>
                <w:rPr>
                  <w:rFonts w:ascii="Arial" w:cs="Arial" w:eastAsia="Arial" w:hAnsi="Arial"/>
                  <w:sz w:val="16"/>
                  <w:szCs w:val="16"/>
                  <w:color w:val="0000FF"/>
                </w:rPr>
                <w:t>333-150669)).</w:t>
              </w:r>
            </w:hyperlink>
          </w:p>
        </w:tc>
        <w:tc>
          <w:tcPr>
            <w:tcW w:w="220" w:type="dxa"/>
            <w:vAlign w:val="bottom"/>
            <w:tcBorders>
              <w:top w:val="single" w:sz="8" w:color="0000FF"/>
            </w:tcBorders>
            <w:shd w:val="clear" w:color="auto" w:fill="CFF0FC"/>
          </w:tcPr>
          <w:p>
            <w:pPr>
              <w:spacing w:after="0"/>
              <w:rPr>
                <w:sz w:val="14"/>
                <w:szCs w:val="14"/>
                <w:color w:val="auto"/>
              </w:rPr>
            </w:pPr>
          </w:p>
        </w:tc>
        <w:tc>
          <w:tcPr>
            <w:tcW w:w="32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3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22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44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132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60" w:type="dxa"/>
            <w:vAlign w:val="bottom"/>
            <w:tcBorders>
              <w:top w:val="single" w:sz="8" w:color="0000FF"/>
            </w:tcBorders>
            <w:shd w:val="clear" w:color="auto" w:fill="CFF0FC"/>
          </w:tcPr>
          <w:p>
            <w:pPr>
              <w:spacing w:after="0"/>
              <w:rPr>
                <w:sz w:val="14"/>
                <w:szCs w:val="14"/>
                <w:color w:val="auto"/>
              </w:rPr>
            </w:pPr>
          </w:p>
        </w:tc>
        <w:tc>
          <w:tcPr>
            <w:tcW w:w="280" w:type="dxa"/>
            <w:vAlign w:val="bottom"/>
            <w:tcBorders>
              <w:top w:val="single" w:sz="8" w:color="0000FF"/>
            </w:tcBorders>
            <w:shd w:val="clear" w:color="auto" w:fill="CFF0FC"/>
          </w:tcPr>
          <w:p>
            <w:pPr>
              <w:spacing w:after="0"/>
              <w:rPr>
                <w:sz w:val="14"/>
                <w:szCs w:val="14"/>
                <w:color w:val="auto"/>
              </w:rPr>
            </w:pPr>
          </w:p>
        </w:tc>
        <w:tc>
          <w:tcPr>
            <w:tcW w:w="100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80" w:type="dxa"/>
            <w:vAlign w:val="bottom"/>
            <w:tcBorders>
              <w:top w:val="single" w:sz="8" w:color="0000FF"/>
              <w:right w:val="single" w:sz="8" w:color="CFF0FC"/>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4.2.3</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65">
              <w:r>
                <w:rPr>
                  <w:rFonts w:ascii="Arial" w:cs="Arial" w:eastAsia="Arial" w:hAnsi="Arial"/>
                  <w:sz w:val="16"/>
                  <w:szCs w:val="16"/>
                  <w:color w:val="0000FF"/>
                </w:rPr>
                <w:t>Third Supplemental Indenture, dated as of October 1, 2014, between Black Hills Power, Inc. and The Bank of New York Mellon (filed</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65">
              <w:r>
                <w:rPr>
                  <w:rFonts w:ascii="Arial" w:cs="Arial" w:eastAsia="Arial" w:hAnsi="Arial"/>
                  <w:sz w:val="16"/>
                  <w:szCs w:val="16"/>
                  <w:color w:val="0000FF"/>
                </w:rPr>
                <w:t>as Exhibit 10.1 to the Registrant’s Form 8-K filed on October 2,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4.3</w:t>
            </w:r>
          </w:p>
        </w:tc>
        <w:tc>
          <w:tcPr>
            <w:tcW w:w="10140" w:type="dxa"/>
            <w:vAlign w:val="bottom"/>
            <w:gridSpan w:val="40"/>
            <w:shd w:val="clear" w:color="auto" w:fill="CFF0FC"/>
          </w:tcPr>
          <w:p>
            <w:pPr>
              <w:ind w:left="340"/>
              <w:spacing w:after="0"/>
              <w:rPr>
                <w:rFonts w:ascii="Arial" w:cs="Arial" w:eastAsia="Arial" w:hAnsi="Arial"/>
                <w:sz w:val="16"/>
                <w:szCs w:val="16"/>
                <w:color w:val="0000FF"/>
              </w:rPr>
            </w:pPr>
            <w:hyperlink r:id="rId466">
              <w:r>
                <w:rPr>
                  <w:rFonts w:ascii="Arial" w:cs="Arial" w:eastAsia="Arial" w:hAnsi="Arial"/>
                  <w:sz w:val="16"/>
                  <w:szCs w:val="16"/>
                  <w:color w:val="0000FF"/>
                </w:rPr>
                <w:t>Restated Indenture of Mortgage, Deed of Trust, Security Agreement and Financing Statement, amended and restated as of November</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bottom w:val="single" w:sz="8" w:color="CFF0FC"/>
            </w:tcBorders>
            <w:shd w:val="clear" w:color="auto" w:fill="CFF0FC"/>
          </w:tcPr>
          <w:p>
            <w:pPr>
              <w:spacing w:after="0"/>
              <w:rPr>
                <w:sz w:val="14"/>
                <w:szCs w:val="14"/>
                <w:color w:val="auto"/>
              </w:rPr>
            </w:pP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9700" w:type="dxa"/>
            <w:vAlign w:val="bottom"/>
            <w:tcBorders>
              <w:top w:val="single" w:sz="8" w:color="0000FF"/>
              <w:bottom w:val="single" w:sz="8" w:color="0000FF"/>
            </w:tcBorders>
            <w:gridSpan w:val="35"/>
            <w:shd w:val="clear" w:color="auto" w:fill="CFF0FC"/>
          </w:tcPr>
          <w:p>
            <w:pPr>
              <w:spacing w:after="0" w:line="169" w:lineRule="exact"/>
              <w:rPr>
                <w:rFonts w:ascii="Arial" w:cs="Arial" w:eastAsia="Arial" w:hAnsi="Arial"/>
                <w:sz w:val="16"/>
                <w:szCs w:val="16"/>
                <w:color w:val="0000FF"/>
              </w:rPr>
            </w:pPr>
            <w:hyperlink r:id="rId466">
              <w:r>
                <w:rPr>
                  <w:rFonts w:ascii="Arial" w:cs="Arial" w:eastAsia="Arial" w:hAnsi="Arial"/>
                  <w:sz w:val="16"/>
                  <w:szCs w:val="16"/>
                  <w:color w:val="0000FF"/>
                </w:rPr>
                <w:t>20, 2007, between Cheyenne Light, Fuel and Power Company and Wells Fargo Bank, National Association (filed as Exhibit 10.2 to the</w:t>
              </w:r>
            </w:hyperlink>
          </w:p>
        </w:tc>
        <w:tc>
          <w:tcPr>
            <w:tcW w:w="20" w:type="dxa"/>
            <w:vAlign w:val="bottom"/>
            <w:tcBorders>
              <w:top w:val="single" w:sz="8" w:color="CFF0FC"/>
              <w:bottom w:val="single" w:sz="8" w:color="0000FF"/>
            </w:tcBorders>
            <w:shd w:val="clear" w:color="auto" w:fill="CFF0FC"/>
          </w:tcPr>
          <w:p>
            <w:pPr>
              <w:spacing w:after="0"/>
              <w:rPr>
                <w:sz w:val="14"/>
                <w:szCs w:val="14"/>
                <w:color w:val="auto"/>
              </w:rPr>
            </w:pPr>
          </w:p>
        </w:tc>
        <w:tc>
          <w:tcPr>
            <w:tcW w:w="20" w:type="dxa"/>
            <w:vAlign w:val="bottom"/>
            <w:tcBorders>
              <w:top w:val="single" w:sz="8" w:color="CFF0FC"/>
              <w:bottom w:val="single" w:sz="8" w:color="0000FF"/>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0000FF"/>
            </w:tcBorders>
            <w:gridSpan w:val="8"/>
            <w:shd w:val="clear" w:color="auto" w:fill="CFF0FC"/>
          </w:tcPr>
          <w:p>
            <w:pPr>
              <w:spacing w:after="0" w:line="169" w:lineRule="exact"/>
              <w:rPr>
                <w:rFonts w:ascii="Arial" w:cs="Arial" w:eastAsia="Arial" w:hAnsi="Arial"/>
                <w:sz w:val="16"/>
                <w:szCs w:val="16"/>
                <w:color w:val="0000FF"/>
              </w:rPr>
            </w:pPr>
            <w:hyperlink r:id="rId466">
              <w:r>
                <w:rPr>
                  <w:rFonts w:ascii="Arial" w:cs="Arial" w:eastAsia="Arial" w:hAnsi="Arial"/>
                  <w:sz w:val="16"/>
                  <w:szCs w:val="16"/>
                  <w:color w:val="0000FF"/>
                </w:rPr>
                <w:t>Registrant’s Form 8-K filed on October 2, 2014).</w:t>
              </w:r>
            </w:hyperlink>
          </w:p>
        </w:tc>
        <w:tc>
          <w:tcPr>
            <w:tcW w:w="6280" w:type="dxa"/>
            <w:vAlign w:val="bottom"/>
            <w:tcBorders>
              <w:bottom w:val="single" w:sz="8" w:color="CFF0FC"/>
            </w:tcBorders>
            <w:gridSpan w:val="29"/>
            <w:shd w:val="clear" w:color="auto" w:fill="CFF0FC"/>
          </w:tcPr>
          <w:p>
            <w:pPr>
              <w:spacing w:after="0"/>
              <w:rPr>
                <w:sz w:val="18"/>
                <w:szCs w:val="18"/>
                <w:color w:val="auto"/>
              </w:rPr>
            </w:pPr>
          </w:p>
        </w:tc>
        <w:tc>
          <w:tcPr>
            <w:tcW w:w="6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4.3.1</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67">
              <w:r>
                <w:rPr>
                  <w:rFonts w:ascii="Arial" w:cs="Arial" w:eastAsia="Arial" w:hAnsi="Arial"/>
                  <w:sz w:val="16"/>
                  <w:szCs w:val="16"/>
                  <w:color w:val="0000FF"/>
                </w:rPr>
                <w:t>First Supplemental Indenture, dated as of September 3, 2009, between Cheyenne Light, Fuel and Power Company and Wells Fargo</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4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467">
              <w:r>
                <w:rPr>
                  <w:rFonts w:ascii="Arial" w:cs="Arial" w:eastAsia="Arial" w:hAnsi="Arial"/>
                  <w:sz w:val="16"/>
                  <w:szCs w:val="16"/>
                  <w:color w:val="0000FF"/>
                </w:rPr>
                <w:t>Bank, National Association (filed as Exhibit 10.3 to the Registrant’s Form 8-K filed on October 2, 2014).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68">
              <w:r>
                <w:rPr>
                  <w:rFonts w:ascii="Arial" w:cs="Arial" w:eastAsia="Arial" w:hAnsi="Arial"/>
                  <w:sz w:val="16"/>
                  <w:szCs w:val="16"/>
                  <w:color w:val="0000FF"/>
                </w:rPr>
                <w:t>Second Supplemental Indenture, dated as of October 1, 2014, between Cheyenne Light, Fuel and Power Company and Wells Fargo</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560" w:type="dxa"/>
            <w:vAlign w:val="bottom"/>
            <w:tcBorders>
              <w:top w:val="single" w:sz="8" w:color="0000FF"/>
            </w:tcBorders>
            <w:gridSpan w:val="33"/>
            <w:shd w:val="clear" w:color="auto" w:fill="CFF0FC"/>
          </w:tcPr>
          <w:p>
            <w:pPr>
              <w:spacing w:after="0" w:line="169" w:lineRule="exact"/>
              <w:rPr>
                <w:rFonts w:ascii="Arial" w:cs="Arial" w:eastAsia="Arial" w:hAnsi="Arial"/>
                <w:sz w:val="16"/>
                <w:szCs w:val="16"/>
                <w:color w:val="0000FF"/>
              </w:rPr>
            </w:pPr>
            <w:hyperlink r:id="rId468">
              <w:r>
                <w:rPr>
                  <w:rFonts w:ascii="Arial" w:cs="Arial" w:eastAsia="Arial" w:hAnsi="Arial"/>
                  <w:sz w:val="16"/>
                  <w:szCs w:val="16"/>
                  <w:color w:val="0000FF"/>
                </w:rPr>
                <w:t>Bank, National Association (filed as Exhibit 10.4 to the Registrant’s Form 8-K filed on October 2, 2014).</w:t>
              </w:r>
            </w:hyperlink>
          </w:p>
        </w:tc>
        <w:tc>
          <w:tcPr>
            <w:tcW w:w="40" w:type="dxa"/>
            <w:vAlign w:val="bottom"/>
            <w:tcBorders>
              <w:top w:val="single" w:sz="8" w:color="CFF0FC"/>
            </w:tcBorders>
            <w:gridSpan w:val="2"/>
            <w:shd w:val="clear" w:color="auto" w:fill="CFF0FC"/>
          </w:tcPr>
          <w:p>
            <w:pPr>
              <w:spacing w:after="0"/>
              <w:rPr>
                <w:sz w:val="14"/>
                <w:szCs w:val="14"/>
                <w:color w:val="auto"/>
              </w:rPr>
            </w:pPr>
          </w:p>
        </w:tc>
        <w:tc>
          <w:tcPr>
            <w:tcW w:w="80" w:type="dxa"/>
            <w:vAlign w:val="bottom"/>
            <w:tcBorders>
              <w:top w:val="single" w:sz="8" w:color="CFF0FC"/>
            </w:tcBorders>
            <w:gridSpan w:val="3"/>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20"/>
              <w:spacing w:after="0"/>
              <w:rPr>
                <w:sz w:val="20"/>
                <w:szCs w:val="20"/>
                <w:color w:val="auto"/>
              </w:rPr>
            </w:pPr>
            <w:r>
              <w:rPr>
                <w:rFonts w:ascii="Arial" w:cs="Arial" w:eastAsia="Arial" w:hAnsi="Arial"/>
                <w:sz w:val="16"/>
                <w:szCs w:val="16"/>
                <w:color w:val="auto"/>
              </w:rPr>
              <w:t>4.4</w:t>
            </w:r>
          </w:p>
        </w:tc>
        <w:tc>
          <w:tcPr>
            <w:tcW w:w="10140" w:type="dxa"/>
            <w:vAlign w:val="bottom"/>
            <w:gridSpan w:val="40"/>
          </w:tcPr>
          <w:p>
            <w:pPr>
              <w:ind w:left="340"/>
              <w:spacing w:after="0"/>
              <w:rPr>
                <w:rFonts w:ascii="Arial" w:cs="Arial" w:eastAsia="Arial" w:hAnsi="Arial"/>
                <w:sz w:val="16"/>
                <w:szCs w:val="16"/>
                <w:color w:val="0000FF"/>
              </w:rPr>
            </w:pPr>
            <w:hyperlink r:id="rId469">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FF0FC"/>
            </w:tcBorders>
            <w:shd w:val="clear" w:color="auto" w:fill="CFF0FC"/>
          </w:tcPr>
          <w:p>
            <w:pPr>
              <w:spacing w:after="0"/>
              <w:rPr>
                <w:sz w:val="24"/>
                <w:szCs w:val="24"/>
                <w:color w:val="auto"/>
              </w:rPr>
            </w:pPr>
          </w:p>
        </w:tc>
        <w:tc>
          <w:tcPr>
            <w:tcW w:w="6020" w:type="dxa"/>
            <w:vAlign w:val="bottom"/>
            <w:tcBorders>
              <w:bottom w:val="single" w:sz="8" w:color="0000FF"/>
            </w:tcBorders>
            <w:gridSpan w:val="15"/>
            <w:shd w:val="clear" w:color="auto" w:fill="CFF0FC"/>
          </w:tcPr>
          <w:p>
            <w:pPr>
              <w:spacing w:after="0"/>
              <w:rPr>
                <w:rFonts w:ascii="Arial" w:cs="Arial" w:eastAsia="Arial" w:hAnsi="Arial"/>
                <w:sz w:val="16"/>
                <w:szCs w:val="16"/>
                <w:color w:val="0000FF"/>
              </w:rPr>
            </w:pPr>
            <w:hyperlink r:id="rId470">
              <w:r>
                <w:rPr>
                  <w:rFonts w:ascii="Arial" w:cs="Arial" w:eastAsia="Arial" w:hAnsi="Arial"/>
                  <w:sz w:val="16"/>
                  <w:szCs w:val="16"/>
                  <w:color w:val="0000FF"/>
                </w:rPr>
                <w:t>Description of Securities (filed as Exhibit 4.5 to the Registrant's Form 10-K for 2019)</w:t>
              </w:r>
            </w:hyperlink>
          </w:p>
        </w:tc>
        <w:tc>
          <w:tcPr>
            <w:tcW w:w="3780" w:type="dxa"/>
            <w:vAlign w:val="bottom"/>
            <w:tcBorders>
              <w:bottom w:val="single" w:sz="8" w:color="CFF0FC"/>
            </w:tcBorders>
            <w:gridSpan w:val="24"/>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120"/>
              <w:spacing w:after="0"/>
              <w:rPr>
                <w:sz w:val="20"/>
                <w:szCs w:val="20"/>
                <w:color w:val="auto"/>
              </w:rPr>
            </w:pPr>
            <w:r>
              <w:rPr>
                <w:rFonts w:ascii="Arial" w:cs="Arial" w:eastAsia="Arial" w:hAnsi="Arial"/>
                <w:sz w:val="16"/>
                <w:szCs w:val="16"/>
                <w:color w:val="auto"/>
              </w:rPr>
              <w:t>10.1†</w:t>
            </w:r>
          </w:p>
        </w:tc>
        <w:tc>
          <w:tcPr>
            <w:tcW w:w="10140" w:type="dxa"/>
            <w:vAlign w:val="bottom"/>
            <w:gridSpan w:val="40"/>
          </w:tcPr>
          <w:p>
            <w:pPr>
              <w:ind w:left="340"/>
              <w:spacing w:after="0"/>
              <w:rPr>
                <w:rFonts w:ascii="Arial" w:cs="Arial" w:eastAsia="Arial" w:hAnsi="Arial"/>
                <w:sz w:val="16"/>
                <w:szCs w:val="16"/>
                <w:color w:val="0000FF"/>
              </w:rPr>
            </w:pPr>
            <w:hyperlink r:id="rId471">
              <w:r>
                <w:rPr>
                  <w:rFonts w:ascii="Arial" w:cs="Arial" w:eastAsia="Arial" w:hAnsi="Arial"/>
                  <w:sz w:val="16"/>
                  <w:szCs w:val="16"/>
                  <w:color w:val="0000FF"/>
                </w:rPr>
                <w:t>Amended and Restated Pension Equalization Plan of Black Hills Corporation dated November 6, 2001 (filed as Exhibit 10.11 to the</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471">
              <w:r>
                <w:rPr>
                  <w:rFonts w:ascii="Arial" w:cs="Arial" w:eastAsia="Arial" w:hAnsi="Arial"/>
                  <w:sz w:val="16"/>
                  <w:szCs w:val="16"/>
                  <w:color w:val="0000FF"/>
                </w:rPr>
                <w:t>Registrant’s Form 10-K/A for 2001).</w:t>
              </w:r>
            </w:hyperlink>
          </w:p>
        </w:tc>
        <w:tc>
          <w:tcPr>
            <w:tcW w:w="1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10.1.1†</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72">
              <w:r>
                <w:rPr>
                  <w:rFonts w:ascii="Arial" w:cs="Arial" w:eastAsia="Arial" w:hAnsi="Arial"/>
                  <w:sz w:val="16"/>
                  <w:szCs w:val="16"/>
                  <w:color w:val="0000FF"/>
                </w:rPr>
                <w:t>First Amendment to Pension Equalization Plan (filed as Exhibit 10.10 to the Registrant’s Form 10-K for 2002).</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10.1.2†</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73">
              <w:r>
                <w:rPr>
                  <w:rFonts w:ascii="Arial" w:cs="Arial" w:eastAsia="Arial" w:hAnsi="Arial"/>
                  <w:sz w:val="16"/>
                  <w:szCs w:val="16"/>
                  <w:color w:val="0000FF"/>
                </w:rPr>
                <w:t>Grandfather Amendment to the Amended and Restated Pension Equalization Plan of Black Hills Corporation (filed as Exhibit 10.2 to</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473">
              <w:r>
                <w:rPr>
                  <w:rFonts w:ascii="Arial" w:cs="Arial" w:eastAsia="Arial" w:hAnsi="Arial"/>
                  <w:sz w:val="16"/>
                  <w:szCs w:val="16"/>
                  <w:color w:val="0000FF"/>
                </w:rPr>
                <w:t>the Registrant’s Form 10-K for 2008).</w:t>
              </w:r>
            </w:hyperlink>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spacing w:after="0"/>
              <w:rPr>
                <w:rFonts w:ascii="Arial" w:cs="Arial" w:eastAsia="Arial" w:hAnsi="Arial"/>
                <w:sz w:val="16"/>
                <w:szCs w:val="16"/>
                <w:color w:val="0000FF"/>
              </w:rPr>
            </w:pPr>
            <w:hyperlink r:id="rId474">
              <w:r>
                <w:rPr>
                  <w:rFonts w:ascii="Arial" w:cs="Arial" w:eastAsia="Arial" w:hAnsi="Arial"/>
                  <w:sz w:val="16"/>
                  <w:szCs w:val="16"/>
                  <w:color w:val="0000FF"/>
                </w:rPr>
                <w:t>Restoration Plan of Black Hills Corporation (filed as Exhibit 10.5 to the Registrant’s Form 10-K for 2008).</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10.2.1†</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75">
              <w:r>
                <w:rPr>
                  <w:rFonts w:ascii="Arial" w:cs="Arial" w:eastAsia="Arial" w:hAnsi="Arial"/>
                  <w:sz w:val="16"/>
                  <w:szCs w:val="16"/>
                  <w:color w:val="0000FF"/>
                </w:rPr>
                <w:t>First Amendment to the Restoration Plan of Black Hills Corporation dated July 24, 2011 (filed as Exhibit 10.2 to the Registrant’s Form</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top w:val="single" w:sz="8" w:color="0000FF"/>
            </w:tcBorders>
            <w:gridSpan w:val="35"/>
          </w:tcPr>
          <w:p>
            <w:pPr>
              <w:spacing w:after="0" w:line="169" w:lineRule="exact"/>
              <w:rPr>
                <w:rFonts w:ascii="Arial" w:cs="Arial" w:eastAsia="Arial" w:hAnsi="Arial"/>
                <w:sz w:val="16"/>
                <w:szCs w:val="16"/>
                <w:color w:val="0000FF"/>
              </w:rPr>
            </w:pPr>
            <w:hyperlink r:id="rId475">
              <w:r>
                <w:rPr>
                  <w:rFonts w:ascii="Arial" w:cs="Arial" w:eastAsia="Arial" w:hAnsi="Arial"/>
                  <w:sz w:val="16"/>
                  <w:szCs w:val="16"/>
                  <w:color w:val="0000FF"/>
                </w:rPr>
                <w:t>10-Q for the quarterly period ended June 30, 2011).</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10.3†</w:t>
            </w:r>
          </w:p>
        </w:tc>
        <w:tc>
          <w:tcPr>
            <w:tcW w:w="10140" w:type="dxa"/>
            <w:vAlign w:val="bottom"/>
            <w:gridSpan w:val="40"/>
            <w:shd w:val="clear" w:color="auto" w:fill="CFF0FC"/>
          </w:tcPr>
          <w:p>
            <w:pPr>
              <w:ind w:left="340"/>
              <w:spacing w:after="0"/>
              <w:rPr>
                <w:rFonts w:ascii="Arial" w:cs="Arial" w:eastAsia="Arial" w:hAnsi="Arial"/>
                <w:sz w:val="16"/>
                <w:szCs w:val="16"/>
                <w:color w:val="0000FF"/>
              </w:rPr>
            </w:pPr>
            <w:hyperlink r:id="rId476">
              <w:r>
                <w:rPr>
                  <w:rFonts w:ascii="Arial" w:cs="Arial" w:eastAsia="Arial" w:hAnsi="Arial"/>
                  <w:sz w:val="16"/>
                  <w:szCs w:val="16"/>
                  <w:color w:val="0000FF"/>
                </w:rPr>
                <w:t>Black Hills Corporation Non-qualified Deferred Compensation Plan as Amended and Restated effective January 1, 2011 (filed as</w:t>
              </w:r>
            </w:hyperlink>
          </w:p>
        </w:tc>
        <w:tc>
          <w:tcPr>
            <w:tcW w:w="0" w:type="dxa"/>
            <w:vAlign w:val="bottom"/>
          </w:tcPr>
          <w:p>
            <w:pPr>
              <w:spacing w:after="0"/>
              <w:rPr>
                <w:sz w:val="1"/>
                <w:szCs w:val="1"/>
                <w:color w:val="auto"/>
              </w:rPr>
            </w:pPr>
          </w:p>
        </w:tc>
      </w:tr>
      <w:tr>
        <w:trPr>
          <w:trHeight w:val="216"/>
        </w:trPr>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3760" w:type="dxa"/>
            <w:vAlign w:val="bottom"/>
            <w:tcBorders>
              <w:top w:val="single" w:sz="8" w:color="0000FF"/>
              <w:bottom w:val="single" w:sz="8" w:color="0000FF"/>
            </w:tcBorders>
            <w:gridSpan w:val="9"/>
            <w:shd w:val="clear" w:color="auto" w:fill="CFF0FC"/>
          </w:tcPr>
          <w:p>
            <w:pPr>
              <w:spacing w:after="0" w:line="169" w:lineRule="exact"/>
              <w:rPr>
                <w:rFonts w:ascii="Arial" w:cs="Arial" w:eastAsia="Arial" w:hAnsi="Arial"/>
                <w:sz w:val="16"/>
                <w:szCs w:val="16"/>
                <w:color w:val="0000FF"/>
              </w:rPr>
            </w:pPr>
            <w:hyperlink r:id="rId476">
              <w:r>
                <w:rPr>
                  <w:rFonts w:ascii="Arial" w:cs="Arial" w:eastAsia="Arial" w:hAnsi="Arial"/>
                  <w:sz w:val="16"/>
                  <w:szCs w:val="16"/>
                  <w:color w:val="0000FF"/>
                </w:rPr>
                <w:t>Exhibit 10.4 to the Registrant’s Form 10-K for 2010).</w:t>
              </w:r>
            </w:hyperlink>
          </w:p>
        </w:tc>
        <w:tc>
          <w:tcPr>
            <w:tcW w:w="5480" w:type="dxa"/>
            <w:vAlign w:val="bottom"/>
            <w:tcBorders>
              <w:top w:val="single" w:sz="8" w:color="0000FF"/>
              <w:bottom w:val="single" w:sz="8" w:color="CFF0FC"/>
            </w:tcBorders>
            <w:gridSpan w:val="13"/>
            <w:shd w:val="clear" w:color="auto" w:fill="CFF0FC"/>
          </w:tcPr>
          <w:p>
            <w:pPr>
              <w:spacing w:after="0"/>
              <w:rPr>
                <w:sz w:val="18"/>
                <w:szCs w:val="18"/>
                <w:color w:val="auto"/>
              </w:rPr>
            </w:pPr>
          </w:p>
        </w:tc>
        <w:tc>
          <w:tcPr>
            <w:tcW w:w="300" w:type="dxa"/>
            <w:vAlign w:val="bottom"/>
            <w:tcBorders>
              <w:top w:val="single" w:sz="8" w:color="CFF0FC"/>
              <w:bottom w:val="single" w:sz="8" w:color="CFF0FC"/>
              <w:right w:val="single" w:sz="8" w:color="CFF0FC"/>
            </w:tcBorders>
            <w:gridSpan w:val="7"/>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10"/>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10.3.1†</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77">
              <w:r>
                <w:rPr>
                  <w:rFonts w:ascii="Arial" w:cs="Arial" w:eastAsia="Arial" w:hAnsi="Arial"/>
                  <w:sz w:val="16"/>
                  <w:szCs w:val="16"/>
                  <w:color w:val="0000FF"/>
                </w:rPr>
                <w:t>First Amendment to the Black Hills Corporation Nonqualified Deferred Compensation Plan as Amended and Restated effective</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0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477">
              <w:r>
                <w:rPr>
                  <w:rFonts w:ascii="Arial" w:cs="Arial" w:eastAsia="Arial" w:hAnsi="Arial"/>
                  <w:sz w:val="16"/>
                  <w:szCs w:val="16"/>
                  <w:color w:val="0000FF"/>
                </w:rPr>
                <w:t>January 1, 2011 (filed as Exhibit 10.5 to the Registrant’s Form 10-K for 2018).</w:t>
              </w:r>
            </w:hyperlink>
          </w:p>
        </w:tc>
        <w:tc>
          <w:tcPr>
            <w:tcW w:w="320" w:type="dxa"/>
            <w:vAlign w:val="bottom"/>
            <w:gridSpan w:val="8"/>
          </w:tcPr>
          <w:p>
            <w:pPr>
              <w:spacing w:after="0"/>
              <w:rPr>
                <w:sz w:val="14"/>
                <w:szCs w:val="14"/>
                <w:color w:val="auto"/>
              </w:rPr>
            </w:pPr>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10.4*†</w:t>
            </w:r>
          </w:p>
        </w:tc>
        <w:tc>
          <w:tcPr>
            <w:tcW w:w="340" w:type="dxa"/>
            <w:vAlign w:val="bottom"/>
            <w:tcBorders>
              <w:bottom w:val="single" w:sz="8" w:color="CFF0FC"/>
            </w:tcBorders>
            <w:shd w:val="clear" w:color="auto" w:fill="CFF0FC"/>
          </w:tcPr>
          <w:p>
            <w:pPr>
              <w:spacing w:after="0"/>
              <w:rPr>
                <w:sz w:val="24"/>
                <w:szCs w:val="24"/>
                <w:color w:val="auto"/>
              </w:rPr>
            </w:pPr>
          </w:p>
        </w:tc>
        <w:tc>
          <w:tcPr>
            <w:tcW w:w="5560" w:type="dxa"/>
            <w:vAlign w:val="bottom"/>
            <w:tcBorders>
              <w:bottom w:val="single" w:sz="8" w:color="0000FF"/>
            </w:tcBorders>
            <w:gridSpan w:val="13"/>
            <w:shd w:val="clear" w:color="auto" w:fill="CFF0FC"/>
          </w:tcPr>
          <w:p>
            <w:pPr>
              <w:spacing w:after="0"/>
              <w:rPr>
                <w:sz w:val="20"/>
                <w:szCs w:val="20"/>
                <w:color w:val="auto"/>
              </w:rPr>
            </w:pPr>
            <w:r>
              <w:rPr>
                <w:rFonts w:ascii="Arial" w:cs="Arial" w:eastAsia="Arial" w:hAnsi="Arial"/>
                <w:sz w:val="16"/>
                <w:szCs w:val="16"/>
                <w:color w:val="0000FF"/>
              </w:rPr>
              <w:t>Black Hills Corporation Post-2018 Nonqualified Deferred Compensation Plan.</w:t>
            </w:r>
          </w:p>
        </w:tc>
        <w:tc>
          <w:tcPr>
            <w:tcW w:w="4240" w:type="dxa"/>
            <w:vAlign w:val="bottom"/>
            <w:tcBorders>
              <w:bottom w:val="single" w:sz="8" w:color="CFF0FC"/>
            </w:tcBorders>
            <w:gridSpan w:val="26"/>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20"/>
              <w:spacing w:after="0"/>
              <w:rPr>
                <w:sz w:val="20"/>
                <w:szCs w:val="20"/>
                <w:color w:val="auto"/>
              </w:rPr>
            </w:pPr>
            <w:r>
              <w:rPr>
                <w:rFonts w:ascii="Arial" w:cs="Arial" w:eastAsia="Arial" w:hAnsi="Arial"/>
                <w:sz w:val="16"/>
                <w:szCs w:val="16"/>
                <w:color w:val="auto"/>
              </w:rPr>
              <w:t>10.5†</w:t>
            </w:r>
          </w:p>
        </w:tc>
        <w:tc>
          <w:tcPr>
            <w:tcW w:w="10140" w:type="dxa"/>
            <w:vAlign w:val="bottom"/>
            <w:gridSpan w:val="40"/>
          </w:tcPr>
          <w:p>
            <w:pPr>
              <w:ind w:left="340"/>
              <w:spacing w:after="0"/>
              <w:rPr>
                <w:rFonts w:ascii="Arial" w:cs="Arial" w:eastAsia="Arial" w:hAnsi="Arial"/>
                <w:sz w:val="16"/>
                <w:szCs w:val="16"/>
                <w:color w:val="0000FF"/>
              </w:rPr>
            </w:pPr>
            <w:hyperlink r:id="rId478">
              <w:r>
                <w:rPr>
                  <w:rFonts w:ascii="Arial" w:cs="Arial" w:eastAsia="Arial" w:hAnsi="Arial"/>
                  <w:sz w:val="16"/>
                  <w:szCs w:val="16"/>
                  <w:color w:val="0000FF"/>
                </w:rPr>
                <w:t>Black Hills Corporation 2005 Omnibus Incentive Plan (”Omnibus Plan”) (filed as Appendix A to the Registrant’s Proxy Statement filed</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5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478">
              <w:r>
                <w:rPr>
                  <w:rFonts w:ascii="Arial" w:cs="Arial" w:eastAsia="Arial" w:hAnsi="Arial"/>
                  <w:sz w:val="16"/>
                  <w:szCs w:val="16"/>
                  <w:color w:val="0000FF"/>
                </w:rPr>
                <w:t>April 13, 2005).</w:t>
              </w:r>
            </w:hyperlink>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10.5.1†</w:t>
            </w:r>
          </w:p>
        </w:tc>
        <w:tc>
          <w:tcPr>
            <w:tcW w:w="34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79">
              <w:r>
                <w:rPr>
                  <w:rFonts w:ascii="Arial" w:cs="Arial" w:eastAsia="Arial" w:hAnsi="Arial"/>
                  <w:sz w:val="16"/>
                  <w:szCs w:val="16"/>
                  <w:color w:val="0000FF"/>
                </w:rPr>
                <w:t>First Amendment to the Omnibus Plan (filed as Exhibit 10.11 to the Registrant’s Form 10-K for 2008).</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10.5.2†</w:t>
            </w:r>
          </w:p>
        </w:tc>
        <w:tc>
          <w:tcPr>
            <w:tcW w:w="34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80">
              <w:r>
                <w:rPr>
                  <w:rFonts w:ascii="Arial" w:cs="Arial" w:eastAsia="Arial" w:hAnsi="Arial"/>
                  <w:sz w:val="16"/>
                  <w:szCs w:val="16"/>
                  <w:color w:val="0000FF"/>
                </w:rPr>
                <w:t>Second Amendment to the Omnibus Plan (filed as Exhibit 10 to the Registrant’s Form 8-K filed on May 26, 2010).</w:t>
              </w:r>
            </w:hyperlink>
          </w:p>
        </w:tc>
        <w:tc>
          <w:tcPr>
            <w:tcW w:w="0" w:type="dxa"/>
            <w:vAlign w:val="bottom"/>
          </w:tcPr>
          <w:p>
            <w:pPr>
              <w:spacing w:after="0"/>
              <w:rPr>
                <w:sz w:val="1"/>
                <w:szCs w:val="1"/>
                <w:color w:val="auto"/>
              </w:rPr>
            </w:pPr>
          </w:p>
        </w:tc>
      </w:tr>
      <w:tr>
        <w:trPr>
          <w:trHeight w:val="248"/>
        </w:trPr>
        <w:tc>
          <w:tcPr>
            <w:tcW w:w="110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4900" w:type="dxa"/>
            <w:vAlign w:val="bottom"/>
            <w:tcBorders>
              <w:top w:val="single" w:sz="8" w:color="0000FF"/>
            </w:tcBorders>
            <w:gridSpan w:val="10"/>
          </w:tcPr>
          <w:p>
            <w:pPr>
              <w:ind w:left="3940"/>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13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10.6*†</w:t>
            </w:r>
          </w:p>
        </w:tc>
        <w:tc>
          <w:tcPr>
            <w:tcW w:w="30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spacing w:after="0"/>
              <w:rPr>
                <w:sz w:val="20"/>
                <w:szCs w:val="20"/>
                <w:color w:val="auto"/>
              </w:rPr>
            </w:pPr>
            <w:r>
              <w:rPr>
                <w:rFonts w:ascii="Arial" w:cs="Arial" w:eastAsia="Arial" w:hAnsi="Arial"/>
                <w:sz w:val="16"/>
                <w:szCs w:val="16"/>
                <w:color w:val="0000FF"/>
              </w:rPr>
              <w:t>Black Hills Corporation Amended and Restated 2015 Omnibus Incentive Plan effective Janaury 24, 2023.</w:t>
            </w: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000" w:type="dxa"/>
            <w:vAlign w:val="bottom"/>
            <w:tcBorders>
              <w:top w:val="single" w:sz="8" w:color="0000FF"/>
            </w:tcBorders>
            <w:shd w:val="clear" w:color="auto" w:fill="CFF0FC"/>
          </w:tcPr>
          <w:p>
            <w:pPr>
              <w:spacing w:after="0"/>
              <w:rPr>
                <w:sz w:val="4"/>
                <w:szCs w:val="4"/>
                <w:color w:val="auto"/>
              </w:rPr>
            </w:pPr>
          </w:p>
        </w:tc>
        <w:tc>
          <w:tcPr>
            <w:tcW w:w="80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484">
              <w:r>
                <w:rPr>
                  <w:rFonts w:ascii="Arial" w:cs="Arial" w:eastAsia="Arial" w:hAnsi="Arial"/>
                  <w:sz w:val="16"/>
                  <w:szCs w:val="16"/>
                  <w:color w:val="0000FF"/>
                </w:rPr>
                <w:t>Form of Stock Option Agreement for Omnibus Plan effective for awards granted on or after January 1, 2014 (filed as Exhibit 10.7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484">
              <w:r>
                <w:rPr>
                  <w:rFonts w:ascii="Arial" w:cs="Arial" w:eastAsia="Arial" w:hAnsi="Arial"/>
                  <w:sz w:val="16"/>
                  <w:szCs w:val="16"/>
                  <w:color w:val="0000FF"/>
                </w:rPr>
                <w:t>Registrant’s Form 10-K for 2013).</w:t>
              </w:r>
            </w:hyperlink>
          </w:p>
        </w:tc>
        <w:tc>
          <w:tcPr>
            <w:tcW w:w="60" w:type="dxa"/>
            <w:vAlign w:val="bottom"/>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10.8†</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485">
              <w:r>
                <w:rPr>
                  <w:rFonts w:ascii="Arial" w:cs="Arial" w:eastAsia="Arial" w:hAnsi="Arial"/>
                  <w:sz w:val="16"/>
                  <w:szCs w:val="16"/>
                  <w:color w:val="0000FF"/>
                </w:rPr>
                <w:t>Form of Stock Option Agreement effective for awards granted on or after April 28, 2015 (filed as Exhibit 10.8 to Registrant’s Form 10-K</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700" w:type="dxa"/>
            <w:vAlign w:val="bottom"/>
            <w:tcBorders>
              <w:top w:val="single" w:sz="8" w:color="0000FF"/>
            </w:tcBorders>
            <w:gridSpan w:val="36"/>
            <w:shd w:val="clear" w:color="auto" w:fill="CFF0FC"/>
          </w:tcPr>
          <w:p>
            <w:pPr>
              <w:spacing w:after="0" w:line="169" w:lineRule="exact"/>
              <w:rPr>
                <w:rFonts w:ascii="Arial" w:cs="Arial" w:eastAsia="Arial" w:hAnsi="Arial"/>
                <w:sz w:val="16"/>
                <w:szCs w:val="16"/>
                <w:color w:val="0000FF"/>
              </w:rPr>
            </w:pPr>
            <w:hyperlink r:id="rId485">
              <w:r>
                <w:rPr>
                  <w:rFonts w:ascii="Arial" w:cs="Arial" w:eastAsia="Arial" w:hAnsi="Arial"/>
                  <w:sz w:val="16"/>
                  <w:szCs w:val="16"/>
                  <w:color w:val="0000FF"/>
                </w:rPr>
                <w:t>for 2015).</w:t>
              </w:r>
            </w:hyperlink>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gridSpan w:val="2"/>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7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4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486">
              <w:r>
                <w:rPr>
                  <w:rFonts w:ascii="Arial" w:cs="Arial" w:eastAsia="Arial" w:hAnsi="Arial"/>
                  <w:sz w:val="16"/>
                  <w:szCs w:val="16"/>
                  <w:color w:val="0000FF"/>
                </w:rPr>
                <w:t>Form of Restricted Stock Award Agreement for 2015 Omnibus Incentive Plan effective for awards granted on or after April 28, 2015</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6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86">
              <w:r>
                <w:rPr>
                  <w:rFonts w:ascii="Arial" w:cs="Arial" w:eastAsia="Arial" w:hAnsi="Arial"/>
                  <w:sz w:val="16"/>
                  <w:szCs w:val="16"/>
                  <w:color w:val="0000FF"/>
                </w:rPr>
                <w:t>(filed as Exhibit 10.10 to Registrant’s Form 10-K for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10.10†</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487">
              <w:r>
                <w:rPr>
                  <w:rFonts w:ascii="Arial" w:cs="Arial" w:eastAsia="Arial" w:hAnsi="Arial"/>
                  <w:sz w:val="16"/>
                  <w:szCs w:val="16"/>
                  <w:color w:val="0000FF"/>
                </w:rPr>
                <w:t>Form of Restricted Stock Award Agreement for 2015 Omnibus Incentive Plan effective for awards granted on or after January 26, 2021.</w:t>
              </w:r>
            </w:hyperlink>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4400" w:type="dxa"/>
            <w:vAlign w:val="bottom"/>
            <w:tcBorders>
              <w:top w:val="single" w:sz="8" w:color="0000FF"/>
              <w:bottom w:val="single" w:sz="8" w:color="0000FF"/>
            </w:tcBorders>
            <w:gridSpan w:val="10"/>
            <w:shd w:val="clear" w:color="auto" w:fill="CFF0FC"/>
          </w:tcPr>
          <w:p>
            <w:pPr>
              <w:spacing w:after="0" w:line="169" w:lineRule="exact"/>
              <w:rPr>
                <w:rFonts w:ascii="Arial" w:cs="Arial" w:eastAsia="Arial" w:hAnsi="Arial"/>
                <w:sz w:val="16"/>
                <w:szCs w:val="16"/>
                <w:color w:val="0000FF"/>
              </w:rPr>
            </w:pPr>
            <w:hyperlink r:id="rId487">
              <w:r>
                <w:rPr>
                  <w:rFonts w:ascii="Arial" w:cs="Arial" w:eastAsia="Arial" w:hAnsi="Arial"/>
                  <w:sz w:val="16"/>
                  <w:szCs w:val="16"/>
                  <w:color w:val="0000FF"/>
                </w:rPr>
                <w:t>(filed as Exhibit 10.11 to the Registrant's Form 10-K for 2020)</w:t>
              </w:r>
            </w:hyperlink>
          </w:p>
        </w:tc>
        <w:tc>
          <w:tcPr>
            <w:tcW w:w="5340" w:type="dxa"/>
            <w:vAlign w:val="bottom"/>
            <w:tcBorders>
              <w:top w:val="single" w:sz="8" w:color="0000FF"/>
              <w:bottom w:val="single" w:sz="8" w:color="CFF0FC"/>
            </w:tcBorders>
            <w:gridSpan w:val="28"/>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10.11†</w:t>
            </w:r>
          </w:p>
        </w:tc>
        <w:tc>
          <w:tcPr>
            <w:tcW w:w="10100" w:type="dxa"/>
            <w:vAlign w:val="bottom"/>
            <w:gridSpan w:val="40"/>
          </w:tcPr>
          <w:p>
            <w:pPr>
              <w:ind w:left="300"/>
              <w:spacing w:after="0"/>
              <w:rPr>
                <w:rFonts w:ascii="Arial" w:cs="Arial" w:eastAsia="Arial" w:hAnsi="Arial"/>
                <w:sz w:val="16"/>
                <w:szCs w:val="16"/>
                <w:color w:val="0000FF"/>
              </w:rPr>
            </w:pPr>
            <w:hyperlink r:id="rId488">
              <w:r>
                <w:rPr>
                  <w:rFonts w:ascii="Arial" w:cs="Arial" w:eastAsia="Arial" w:hAnsi="Arial"/>
                  <w:sz w:val="16"/>
                  <w:szCs w:val="16"/>
                  <w:color w:val="0000FF"/>
                </w:rPr>
                <w:t>Form of Restricted Stock Unit Award Agreement for 2015 Omnibus Plan effective for awards granted on or after April 28, 2015 (filed as</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2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488">
              <w:r>
                <w:rPr>
                  <w:rFonts w:ascii="Arial" w:cs="Arial" w:eastAsia="Arial" w:hAnsi="Arial"/>
                  <w:sz w:val="16"/>
                  <w:szCs w:val="16"/>
                  <w:color w:val="0000FF"/>
                </w:rPr>
                <w:t>Exhibit 10.12 to the Registrant’s Form 10-K for 2015).</w:t>
              </w:r>
            </w:hyperlink>
          </w:p>
        </w:tc>
        <w:tc>
          <w:tcPr>
            <w:tcW w:w="80" w:type="dxa"/>
            <w:vAlign w:val="bottom"/>
            <w:gridSpan w:val="2"/>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10.12†</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489">
              <w:r>
                <w:rPr>
                  <w:rFonts w:ascii="Arial" w:cs="Arial" w:eastAsia="Arial" w:hAnsi="Arial"/>
                  <w:sz w:val="16"/>
                  <w:szCs w:val="16"/>
                  <w:color w:val="0000FF"/>
                </w:rPr>
                <w:t>Form of Performance Share Award Agreement effective for awards granted on or after January 1, 2016 (filed as Exhibit 10.6 to the</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400" w:type="dxa"/>
            <w:vAlign w:val="bottom"/>
            <w:tcBorders>
              <w:top w:val="single" w:sz="8" w:color="0000FF"/>
            </w:tcBorders>
            <w:gridSpan w:val="23"/>
            <w:shd w:val="clear" w:color="auto" w:fill="CFF0FC"/>
          </w:tcPr>
          <w:p>
            <w:pPr>
              <w:spacing w:after="0" w:line="169" w:lineRule="exact"/>
              <w:rPr>
                <w:rFonts w:ascii="Arial" w:cs="Arial" w:eastAsia="Arial" w:hAnsi="Arial"/>
                <w:sz w:val="16"/>
                <w:szCs w:val="16"/>
                <w:color w:val="0000FF"/>
              </w:rPr>
            </w:pPr>
            <w:hyperlink r:id="rId489">
              <w:r>
                <w:rPr>
                  <w:rFonts w:ascii="Arial" w:cs="Arial" w:eastAsia="Arial" w:hAnsi="Arial"/>
                  <w:sz w:val="16"/>
                  <w:szCs w:val="16"/>
                  <w:color w:val="0000FF"/>
                </w:rPr>
                <w:t>Registrant’s Form 10-Q for the quarterly period ended March 31, 2016).</w:t>
              </w:r>
            </w:hyperlink>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gridSpan w:val="2"/>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gridSpan w:val="4"/>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10.13†</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490">
              <w:r>
                <w:rPr>
                  <w:rFonts w:ascii="Arial" w:cs="Arial" w:eastAsia="Arial" w:hAnsi="Arial"/>
                  <w:sz w:val="16"/>
                  <w:szCs w:val="16"/>
                  <w:color w:val="0000FF"/>
                </w:rPr>
                <w:t>Form of Performance Share Award Agreement effective for awards granted on or after January 1, 2017 (filed as Exhibit 10.12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8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490">
              <w:r>
                <w:rPr>
                  <w:rFonts w:ascii="Arial" w:cs="Arial" w:eastAsia="Arial" w:hAnsi="Arial"/>
                  <w:sz w:val="16"/>
                  <w:szCs w:val="16"/>
                  <w:color w:val="0000FF"/>
                </w:rPr>
                <w:t>Registrant's Form 10-K for 2019).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10.14†</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491">
              <w:r>
                <w:rPr>
                  <w:rFonts w:ascii="Arial" w:cs="Arial" w:eastAsia="Arial" w:hAnsi="Arial"/>
                  <w:sz w:val="16"/>
                  <w:szCs w:val="16"/>
                  <w:color w:val="0000FF"/>
                </w:rPr>
                <w:t>Form of Short-term Incentive Plan for Officers Award Agreement effective for awards granted on or after January 1, 2021 (filed as</w:t>
              </w:r>
            </w:hyperlink>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840" w:type="dxa"/>
            <w:vAlign w:val="bottom"/>
            <w:tcBorders>
              <w:top w:val="single" w:sz="8" w:color="0000FF"/>
              <w:bottom w:val="single" w:sz="8" w:color="0000FF"/>
            </w:tcBorders>
            <w:gridSpan w:val="8"/>
            <w:shd w:val="clear" w:color="auto" w:fill="CFF0FC"/>
          </w:tcPr>
          <w:p>
            <w:pPr>
              <w:spacing w:after="0" w:line="169" w:lineRule="exact"/>
              <w:rPr>
                <w:rFonts w:ascii="Arial" w:cs="Arial" w:eastAsia="Arial" w:hAnsi="Arial"/>
                <w:sz w:val="16"/>
                <w:szCs w:val="16"/>
                <w:color w:val="0000FF"/>
              </w:rPr>
            </w:pPr>
            <w:hyperlink r:id="rId491">
              <w:r>
                <w:rPr>
                  <w:rFonts w:ascii="Arial" w:cs="Arial" w:eastAsia="Arial" w:hAnsi="Arial"/>
                  <w:sz w:val="16"/>
                  <w:szCs w:val="16"/>
                  <w:color w:val="0000FF"/>
                </w:rPr>
                <w:t>Exhibit 10.16 to the Registrant's Form 10-K for 2020).</w:t>
              </w:r>
            </w:hyperlink>
          </w:p>
        </w:tc>
        <w:tc>
          <w:tcPr>
            <w:tcW w:w="5460" w:type="dxa"/>
            <w:vAlign w:val="bottom"/>
            <w:tcBorders>
              <w:top w:val="single" w:sz="8" w:color="0000FF"/>
              <w:bottom w:val="single" w:sz="8" w:color="CFF0FC"/>
            </w:tcBorders>
            <w:gridSpan w:val="13"/>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3"/>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10.15†</w:t>
            </w:r>
          </w:p>
        </w:tc>
        <w:tc>
          <w:tcPr>
            <w:tcW w:w="10100" w:type="dxa"/>
            <w:vAlign w:val="bottom"/>
            <w:gridSpan w:val="40"/>
          </w:tcPr>
          <w:p>
            <w:pPr>
              <w:ind w:left="300"/>
              <w:spacing w:after="0"/>
              <w:rPr>
                <w:rFonts w:ascii="Arial" w:cs="Arial" w:eastAsia="Arial" w:hAnsi="Arial"/>
                <w:sz w:val="16"/>
                <w:szCs w:val="16"/>
                <w:color w:val="0000FF"/>
              </w:rPr>
            </w:pPr>
            <w:hyperlink r:id="rId492">
              <w:r>
                <w:rPr>
                  <w:rFonts w:ascii="Arial" w:cs="Arial" w:eastAsia="Arial" w:hAnsi="Arial"/>
                  <w:sz w:val="16"/>
                  <w:szCs w:val="16"/>
                  <w:color w:val="0000FF"/>
                </w:rPr>
                <w:t>Form of Performance Unit Award Agreement for 2015 Omnibus Incentive Plan effective for awards granted on or after January 1, 2021.</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492">
              <w:r>
                <w:rPr>
                  <w:rFonts w:ascii="Arial" w:cs="Arial" w:eastAsia="Arial" w:hAnsi="Arial"/>
                  <w:sz w:val="16"/>
                  <w:szCs w:val="16"/>
                  <w:color w:val="0000FF"/>
                </w:rPr>
                <w:t>(filed as Exhibit 10.17 to the Registrant's Form 10-K for 2020)</w:t>
              </w:r>
            </w:hyperlink>
          </w:p>
        </w:tc>
        <w:tc>
          <w:tcPr>
            <w:tcW w:w="60" w:type="dxa"/>
            <w:vAlign w:val="bottom"/>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10.16†</w:t>
            </w:r>
          </w:p>
        </w:tc>
        <w:tc>
          <w:tcPr>
            <w:tcW w:w="300" w:type="dxa"/>
            <w:vAlign w:val="bottom"/>
            <w:tcBorders>
              <w:bottom w:val="single" w:sz="8" w:color="CFF0FC"/>
            </w:tcBorders>
            <w:shd w:val="clear" w:color="auto" w:fill="CFF0FC"/>
          </w:tcPr>
          <w:p>
            <w:pPr>
              <w:spacing w:after="0"/>
              <w:rPr>
                <w:sz w:val="24"/>
                <w:szCs w:val="24"/>
                <w:color w:val="auto"/>
              </w:rPr>
            </w:pPr>
          </w:p>
        </w:tc>
        <w:tc>
          <w:tcPr>
            <w:tcW w:w="8200" w:type="dxa"/>
            <w:vAlign w:val="bottom"/>
            <w:tcBorders>
              <w:bottom w:val="single" w:sz="8" w:color="0000FF"/>
            </w:tcBorders>
            <w:gridSpan w:val="18"/>
            <w:shd w:val="clear" w:color="auto" w:fill="CFF0FC"/>
          </w:tcPr>
          <w:p>
            <w:pPr>
              <w:spacing w:after="0"/>
              <w:rPr>
                <w:rFonts w:ascii="Arial" w:cs="Arial" w:eastAsia="Arial" w:hAnsi="Arial"/>
                <w:sz w:val="16"/>
                <w:szCs w:val="16"/>
                <w:color w:val="0000FF"/>
              </w:rPr>
            </w:pPr>
            <w:hyperlink r:id="rId493">
              <w:r>
                <w:rPr>
                  <w:rFonts w:ascii="Arial" w:cs="Arial" w:eastAsia="Arial" w:hAnsi="Arial"/>
                  <w:sz w:val="16"/>
                  <w:szCs w:val="16"/>
                  <w:color w:val="0000FF"/>
                </w:rPr>
                <w:t>Form of Indemnification Agreement (filed as Exhibit 10.5 to the Registrant’s Form 8-K filed on September 3, 2004).</w:t>
              </w:r>
            </w:hyperlink>
          </w:p>
        </w:tc>
        <w:tc>
          <w:tcPr>
            <w:tcW w:w="1600" w:type="dxa"/>
            <w:vAlign w:val="bottom"/>
            <w:tcBorders>
              <w:bottom w:val="single" w:sz="8" w:color="CFF0FC"/>
            </w:tcBorders>
            <w:gridSpan w:val="21"/>
            <w:shd w:val="clear" w:color="auto" w:fill="CFF0FC"/>
          </w:tcPr>
          <w:p>
            <w:pPr>
              <w:spacing w:after="0"/>
              <w:rPr>
                <w:sz w:val="24"/>
                <w:szCs w:val="2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10.17*†</w:t>
            </w:r>
          </w:p>
        </w:tc>
        <w:tc>
          <w:tcPr>
            <w:tcW w:w="10100" w:type="dxa"/>
            <w:vAlign w:val="bottom"/>
            <w:gridSpan w:val="40"/>
          </w:tcPr>
          <w:p>
            <w:pPr>
              <w:ind w:left="300"/>
              <w:spacing w:after="0"/>
              <w:rPr>
                <w:sz w:val="20"/>
                <w:szCs w:val="20"/>
                <w:color w:val="auto"/>
              </w:rPr>
            </w:pPr>
            <w:r>
              <w:rPr>
                <w:rFonts w:ascii="Arial" w:cs="Arial" w:eastAsia="Arial" w:hAnsi="Arial"/>
                <w:sz w:val="16"/>
                <w:szCs w:val="16"/>
                <w:color w:val="0000FF"/>
              </w:rPr>
              <w:t>Change in Control Agreement dated November 15, 2022 between Black Hills Corporation and Linden R. Evans.</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10.18*†</w:t>
            </w:r>
          </w:p>
        </w:tc>
        <w:tc>
          <w:tcPr>
            <w:tcW w:w="300" w:type="dxa"/>
            <w:vAlign w:val="bottom"/>
            <w:tcBorders>
              <w:bottom w:val="single" w:sz="8" w:color="CFF0FC"/>
            </w:tcBorders>
            <w:shd w:val="clear" w:color="auto" w:fill="CFF0FC"/>
          </w:tcPr>
          <w:p>
            <w:pPr>
              <w:spacing w:after="0"/>
              <w:rPr>
                <w:sz w:val="24"/>
                <w:szCs w:val="24"/>
                <w:color w:val="auto"/>
              </w:rPr>
            </w:pPr>
          </w:p>
        </w:tc>
        <w:tc>
          <w:tcPr>
            <w:tcW w:w="9680" w:type="dxa"/>
            <w:vAlign w:val="bottom"/>
            <w:tcBorders>
              <w:bottom w:val="single" w:sz="8" w:color="0000FF"/>
            </w:tcBorders>
            <w:gridSpan w:val="35"/>
            <w:shd w:val="clear" w:color="auto" w:fill="CFF0FC"/>
          </w:tcPr>
          <w:p>
            <w:pPr>
              <w:spacing w:after="0"/>
              <w:rPr>
                <w:sz w:val="20"/>
                <w:szCs w:val="20"/>
                <w:color w:val="auto"/>
              </w:rPr>
            </w:pPr>
            <w:r>
              <w:rPr>
                <w:rFonts w:ascii="Arial" w:cs="Arial" w:eastAsia="Arial" w:hAnsi="Arial"/>
                <w:sz w:val="16"/>
                <w:szCs w:val="16"/>
                <w:color w:val="0000FF"/>
              </w:rPr>
              <w:t>Change in Control Agreements dated November 15, 2022 between Black Hills Corporation and its non-CEO Senior Executive Officers.</w:t>
            </w:r>
          </w:p>
        </w:tc>
        <w:tc>
          <w:tcPr>
            <w:tcW w:w="120" w:type="dxa"/>
            <w:vAlign w:val="bottom"/>
            <w:tcBorders>
              <w:bottom w:val="single" w:sz="8" w:color="CFF0FC"/>
            </w:tcBorders>
            <w:gridSpan w:val="4"/>
            <w:shd w:val="clear" w:color="auto" w:fill="CFF0FC"/>
          </w:tcPr>
          <w:p>
            <w:pPr>
              <w:spacing w:after="0"/>
              <w:rPr>
                <w:sz w:val="24"/>
                <w:szCs w:val="2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10.19†</w:t>
            </w:r>
          </w:p>
        </w:tc>
        <w:tc>
          <w:tcPr>
            <w:tcW w:w="10100" w:type="dxa"/>
            <w:vAlign w:val="bottom"/>
            <w:gridSpan w:val="40"/>
          </w:tcPr>
          <w:p>
            <w:pPr>
              <w:ind w:left="300"/>
              <w:spacing w:after="0"/>
              <w:rPr>
                <w:rFonts w:ascii="Arial" w:cs="Arial" w:eastAsia="Arial" w:hAnsi="Arial"/>
                <w:sz w:val="16"/>
                <w:szCs w:val="16"/>
                <w:color w:val="0000FF"/>
              </w:rPr>
            </w:pPr>
            <w:hyperlink r:id="rId494">
              <w:r>
                <w:rPr>
                  <w:rFonts w:ascii="Arial" w:cs="Arial" w:eastAsia="Arial" w:hAnsi="Arial"/>
                  <w:sz w:val="16"/>
                  <w:szCs w:val="16"/>
                  <w:color w:val="0000FF"/>
                </w:rPr>
                <w:t>Outside Directors Stock Based Compensation Plan as Amended and Restated effective January 1, 2009 (filed as Exhibit 10.23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94">
              <w:r>
                <w:rPr>
                  <w:rFonts w:ascii="Arial" w:cs="Arial" w:eastAsia="Arial" w:hAnsi="Arial"/>
                  <w:sz w:val="16"/>
                  <w:szCs w:val="16"/>
                  <w:color w:val="0000FF"/>
                </w:rPr>
                <w:t>Registrant’s Form 10-K for 2008).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10.19.1†</w:t>
            </w:r>
          </w:p>
        </w:tc>
        <w:tc>
          <w:tcPr>
            <w:tcW w:w="30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95">
              <w:r>
                <w:rPr>
                  <w:rFonts w:ascii="Arial" w:cs="Arial" w:eastAsia="Arial" w:hAnsi="Arial"/>
                  <w:sz w:val="16"/>
                  <w:szCs w:val="16"/>
                  <w:color w:val="0000FF"/>
                </w:rPr>
                <w:t>First Amendment to the Outside Directors Stock Based Compensation Plan effective January 1, 2011 (filed as Exhibit 10.16 to the</w:t>
              </w:r>
            </w:hyperlink>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5"/>
            <w:shd w:val="clear" w:color="auto" w:fill="CFF0FC"/>
          </w:tcPr>
          <w:p>
            <w:pPr>
              <w:spacing w:after="0" w:line="169" w:lineRule="exact"/>
              <w:rPr>
                <w:rFonts w:ascii="Arial" w:cs="Arial" w:eastAsia="Arial" w:hAnsi="Arial"/>
                <w:sz w:val="16"/>
                <w:szCs w:val="16"/>
                <w:color w:val="0000FF"/>
              </w:rPr>
            </w:pPr>
            <w:hyperlink r:id="rId495">
              <w:r>
                <w:rPr>
                  <w:rFonts w:ascii="Arial" w:cs="Arial" w:eastAsia="Arial" w:hAnsi="Arial"/>
                  <w:sz w:val="16"/>
                  <w:szCs w:val="16"/>
                  <w:color w:val="0000FF"/>
                </w:rPr>
                <w:t>Registrant’s Form 10-K for 2010).</w:t>
              </w:r>
            </w:hyperlink>
          </w:p>
        </w:tc>
        <w:tc>
          <w:tcPr>
            <w:tcW w:w="6920" w:type="dxa"/>
            <w:vAlign w:val="bottom"/>
            <w:tcBorders>
              <w:top w:val="single" w:sz="8" w:color="0000FF"/>
              <w:bottom w:val="single" w:sz="8" w:color="CFF0FC"/>
            </w:tcBorders>
            <w:gridSpan w:val="18"/>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3"/>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29"/>
        </w:trPr>
        <w:tc>
          <w:tcPr>
            <w:tcW w:w="1140" w:type="dxa"/>
            <w:vAlign w:val="bottom"/>
          </w:tcPr>
          <w:p>
            <w:pPr>
              <w:ind w:left="220"/>
              <w:spacing w:after="0"/>
              <w:rPr>
                <w:sz w:val="20"/>
                <w:szCs w:val="20"/>
                <w:color w:val="auto"/>
              </w:rPr>
            </w:pPr>
            <w:r>
              <w:rPr>
                <w:rFonts w:ascii="Arial" w:cs="Arial" w:eastAsia="Arial" w:hAnsi="Arial"/>
                <w:sz w:val="16"/>
                <w:szCs w:val="16"/>
                <w:color w:val="auto"/>
              </w:rPr>
              <w:t>10.19.2†</w:t>
            </w:r>
          </w:p>
        </w:tc>
        <w:tc>
          <w:tcPr>
            <w:tcW w:w="30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96">
              <w:r>
                <w:rPr>
                  <w:rFonts w:ascii="Arial" w:cs="Arial" w:eastAsia="Arial" w:hAnsi="Arial"/>
                  <w:sz w:val="16"/>
                  <w:szCs w:val="16"/>
                  <w:color w:val="0000FF"/>
                </w:rPr>
                <w:t>Second Amendment to the Outside Director’s Stock Based Compensation Plan effective January 1, 2013 (filed as Exhibit 10.15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2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496">
              <w:r>
                <w:rPr>
                  <w:rFonts w:ascii="Arial" w:cs="Arial" w:eastAsia="Arial" w:hAnsi="Arial"/>
                  <w:sz w:val="16"/>
                  <w:szCs w:val="16"/>
                  <w:color w:val="0000FF"/>
                </w:rPr>
                <w:t>Registrant’s Form 10-K for 2012).</w:t>
              </w:r>
            </w:hyperlink>
          </w:p>
        </w:tc>
        <w:tc>
          <w:tcPr>
            <w:tcW w:w="60" w:type="dxa"/>
            <w:vAlign w:val="bottom"/>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1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10.19.3†</w:t>
            </w:r>
          </w:p>
        </w:tc>
        <w:tc>
          <w:tcPr>
            <w:tcW w:w="30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97">
              <w:r>
                <w:rPr>
                  <w:rFonts w:ascii="Arial" w:cs="Arial" w:eastAsia="Arial" w:hAnsi="Arial"/>
                  <w:sz w:val="16"/>
                  <w:szCs w:val="16"/>
                  <w:color w:val="0000FF"/>
                </w:rPr>
                <w:t>Third Amendment to the Outside Director’s Stock Based Compensation Plan effective January 1, 2015 (filed as Exhibit 10.16 to the</w:t>
              </w:r>
            </w:hyperlink>
          </w:p>
        </w:tc>
      </w:tr>
      <w:tr>
        <w:trPr>
          <w:trHeight w:val="216"/>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5"/>
            <w:shd w:val="clear" w:color="auto" w:fill="CFF0FC"/>
          </w:tcPr>
          <w:p>
            <w:pPr>
              <w:spacing w:after="0" w:line="169" w:lineRule="exact"/>
              <w:rPr>
                <w:rFonts w:ascii="Arial" w:cs="Arial" w:eastAsia="Arial" w:hAnsi="Arial"/>
                <w:sz w:val="16"/>
                <w:szCs w:val="16"/>
                <w:color w:val="0000FF"/>
              </w:rPr>
            </w:pPr>
            <w:hyperlink r:id="rId497">
              <w:r>
                <w:rPr>
                  <w:rFonts w:ascii="Arial" w:cs="Arial" w:eastAsia="Arial" w:hAnsi="Arial"/>
                  <w:sz w:val="16"/>
                  <w:szCs w:val="16"/>
                  <w:color w:val="0000FF"/>
                </w:rPr>
                <w:t>Registrant’s Form 10-K for 2014).</w:t>
              </w:r>
            </w:hyperlink>
          </w:p>
        </w:tc>
        <w:tc>
          <w:tcPr>
            <w:tcW w:w="7040" w:type="dxa"/>
            <w:vAlign w:val="bottom"/>
            <w:tcBorders>
              <w:top w:val="single" w:sz="8" w:color="0000FF"/>
              <w:bottom w:val="single" w:sz="8" w:color="CFF0FC"/>
            </w:tcBorders>
            <w:gridSpan w:val="23"/>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6"/>
                <w:szCs w:val="16"/>
                <w:color w:val="auto"/>
              </w:rPr>
              <w:t>10.19.4†</w:t>
            </w:r>
          </w:p>
        </w:tc>
        <w:tc>
          <w:tcPr>
            <w:tcW w:w="30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498">
              <w:r>
                <w:rPr>
                  <w:rFonts w:ascii="Arial" w:cs="Arial" w:eastAsia="Arial" w:hAnsi="Arial"/>
                  <w:sz w:val="16"/>
                  <w:szCs w:val="16"/>
                  <w:color w:val="0000FF"/>
                </w:rPr>
                <w:t>Fourth Amendment to the Outside Director’s Stock Based Compensation Plan effective January 1, 2017 (filed as Exhibit 10.4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6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498">
              <w:r>
                <w:rPr>
                  <w:rFonts w:ascii="Arial" w:cs="Arial" w:eastAsia="Arial" w:hAnsi="Arial"/>
                  <w:sz w:val="16"/>
                  <w:szCs w:val="16"/>
                  <w:color w:val="0000FF"/>
                </w:rPr>
                <w:t>Registrant’s Form 10-Q for the quarterly period ended September 30, 2016).</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11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10.19.5†</w:t>
            </w:r>
          </w:p>
        </w:tc>
        <w:tc>
          <w:tcPr>
            <w:tcW w:w="300" w:type="dxa"/>
            <w:vAlign w:val="bottom"/>
            <w:shd w:val="clear" w:color="auto" w:fill="CFF0FC"/>
          </w:tcPr>
          <w:p>
            <w:pPr>
              <w:spacing w:after="0"/>
              <w:rPr>
                <w:sz w:val="19"/>
                <w:szCs w:val="19"/>
                <w:color w:val="auto"/>
              </w:rPr>
            </w:pPr>
          </w:p>
        </w:tc>
        <w:tc>
          <w:tcPr>
            <w:tcW w:w="9800" w:type="dxa"/>
            <w:vAlign w:val="bottom"/>
            <w:gridSpan w:val="39"/>
            <w:shd w:val="clear" w:color="auto" w:fill="CFF0FC"/>
          </w:tcPr>
          <w:p>
            <w:pPr>
              <w:ind w:left="120"/>
              <w:spacing w:after="0"/>
              <w:rPr>
                <w:rFonts w:ascii="Arial" w:cs="Arial" w:eastAsia="Arial" w:hAnsi="Arial"/>
                <w:sz w:val="16"/>
                <w:szCs w:val="16"/>
                <w:color w:val="0000FF"/>
              </w:rPr>
            </w:pPr>
            <w:hyperlink r:id="rId499">
              <w:r>
                <w:rPr>
                  <w:rFonts w:ascii="Arial" w:cs="Arial" w:eastAsia="Arial" w:hAnsi="Arial"/>
                  <w:sz w:val="16"/>
                  <w:szCs w:val="16"/>
                  <w:color w:val="0000FF"/>
                </w:rPr>
                <w:t>Fifth Amendment to the Outside Director’s Stock Based Compensation Plan effective January 1, 2018 (filed as Exhibit 10.16 to the</w:t>
              </w:r>
            </w:hyperlink>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5"/>
            <w:shd w:val="clear" w:color="auto" w:fill="CFF0FC"/>
          </w:tcPr>
          <w:p>
            <w:pPr>
              <w:spacing w:after="0" w:line="169" w:lineRule="exact"/>
              <w:rPr>
                <w:rFonts w:ascii="Arial" w:cs="Arial" w:eastAsia="Arial" w:hAnsi="Arial"/>
                <w:sz w:val="16"/>
                <w:szCs w:val="16"/>
                <w:color w:val="0000FF"/>
              </w:rPr>
            </w:pPr>
            <w:hyperlink r:id="rId499">
              <w:r>
                <w:rPr>
                  <w:rFonts w:ascii="Arial" w:cs="Arial" w:eastAsia="Arial" w:hAnsi="Arial"/>
                  <w:sz w:val="16"/>
                  <w:szCs w:val="16"/>
                  <w:color w:val="0000FF"/>
                </w:rPr>
                <w:t>Registrant’s Form 10-K for 2017).</w:t>
              </w:r>
            </w:hyperlink>
          </w:p>
        </w:tc>
        <w:tc>
          <w:tcPr>
            <w:tcW w:w="6980" w:type="dxa"/>
            <w:vAlign w:val="bottom"/>
            <w:tcBorders>
              <w:top w:val="single" w:sz="8" w:color="0000FF"/>
              <w:bottom w:val="single" w:sz="8" w:color="CFF0FC"/>
            </w:tcBorders>
            <w:gridSpan w:val="21"/>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gridSpan w:val="4"/>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140" w:type="dxa"/>
            <w:vAlign w:val="bottom"/>
          </w:tcPr>
          <w:p>
            <w:pPr>
              <w:ind w:left="220"/>
              <w:spacing w:after="0"/>
              <w:rPr>
                <w:sz w:val="20"/>
                <w:szCs w:val="20"/>
                <w:color w:val="auto"/>
              </w:rPr>
            </w:pPr>
            <w:r>
              <w:rPr>
                <w:rFonts w:ascii="Arial" w:cs="Arial" w:eastAsia="Arial" w:hAnsi="Arial"/>
                <w:sz w:val="16"/>
                <w:szCs w:val="16"/>
                <w:color w:val="auto"/>
              </w:rPr>
              <w:t>10.19.6†</w:t>
            </w:r>
          </w:p>
        </w:tc>
        <w:tc>
          <w:tcPr>
            <w:tcW w:w="300" w:type="dxa"/>
            <w:vAlign w:val="bottom"/>
          </w:tcPr>
          <w:p>
            <w:pPr>
              <w:spacing w:after="0"/>
              <w:rPr>
                <w:sz w:val="19"/>
                <w:szCs w:val="19"/>
                <w:color w:val="auto"/>
              </w:rPr>
            </w:pPr>
          </w:p>
        </w:tc>
        <w:tc>
          <w:tcPr>
            <w:tcW w:w="9800" w:type="dxa"/>
            <w:vAlign w:val="bottom"/>
            <w:gridSpan w:val="39"/>
          </w:tcPr>
          <w:p>
            <w:pPr>
              <w:ind w:left="120"/>
              <w:spacing w:after="0"/>
              <w:rPr>
                <w:rFonts w:ascii="Arial" w:cs="Arial" w:eastAsia="Arial" w:hAnsi="Arial"/>
                <w:sz w:val="16"/>
                <w:szCs w:val="16"/>
                <w:color w:val="0000FF"/>
              </w:rPr>
            </w:pPr>
            <w:hyperlink r:id="rId500">
              <w:r>
                <w:rPr>
                  <w:rFonts w:ascii="Arial" w:cs="Arial" w:eastAsia="Arial" w:hAnsi="Arial"/>
                  <w:sz w:val="16"/>
                  <w:szCs w:val="16"/>
                  <w:color w:val="0000FF"/>
                </w:rPr>
                <w:t>Sixth Amendment to the Outside Director’s Stock Based Compensation Plan effective January 1, 2019 (filed as Exhibit 10.18 to the</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500">
              <w:r>
                <w:rPr>
                  <w:rFonts w:ascii="Arial" w:cs="Arial" w:eastAsia="Arial" w:hAnsi="Arial"/>
                  <w:sz w:val="16"/>
                  <w:szCs w:val="16"/>
                  <w:color w:val="0000FF"/>
                </w:rPr>
                <w:t>Registrant’s Form 10-K for 2018).</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0"/>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10.20†</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501">
              <w:r>
                <w:rPr>
                  <w:rFonts w:ascii="Arial" w:cs="Arial" w:eastAsia="Arial" w:hAnsi="Arial"/>
                  <w:sz w:val="16"/>
                  <w:szCs w:val="16"/>
                  <w:color w:val="0000FF"/>
                </w:rPr>
                <w:t>Form of Non-Disclosure and Non-Solicitation Agreement for Certain Employees (filed as Exhibit 10.8 to the Registrant’s Form 10-Q for</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680" w:type="dxa"/>
            <w:vAlign w:val="bottom"/>
            <w:tcBorders>
              <w:top w:val="single" w:sz="8" w:color="0000FF"/>
            </w:tcBorders>
            <w:gridSpan w:val="35"/>
            <w:shd w:val="clear" w:color="auto" w:fill="CFF0FC"/>
          </w:tcPr>
          <w:p>
            <w:pPr>
              <w:spacing w:after="0" w:line="169" w:lineRule="exact"/>
              <w:rPr>
                <w:rFonts w:ascii="Arial" w:cs="Arial" w:eastAsia="Arial" w:hAnsi="Arial"/>
                <w:sz w:val="16"/>
                <w:szCs w:val="16"/>
                <w:color w:val="0000FF"/>
              </w:rPr>
            </w:pPr>
            <w:hyperlink r:id="rId501">
              <w:r>
                <w:rPr>
                  <w:rFonts w:ascii="Arial" w:cs="Arial" w:eastAsia="Arial" w:hAnsi="Arial"/>
                  <w:sz w:val="16"/>
                  <w:szCs w:val="16"/>
                  <w:color w:val="0000FF"/>
                </w:rPr>
                <w:t>the quarterly period ended March 31, 2016).</w:t>
              </w:r>
            </w:hyperlink>
          </w:p>
        </w:tc>
        <w:tc>
          <w:tcPr>
            <w:tcW w:w="120" w:type="dxa"/>
            <w:vAlign w:val="bottom"/>
            <w:tcBorders>
              <w:top w:val="single" w:sz="8" w:color="CFF0FC"/>
            </w:tcBorders>
            <w:gridSpan w:val="4"/>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10.21</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502">
              <w:r>
                <w:rPr>
                  <w:rFonts w:ascii="Arial" w:cs="Arial" w:eastAsia="Arial" w:hAnsi="Arial"/>
                  <w:sz w:val="16"/>
                  <w:szCs w:val="16"/>
                  <w:color w:val="0000FF"/>
                </w:rPr>
                <w:t>Equity Distribution Sales Agreement dated August 4, 2020 among Black Hills Corporation and the several Agents named therein (filed</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4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502">
              <w:r>
                <w:rPr>
                  <w:rFonts w:ascii="Arial" w:cs="Arial" w:eastAsia="Arial" w:hAnsi="Arial"/>
                  <w:sz w:val="16"/>
                  <w:szCs w:val="16"/>
                  <w:color w:val="0000FF"/>
                </w:rPr>
                <w:t>as Exhibit 1.1 to the Registrant’s Form 8-K filed on August 4, 2020).</w:t>
              </w:r>
            </w:hyperlink>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10.22</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503">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620" w:type="dxa"/>
            <w:vAlign w:val="bottom"/>
            <w:tcBorders>
              <w:top w:val="single" w:sz="8" w:color="0000FF"/>
            </w:tcBorders>
            <w:gridSpan w:val="32"/>
            <w:shd w:val="clear" w:color="auto" w:fill="CFF0FC"/>
          </w:tcPr>
          <w:p>
            <w:pPr>
              <w:spacing w:after="0" w:line="169" w:lineRule="exact"/>
              <w:rPr>
                <w:rFonts w:ascii="Arial" w:cs="Arial" w:eastAsia="Arial" w:hAnsi="Arial"/>
                <w:sz w:val="16"/>
                <w:szCs w:val="16"/>
                <w:color w:val="0000FF"/>
              </w:rPr>
            </w:pPr>
            <w:hyperlink r:id="rId503">
              <w:r>
                <w:rPr>
                  <w:rFonts w:ascii="Arial" w:cs="Arial" w:eastAsia="Arial" w:hAnsi="Arial"/>
                  <w:sz w:val="16"/>
                  <w:szCs w:val="16"/>
                  <w:color w:val="0000FF"/>
                </w:rPr>
                <w:t>Black Hills Corporation, as Borrower, the financial institutions party thereto, as Banks, and U.S. Bank, National Association, as</w:t>
              </w:r>
            </w:hyperlink>
          </w:p>
        </w:tc>
        <w:tc>
          <w:tcPr>
            <w:tcW w:w="40" w:type="dxa"/>
            <w:vAlign w:val="bottom"/>
            <w:tcBorders>
              <w:top w:val="single" w:sz="8" w:color="CFF0FC"/>
            </w:tcBorders>
            <w:gridSpan w:val="2"/>
            <w:shd w:val="clear" w:color="auto" w:fill="CFF0FC"/>
          </w:tcPr>
          <w:p>
            <w:pPr>
              <w:spacing w:after="0"/>
              <w:rPr>
                <w:sz w:val="14"/>
                <w:szCs w:val="14"/>
                <w:color w:val="auto"/>
              </w:rPr>
            </w:pPr>
          </w:p>
        </w:tc>
        <w:tc>
          <w:tcPr>
            <w:tcW w:w="140" w:type="dxa"/>
            <w:vAlign w:val="bottom"/>
            <w:tcBorders>
              <w:top w:val="single" w:sz="8" w:color="CFF0FC"/>
            </w:tcBorders>
            <w:gridSpan w:val="5"/>
            <w:shd w:val="clear" w:color="auto" w:fill="CFF0FC"/>
          </w:tcPr>
          <w:p>
            <w:pPr>
              <w:spacing w:after="0"/>
              <w:rPr>
                <w:sz w:val="14"/>
                <w:szCs w:val="14"/>
                <w:color w:val="auto"/>
              </w:rPr>
            </w:pPr>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080" w:type="dxa"/>
            <w:vAlign w:val="bottom"/>
            <w:tcBorders>
              <w:top w:val="single" w:sz="8" w:color="0000FF"/>
            </w:tcBorders>
            <w:gridSpan w:val="19"/>
            <w:shd w:val="clear" w:color="auto" w:fill="CFF0FC"/>
          </w:tcPr>
          <w:p>
            <w:pPr>
              <w:spacing w:after="0" w:line="169" w:lineRule="exact"/>
              <w:rPr>
                <w:rFonts w:ascii="Arial" w:cs="Arial" w:eastAsia="Arial" w:hAnsi="Arial"/>
                <w:sz w:val="16"/>
                <w:szCs w:val="16"/>
                <w:color w:val="0000FF"/>
              </w:rPr>
            </w:pPr>
            <w:hyperlink r:id="rId503">
              <w:r>
                <w:rPr>
                  <w:rFonts w:ascii="Arial" w:cs="Arial" w:eastAsia="Arial" w:hAnsi="Arial"/>
                  <w:sz w:val="16"/>
                  <w:szCs w:val="16"/>
                  <w:color w:val="0000FF"/>
                </w:rPr>
                <w:t>Administrative Agent (filed as Exhibit 10.1 to the Registrant’s Form 8-K filed on July 19, 2021).</w:t>
              </w:r>
            </w:hyperlink>
          </w:p>
        </w:tc>
        <w:tc>
          <w:tcPr>
            <w:tcW w:w="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gridSpan w:val="2"/>
            <w:shd w:val="clear" w:color="auto" w:fill="CFF0FC"/>
          </w:tcPr>
          <w:p>
            <w:pPr>
              <w:spacing w:after="0"/>
              <w:rPr>
                <w:sz w:val="14"/>
                <w:szCs w:val="14"/>
                <w:color w:val="auto"/>
              </w:rPr>
            </w:pPr>
          </w:p>
        </w:tc>
        <w:tc>
          <w:tcPr>
            <w:tcW w:w="280" w:type="dxa"/>
            <w:vAlign w:val="bottom"/>
            <w:tcBorders>
              <w:top w:val="single" w:sz="8" w:color="CFF0FC"/>
            </w:tcBorders>
            <w:gridSpan w:val="12"/>
            <w:shd w:val="clear" w:color="auto" w:fill="CFF0FC"/>
          </w:tcPr>
          <w:p>
            <w:pPr>
              <w:spacing w:after="0"/>
              <w:rPr>
                <w:sz w:val="14"/>
                <w:szCs w:val="14"/>
                <w:color w:val="auto"/>
              </w:rPr>
            </w:pPr>
          </w:p>
        </w:tc>
        <w:tc>
          <w:tcPr>
            <w:tcW w:w="140" w:type="dxa"/>
            <w:vAlign w:val="bottom"/>
            <w:tcBorders>
              <w:top w:val="single" w:sz="8" w:color="CFF0FC"/>
            </w:tcBorders>
            <w:gridSpan w:val="5"/>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000" w:type="dxa"/>
            <w:vAlign w:val="bottom"/>
            <w:tcBorders>
              <w:top w:val="single" w:sz="8" w:color="0000FF"/>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10.23</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504">
              <w:r>
                <w:rPr>
                  <w:rFonts w:ascii="Arial" w:cs="Arial" w:eastAsia="Arial" w:hAnsi="Arial"/>
                  <w:sz w:val="16"/>
                  <w:szCs w:val="16"/>
                  <w:color w:val="0000FF"/>
                </w:rPr>
                <w:t>Credit Agreement dated as of February 24, 2021 among Black Hills Corporation, as Borrower, the financial institutions party thereto, as</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4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504">
              <w:r>
                <w:rPr>
                  <w:rFonts w:ascii="Arial" w:cs="Arial" w:eastAsia="Arial" w:hAnsi="Arial"/>
                  <w:sz w:val="16"/>
                  <w:szCs w:val="16"/>
                  <w:color w:val="0000FF"/>
                </w:rPr>
                <w:t>Banks, and U.S. Bank National Association, as Administrative Agent (filed as Exhibit 10.1 to the Registrant’s Form 8–K filed on</w:t>
              </w:r>
            </w:hyperlink>
          </w:p>
        </w:tc>
        <w:tc>
          <w:tcPr>
            <w:tcW w:w="6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12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504">
              <w:r>
                <w:rPr>
                  <w:rFonts w:ascii="Arial" w:cs="Arial" w:eastAsia="Arial" w:hAnsi="Arial"/>
                  <w:sz w:val="16"/>
                  <w:szCs w:val="16"/>
                  <w:color w:val="0000FF"/>
                </w:rPr>
                <w:t>February 25, 2021).</w:t>
              </w:r>
            </w:hyperlink>
          </w:p>
        </w:tc>
        <w:tc>
          <w:tcPr>
            <w:tcW w:w="260" w:type="dxa"/>
            <w:vAlign w:val="bottom"/>
            <w:gridSpan w:val="2"/>
          </w:tcPr>
          <w:p>
            <w:pPr>
              <w:spacing w:after="0"/>
              <w:rPr>
                <w:sz w:val="14"/>
                <w:szCs w:val="14"/>
                <w:color w:val="auto"/>
              </w:rPr>
            </w:pPr>
          </w:p>
        </w:tc>
        <w:tc>
          <w:tcPr>
            <w:tcW w:w="280" w:type="dxa"/>
            <w:vAlign w:val="bottom"/>
            <w:gridSpan w:val="12"/>
          </w:tcPr>
          <w:p>
            <w:pPr>
              <w:spacing w:after="0"/>
              <w:rPr>
                <w:sz w:val="14"/>
                <w:szCs w:val="14"/>
                <w:color w:val="auto"/>
              </w:rPr>
            </w:pPr>
          </w:p>
        </w:tc>
        <w:tc>
          <w:tcPr>
            <w:tcW w:w="140" w:type="dxa"/>
            <w:vAlign w:val="bottom"/>
            <w:gridSpan w:val="5"/>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10.24</w:t>
            </w:r>
          </w:p>
        </w:tc>
        <w:tc>
          <w:tcPr>
            <w:tcW w:w="10100" w:type="dxa"/>
            <w:vAlign w:val="bottom"/>
            <w:gridSpan w:val="40"/>
            <w:shd w:val="clear" w:color="auto" w:fill="CFF0FC"/>
          </w:tcPr>
          <w:p>
            <w:pPr>
              <w:ind w:left="300"/>
              <w:spacing w:after="0"/>
              <w:rPr>
                <w:rFonts w:ascii="Arial" w:cs="Arial" w:eastAsia="Arial" w:hAnsi="Arial"/>
                <w:sz w:val="16"/>
                <w:szCs w:val="16"/>
                <w:color w:val="0000FF"/>
              </w:rPr>
            </w:pPr>
            <w:hyperlink r:id="rId502">
              <w:r>
                <w:rPr>
                  <w:rFonts w:ascii="Arial" w:cs="Arial" w:eastAsia="Arial" w:hAnsi="Arial"/>
                  <w:sz w:val="16"/>
                  <w:szCs w:val="16"/>
                  <w:color w:val="0000FF"/>
                </w:rPr>
                <w:t>Non-Employee Director Equity Compensation Plan effective January 1, 2022 (filed as Exhibit 10.25 to the Registrant's Form 10-K filed</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660" w:type="dxa"/>
            <w:vAlign w:val="bottom"/>
            <w:tcBorders>
              <w:top w:val="single" w:sz="8" w:color="0000FF"/>
            </w:tcBorders>
            <w:gridSpan w:val="34"/>
            <w:shd w:val="clear" w:color="auto" w:fill="CFF0FC"/>
          </w:tcPr>
          <w:p>
            <w:pPr>
              <w:spacing w:after="0" w:line="169" w:lineRule="exact"/>
              <w:rPr>
                <w:rFonts w:ascii="Arial" w:cs="Arial" w:eastAsia="Arial" w:hAnsi="Arial"/>
                <w:sz w:val="16"/>
                <w:szCs w:val="16"/>
                <w:color w:val="0000FF"/>
              </w:rPr>
            </w:pPr>
            <w:hyperlink r:id="rId502">
              <w:r>
                <w:rPr>
                  <w:rFonts w:ascii="Arial" w:cs="Arial" w:eastAsia="Arial" w:hAnsi="Arial"/>
                  <w:sz w:val="16"/>
                  <w:szCs w:val="16"/>
                  <w:color w:val="0000FF"/>
                </w:rPr>
                <w:t>on Februrary 15, 2022).</w:t>
              </w:r>
            </w:hyperlink>
          </w:p>
        </w:tc>
        <w:tc>
          <w:tcPr>
            <w:tcW w:w="140" w:type="dxa"/>
            <w:vAlign w:val="bottom"/>
            <w:tcBorders>
              <w:top w:val="single" w:sz="8" w:color="CFF0FC"/>
            </w:tcBorders>
            <w:gridSpan w:val="5"/>
            <w:shd w:val="clear" w:color="auto" w:fill="CFF0FC"/>
          </w:tcPr>
          <w:p>
            <w:pPr>
              <w:spacing w:after="0"/>
              <w:rPr>
                <w:sz w:val="14"/>
                <w:szCs w:val="14"/>
                <w:color w:val="auto"/>
              </w:rPr>
            </w:pPr>
          </w:p>
        </w:tc>
      </w:tr>
      <w:tr>
        <w:trPr>
          <w:trHeight w:val="47"/>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74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4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80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10.25</w:t>
            </w:r>
          </w:p>
        </w:tc>
        <w:tc>
          <w:tcPr>
            <w:tcW w:w="300" w:type="dxa"/>
            <w:vAlign w:val="bottom"/>
          </w:tcPr>
          <w:p>
            <w:pPr>
              <w:spacing w:after="0"/>
              <w:rPr>
                <w:sz w:val="19"/>
                <w:szCs w:val="19"/>
                <w:color w:val="auto"/>
              </w:rPr>
            </w:pPr>
          </w:p>
        </w:tc>
        <w:tc>
          <w:tcPr>
            <w:tcW w:w="9800" w:type="dxa"/>
            <w:vAlign w:val="bottom"/>
            <w:gridSpan w:val="39"/>
          </w:tcPr>
          <w:p>
            <w:pPr>
              <w:spacing w:after="0"/>
              <w:rPr>
                <w:rFonts w:ascii="Arial" w:cs="Arial" w:eastAsia="Arial" w:hAnsi="Arial"/>
                <w:sz w:val="16"/>
                <w:szCs w:val="16"/>
                <w:color w:val="0000FF"/>
              </w:rPr>
            </w:pPr>
            <w:hyperlink r:id="rId505">
              <w:r>
                <w:rPr>
                  <w:rFonts w:ascii="Arial" w:cs="Arial" w:eastAsia="Arial" w:hAnsi="Arial"/>
                  <w:sz w:val="16"/>
                  <w:szCs w:val="16"/>
                  <w:color w:val="0000FF"/>
                </w:rPr>
                <w:t>Form of Restricted Stock Unit Award Agreement (Non-Employee Director) effective for awards granted on or after January 1, 2022</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505">
              <w:r>
                <w:rPr>
                  <w:rFonts w:ascii="Arial" w:cs="Arial" w:eastAsia="Arial" w:hAnsi="Arial"/>
                  <w:sz w:val="16"/>
                  <w:szCs w:val="16"/>
                  <w:color w:val="0000FF"/>
                </w:rPr>
                <w:t>(filed as Exhibit 10.26 to the Registrant's Form 10-K filed on February 15, 2022).</w:t>
              </w:r>
            </w:hyperlink>
          </w:p>
        </w:tc>
        <w:tc>
          <w:tcPr>
            <w:tcW w:w="420" w:type="dxa"/>
            <w:vAlign w:val="bottom"/>
            <w:gridSpan w:val="17"/>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10.26</w:t>
            </w:r>
          </w:p>
        </w:tc>
        <w:tc>
          <w:tcPr>
            <w:tcW w:w="10100" w:type="dxa"/>
            <w:vAlign w:val="bottom"/>
            <w:tcBorders>
              <w:bottom w:val="single" w:sz="8" w:color="CFF0FC"/>
            </w:tcBorders>
            <w:gridSpan w:val="40"/>
            <w:shd w:val="clear" w:color="auto" w:fill="CFF0FC"/>
          </w:tcPr>
          <w:p>
            <w:pPr>
              <w:ind w:left="300"/>
              <w:spacing w:after="0"/>
              <w:rPr>
                <w:sz w:val="20"/>
                <w:szCs w:val="20"/>
                <w:color w:val="auto"/>
              </w:rPr>
            </w:pPr>
            <w:r>
              <w:rPr>
                <w:rFonts w:ascii="Arial" w:cs="Arial" w:eastAsia="Arial" w:hAnsi="Arial"/>
                <w:sz w:val="16"/>
                <w:szCs w:val="16"/>
                <w:color w:val="auto"/>
              </w:rPr>
              <w:t>Coal Leases between WRDC and the Federal Government</w:t>
            </w:r>
          </w:p>
        </w:tc>
      </w:tr>
      <w:tr>
        <w:trPr>
          <w:trHeight w:val="215"/>
        </w:trPr>
        <w:tc>
          <w:tcPr>
            <w:tcW w:w="1140" w:type="dxa"/>
            <w:vAlign w:val="bottom"/>
          </w:tcPr>
          <w:p>
            <w:pPr>
              <w:spacing w:after="0"/>
              <w:rPr>
                <w:sz w:val="18"/>
                <w:szCs w:val="18"/>
                <w:color w:val="auto"/>
              </w:rPr>
            </w:pPr>
          </w:p>
        </w:tc>
        <w:tc>
          <w:tcPr>
            <w:tcW w:w="4700" w:type="dxa"/>
            <w:vAlign w:val="bottom"/>
            <w:gridSpan w:val="11"/>
          </w:tcPr>
          <w:p>
            <w:pPr>
              <w:jc w:val="right"/>
              <w:ind w:right="80"/>
              <w:spacing w:after="0"/>
              <w:rPr>
                <w:sz w:val="20"/>
                <w:szCs w:val="20"/>
                <w:color w:val="auto"/>
              </w:rPr>
            </w:pPr>
            <w:r>
              <w:rPr>
                <w:rFonts w:ascii="Arial" w:cs="Arial" w:eastAsia="Arial" w:hAnsi="Arial"/>
                <w:sz w:val="16"/>
                <w:szCs w:val="16"/>
                <w:color w:val="auto"/>
              </w:rPr>
              <w:t>112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89"/>
        </w:trPr>
        <w:tc>
          <w:tcPr>
            <w:tcW w:w="1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89" w:lineRule="exact"/>
        <w:rPr>
          <w:sz w:val="20"/>
          <w:szCs w:val="20"/>
          <w:color w:val="auto"/>
        </w:rPr>
      </w:pPr>
    </w:p>
    <w:p>
      <w:pPr>
        <w:ind w:left="1680"/>
        <w:spacing w:after="0" w:line="184" w:lineRule="exact"/>
        <w:rPr>
          <w:sz w:val="20"/>
          <w:szCs w:val="20"/>
          <w:color w:val="auto"/>
        </w:rPr>
      </w:pPr>
      <w:r>
        <w:rPr>
          <w:rFonts w:ascii="Arial" w:cs="Arial" w:eastAsia="Arial" w:hAnsi="Arial"/>
          <w:sz w:val="16"/>
          <w:szCs w:val="16"/>
          <w:color w:val="auto"/>
        </w:rPr>
        <w:t>-Dated May 1, 1959 (filed as Exhibit 5(i)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7543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9">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16"/>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10(h)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16"/>
          </w:tcPr>
          <w:p>
            <w:pPr>
              <w:ind w:left="240"/>
              <w:spacing w:after="0" w:line="184" w:lineRule="exact"/>
              <w:rPr>
                <w:sz w:val="20"/>
                <w:szCs w:val="20"/>
                <w:color w:val="auto"/>
              </w:rPr>
            </w:pPr>
            <w:r>
              <w:rPr>
                <w:rFonts w:ascii="Arial" w:cs="Arial" w:eastAsia="Arial" w:hAnsi="Arial"/>
                <w:sz w:val="16"/>
                <w:szCs w:val="16"/>
                <w:color w:val="auto"/>
              </w:rPr>
              <w:t>-Dated April 1, 1961 (filed as Exhibit 5(j)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16"/>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10(i) to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16"/>
          </w:tcPr>
          <w:p>
            <w:pPr>
              <w:ind w:left="240"/>
              <w:spacing w:after="0" w:line="184"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254"/>
        </w:trPr>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0" w:type="dxa"/>
            <w:vAlign w:val="bottom"/>
            <w:gridSpan w:val="16"/>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257"/>
        </w:trPr>
        <w:tc>
          <w:tcPr>
            <w:tcW w:w="1140" w:type="dxa"/>
            <w:vAlign w:val="bottom"/>
          </w:tcPr>
          <w:p>
            <w:pPr>
              <w:ind w:left="120"/>
              <w:spacing w:after="0"/>
              <w:rPr>
                <w:sz w:val="20"/>
                <w:szCs w:val="20"/>
                <w:color w:val="auto"/>
              </w:rPr>
            </w:pPr>
            <w:r>
              <w:rPr>
                <w:rFonts w:ascii="Arial" w:cs="Arial" w:eastAsia="Arial" w:hAnsi="Arial"/>
                <w:sz w:val="16"/>
                <w:szCs w:val="16"/>
                <w:color w:val="auto"/>
              </w:rPr>
              <w:t>10.27</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auto"/>
              </w:rPr>
              <w:t>Assignment of Mining Leases and Related Agreement effective May 27, 1997, between WRDC and Kerr-McGee Coal Corporation</w:t>
            </w:r>
          </w:p>
        </w:tc>
      </w:tr>
      <w:tr>
        <w:trPr>
          <w:trHeight w:val="215"/>
        </w:trPr>
        <w:tc>
          <w:tcPr>
            <w:tcW w:w="1140" w:type="dxa"/>
            <w:vAlign w:val="bottom"/>
          </w:tcPr>
          <w:p>
            <w:pPr>
              <w:spacing w:after="0"/>
              <w:rPr>
                <w:sz w:val="18"/>
                <w:szCs w:val="18"/>
                <w:color w:val="auto"/>
              </w:rPr>
            </w:pPr>
          </w:p>
        </w:tc>
        <w:tc>
          <w:tcPr>
            <w:tcW w:w="10100" w:type="dxa"/>
            <w:vAlign w:val="bottom"/>
            <w:gridSpan w:val="17"/>
          </w:tcPr>
          <w:p>
            <w:pPr>
              <w:ind w:left="300"/>
              <w:spacing w:after="0"/>
              <w:rPr>
                <w:sz w:val="20"/>
                <w:szCs w:val="20"/>
                <w:color w:val="auto"/>
              </w:rPr>
            </w:pPr>
            <w:r>
              <w:rPr>
                <w:rFonts w:ascii="Arial" w:cs="Arial" w:eastAsia="Arial" w:hAnsi="Arial"/>
                <w:sz w:val="16"/>
                <w:szCs w:val="16"/>
                <w:color w:val="auto"/>
              </w:rPr>
              <w:t>(filed as Exhibit 10(u) to the Registrant’s Form 10-K for 1997).</w:t>
            </w:r>
          </w:p>
        </w:tc>
      </w:tr>
      <w:tr>
        <w:trPr>
          <w:trHeight w:val="29"/>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10.28*†</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0000FF"/>
              </w:rPr>
              <w:t>Form of Short-term Incentive Plan Award Agreement for the Amended and Restated 2015 Omnibus Incentive Plan effective for awards</w:t>
            </w:r>
          </w:p>
        </w:tc>
      </w:tr>
      <w:tr>
        <w:trPr>
          <w:trHeight w:val="216"/>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600" w:type="dxa"/>
            <w:vAlign w:val="bottom"/>
            <w:tcBorders>
              <w:top w:val="single" w:sz="8" w:color="0000FF"/>
              <w:bottom w:val="single" w:sz="8" w:color="0000FF"/>
            </w:tcBorders>
            <w:gridSpan w:val="4"/>
            <w:shd w:val="clear" w:color="auto" w:fill="CFF0FC"/>
          </w:tcPr>
          <w:p>
            <w:pPr>
              <w:spacing w:after="0" w:line="169" w:lineRule="exact"/>
              <w:rPr>
                <w:sz w:val="20"/>
                <w:szCs w:val="20"/>
                <w:color w:val="auto"/>
              </w:rPr>
            </w:pPr>
            <w:r>
              <w:rPr>
                <w:rFonts w:ascii="Arial" w:cs="Arial" w:eastAsia="Arial" w:hAnsi="Arial"/>
                <w:sz w:val="16"/>
                <w:szCs w:val="16"/>
                <w:color w:val="0000FF"/>
              </w:rPr>
              <w:t>granted on or after January 1, 2023.</w:t>
            </w:r>
          </w:p>
        </w:tc>
        <w:tc>
          <w:tcPr>
            <w:tcW w:w="7100" w:type="dxa"/>
            <w:vAlign w:val="bottom"/>
            <w:tcBorders>
              <w:top w:val="single" w:sz="8" w:color="0000FF"/>
              <w:bottom w:val="single" w:sz="8" w:color="CFF0FC"/>
            </w:tcBorders>
            <w:gridSpan w:val="10"/>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10.29*†</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0000FF"/>
              </w:rPr>
              <w:t>Form of Performance Unit Award Agreement for the Amended and Restated 2015 Omnibus Incentive Plan effective for awards granted</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2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6"/>
                <w:szCs w:val="16"/>
                <w:color w:val="0000FF"/>
              </w:rPr>
              <w:t>on or after January 1, 2023.</w:t>
            </w:r>
          </w:p>
        </w:tc>
        <w:tc>
          <w:tcPr>
            <w:tcW w:w="80" w:type="dxa"/>
            <w:vAlign w:val="bottom"/>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10.30*†</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0000FF"/>
              </w:rPr>
              <w:t>Form of Restricted Stock Award Agreement for the Amended and Restated 2015 Omnibus Incentive Plan effective for awards granted</w:t>
            </w:r>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640" w:type="dxa"/>
            <w:vAlign w:val="bottom"/>
            <w:tcBorders>
              <w:top w:val="single" w:sz="8" w:color="0000FF"/>
            </w:tcBorders>
            <w:gridSpan w:val="12"/>
            <w:shd w:val="clear" w:color="auto" w:fill="CFF0FC"/>
          </w:tcPr>
          <w:p>
            <w:pPr>
              <w:spacing w:after="0" w:line="169" w:lineRule="exact"/>
              <w:rPr>
                <w:sz w:val="20"/>
                <w:szCs w:val="20"/>
                <w:color w:val="auto"/>
              </w:rPr>
            </w:pPr>
            <w:r>
              <w:rPr>
                <w:rFonts w:ascii="Arial" w:cs="Arial" w:eastAsia="Arial" w:hAnsi="Arial"/>
                <w:sz w:val="16"/>
                <w:szCs w:val="16"/>
                <w:color w:val="0000FF"/>
              </w:rPr>
              <w:t>on or after January 24, 2023.</w:t>
            </w:r>
          </w:p>
        </w:tc>
        <w:tc>
          <w:tcPr>
            <w:tcW w:w="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gridSpan w:val="3"/>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0000FF"/>
            </w:tcBorders>
            <w:shd w:val="clear" w:color="auto" w:fill="CFF0FC"/>
          </w:tcPr>
          <w:p>
            <w:pPr>
              <w:spacing w:after="0"/>
              <w:rPr>
                <w:sz w:val="4"/>
                <w:szCs w:val="4"/>
                <w:color w:val="auto"/>
              </w:rPr>
            </w:pPr>
          </w:p>
        </w:tc>
        <w:tc>
          <w:tcPr>
            <w:tcW w:w="11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52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2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660" w:type="dxa"/>
            <w:vAlign w:val="bottom"/>
            <w:tcBorders>
              <w:top w:val="single" w:sz="8" w:color="CFF0FC"/>
            </w:tcBorders>
            <w:shd w:val="clear" w:color="auto" w:fill="CFF0FC"/>
          </w:tcPr>
          <w:p>
            <w:pPr>
              <w:spacing w:after="0"/>
              <w:rPr>
                <w:sz w:val="4"/>
                <w:szCs w:val="4"/>
                <w:color w:val="auto"/>
              </w:rPr>
            </w:pPr>
          </w:p>
        </w:tc>
        <w:tc>
          <w:tcPr>
            <w:tcW w:w="50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9"/>
                <w:szCs w:val="19"/>
                <w:color w:val="auto"/>
              </w:rPr>
            </w:pPr>
          </w:p>
        </w:tc>
        <w:tc>
          <w:tcPr>
            <w:tcW w:w="9800" w:type="dxa"/>
            <w:vAlign w:val="bottom"/>
            <w:gridSpan w:val="16"/>
          </w:tcPr>
          <w:p>
            <w:pPr>
              <w:spacing w:after="0"/>
              <w:rPr>
                <w:sz w:val="20"/>
                <w:szCs w:val="20"/>
                <w:color w:val="auto"/>
              </w:rPr>
            </w:pPr>
            <w:r>
              <w:rPr>
                <w:rFonts w:ascii="Arial" w:cs="Arial" w:eastAsia="Arial" w:hAnsi="Arial"/>
                <w:sz w:val="16"/>
                <w:szCs w:val="16"/>
                <w:color w:val="0000FF"/>
              </w:rPr>
              <w:t>List of Subsidiaries of Black Hills Corporation.</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23.1*</w:t>
            </w:r>
          </w:p>
        </w:tc>
        <w:tc>
          <w:tcPr>
            <w:tcW w:w="300" w:type="dxa"/>
            <w:vAlign w:val="bottom"/>
            <w:tcBorders>
              <w:bottom w:val="single" w:sz="8" w:color="CFF0FC"/>
            </w:tcBorders>
            <w:shd w:val="clear" w:color="auto" w:fill="CFF0FC"/>
          </w:tcPr>
          <w:p>
            <w:pPr>
              <w:spacing w:after="0"/>
              <w:rPr>
                <w:sz w:val="24"/>
                <w:szCs w:val="24"/>
                <w:color w:val="auto"/>
              </w:rPr>
            </w:pPr>
          </w:p>
        </w:tc>
        <w:tc>
          <w:tcPr>
            <w:tcW w:w="4320" w:type="dxa"/>
            <w:vAlign w:val="bottom"/>
            <w:tcBorders>
              <w:bottom w:val="single" w:sz="8" w:color="0000FF"/>
            </w:tcBorders>
            <w:gridSpan w:val="8"/>
            <w:shd w:val="clear" w:color="auto" w:fill="CFF0FC"/>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5480" w:type="dxa"/>
            <w:vAlign w:val="bottom"/>
            <w:tcBorders>
              <w:bottom w:val="single" w:sz="8" w:color="CFF0FC"/>
            </w:tcBorders>
            <w:gridSpan w:val="8"/>
            <w:shd w:val="clear" w:color="auto" w:fill="CFF0FC"/>
          </w:tcPr>
          <w:p>
            <w:pPr>
              <w:spacing w:after="0"/>
              <w:rPr>
                <w:sz w:val="24"/>
                <w:szCs w:val="2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31.1*</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31.2*</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520" w:type="dxa"/>
            <w:vAlign w:val="bottom"/>
            <w:tcBorders>
              <w:top w:val="single" w:sz="8" w:color="0000FF"/>
              <w:bottom w:val="single" w:sz="8" w:color="0000FF"/>
            </w:tcBorders>
            <w:gridSpan w:val="6"/>
            <w:shd w:val="clear" w:color="auto" w:fill="CFF0FC"/>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860" w:type="dxa"/>
            <w:vAlign w:val="bottom"/>
            <w:tcBorders>
              <w:top w:val="single" w:sz="8" w:color="0000FF"/>
              <w:bottom w:val="single" w:sz="8" w:color="CFF0FC"/>
            </w:tcBorders>
            <w:gridSpan w:val="3"/>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3"/>
            <w:shd w:val="clear" w:color="auto" w:fill="CFF0FC"/>
          </w:tcPr>
          <w:p>
            <w:pPr>
              <w:spacing w:after="0"/>
              <w:rPr>
                <w:sz w:val="18"/>
                <w:szCs w:val="18"/>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32.1*</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Sarbanes-Oxley</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8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6"/>
                <w:szCs w:val="16"/>
                <w:color w:val="0000FF"/>
              </w:rPr>
              <w:t>Act of 2002.</w:t>
            </w:r>
          </w:p>
        </w:tc>
        <w:tc>
          <w:tcPr>
            <w:tcW w:w="120" w:type="dxa"/>
            <w:vAlign w:val="bottom"/>
            <w:gridSpan w:val="3"/>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32.2*</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Sarbanes-Oxley</w:t>
            </w:r>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0000FF"/>
              <w:bottom w:val="single" w:sz="8" w:color="0000FF"/>
            </w:tcBorders>
            <w:shd w:val="clear" w:color="auto" w:fill="CFF0FC"/>
          </w:tcPr>
          <w:p>
            <w:pPr>
              <w:spacing w:after="0" w:line="169" w:lineRule="exact"/>
              <w:rPr>
                <w:sz w:val="20"/>
                <w:szCs w:val="20"/>
                <w:color w:val="auto"/>
              </w:rPr>
            </w:pPr>
            <w:r>
              <w:rPr>
                <w:rFonts w:ascii="Arial" w:cs="Arial" w:eastAsia="Arial" w:hAnsi="Arial"/>
                <w:sz w:val="16"/>
                <w:szCs w:val="16"/>
                <w:color w:val="0000FF"/>
              </w:rPr>
              <w:t>Act of 2002.</w:t>
            </w:r>
          </w:p>
        </w:tc>
        <w:tc>
          <w:tcPr>
            <w:tcW w:w="8740" w:type="dxa"/>
            <w:vAlign w:val="bottom"/>
            <w:tcBorders>
              <w:top w:val="single" w:sz="8" w:color="0000FF"/>
              <w:bottom w:val="single" w:sz="8" w:color="CFF0FC"/>
            </w:tcBorders>
            <w:gridSpan w:val="10"/>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5"/>
            <w:shd w:val="clear" w:color="auto" w:fill="CFF0FC"/>
          </w:tcPr>
          <w:p>
            <w:pPr>
              <w:spacing w:after="0"/>
              <w:rPr>
                <w:sz w:val="18"/>
                <w:szCs w:val="18"/>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95*</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0000FF"/>
              </w:rPr>
              <w:t>Mine Safety and Health Administration Safety Data</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5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2"/>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101.INS*</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24"/>
        </w:trPr>
        <w:tc>
          <w:tcPr>
            <w:tcW w:w="1140" w:type="dxa"/>
            <w:vAlign w:val="bottom"/>
            <w:tcBorders>
              <w:bottom w:val="single" w:sz="8" w:color="CFF0FC"/>
            </w:tcBorders>
            <w:shd w:val="clear" w:color="auto" w:fill="CFF0FC"/>
          </w:tcPr>
          <w:p>
            <w:pPr>
              <w:spacing w:after="0"/>
              <w:rPr>
                <w:sz w:val="19"/>
                <w:szCs w:val="19"/>
                <w:color w:val="auto"/>
              </w:rPr>
            </w:pPr>
          </w:p>
        </w:tc>
        <w:tc>
          <w:tcPr>
            <w:tcW w:w="10100" w:type="dxa"/>
            <w:vAlign w:val="bottom"/>
            <w:tcBorders>
              <w:bottom w:val="single" w:sz="8" w:color="CFF0FC"/>
            </w:tcBorders>
            <w:gridSpan w:val="17"/>
            <w:shd w:val="clear" w:color="auto" w:fill="CFF0FC"/>
          </w:tcPr>
          <w:p>
            <w:pPr>
              <w:ind w:left="300"/>
              <w:spacing w:after="0"/>
              <w:rPr>
                <w:sz w:val="20"/>
                <w:szCs w:val="20"/>
                <w:color w:val="auto"/>
              </w:rPr>
            </w:pPr>
            <w:r>
              <w:rPr>
                <w:rFonts w:ascii="Arial" w:cs="Arial" w:eastAsia="Arial" w:hAnsi="Arial"/>
                <w:sz w:val="16"/>
                <w:szCs w:val="16"/>
                <w:color w:val="auto"/>
              </w:rPr>
              <w:t>embedded within the Inline XBRL document</w:t>
            </w:r>
          </w:p>
        </w:tc>
      </w:tr>
      <w:tr>
        <w:trPr>
          <w:trHeight w:val="268"/>
        </w:trPr>
        <w:tc>
          <w:tcPr>
            <w:tcW w:w="1140" w:type="dxa"/>
            <w:vAlign w:val="bottom"/>
          </w:tcPr>
          <w:p>
            <w:pPr>
              <w:ind w:left="120"/>
              <w:spacing w:after="0"/>
              <w:rPr>
                <w:sz w:val="20"/>
                <w:szCs w:val="20"/>
                <w:color w:val="auto"/>
              </w:rPr>
            </w:pPr>
            <w:r>
              <w:rPr>
                <w:rFonts w:ascii="Arial" w:cs="Arial" w:eastAsia="Arial" w:hAnsi="Arial"/>
                <w:sz w:val="16"/>
                <w:szCs w:val="16"/>
                <w:color w:val="auto"/>
              </w:rPr>
              <w:t>101.SCH*</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auto"/>
              </w:rPr>
              <w:t>Inline XBRL Taxonomy Extension Schema Document</w:t>
            </w:r>
          </w:p>
        </w:tc>
      </w:tr>
      <w:tr>
        <w:trPr>
          <w:trHeight w:val="29"/>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101.CAL*</w:t>
            </w:r>
          </w:p>
        </w:tc>
        <w:tc>
          <w:tcPr>
            <w:tcW w:w="10100" w:type="dxa"/>
            <w:vAlign w:val="bottom"/>
            <w:tcBorders>
              <w:bottom w:val="single" w:sz="8" w:color="CFF0FC"/>
            </w:tcBorders>
            <w:gridSpan w:val="17"/>
            <w:shd w:val="clear" w:color="auto" w:fill="CFF0FC"/>
          </w:tcPr>
          <w:p>
            <w:pPr>
              <w:ind w:left="30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68"/>
        </w:trPr>
        <w:tc>
          <w:tcPr>
            <w:tcW w:w="1140" w:type="dxa"/>
            <w:vAlign w:val="bottom"/>
          </w:tcPr>
          <w:p>
            <w:pPr>
              <w:ind w:left="120"/>
              <w:spacing w:after="0"/>
              <w:rPr>
                <w:sz w:val="20"/>
                <w:szCs w:val="20"/>
                <w:color w:val="auto"/>
              </w:rPr>
            </w:pPr>
            <w:r>
              <w:rPr>
                <w:rFonts w:ascii="Arial" w:cs="Arial" w:eastAsia="Arial" w:hAnsi="Arial"/>
                <w:sz w:val="16"/>
                <w:szCs w:val="16"/>
                <w:color w:val="auto"/>
              </w:rPr>
              <w:t>101.DEF*</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9"/>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101.LAB*</w:t>
            </w:r>
          </w:p>
        </w:tc>
        <w:tc>
          <w:tcPr>
            <w:tcW w:w="10100" w:type="dxa"/>
            <w:vAlign w:val="bottom"/>
            <w:tcBorders>
              <w:bottom w:val="single" w:sz="8" w:color="CFF0FC"/>
            </w:tcBorders>
            <w:gridSpan w:val="17"/>
            <w:shd w:val="clear" w:color="auto" w:fill="CFF0FC"/>
          </w:tcPr>
          <w:p>
            <w:pPr>
              <w:ind w:left="30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68"/>
        </w:trPr>
        <w:tc>
          <w:tcPr>
            <w:tcW w:w="1140" w:type="dxa"/>
            <w:vAlign w:val="bottom"/>
          </w:tcPr>
          <w:p>
            <w:pPr>
              <w:ind w:left="120"/>
              <w:spacing w:after="0"/>
              <w:rPr>
                <w:sz w:val="20"/>
                <w:szCs w:val="20"/>
                <w:color w:val="auto"/>
              </w:rPr>
            </w:pPr>
            <w:r>
              <w:rPr>
                <w:rFonts w:ascii="Arial" w:cs="Arial" w:eastAsia="Arial" w:hAnsi="Arial"/>
                <w:sz w:val="16"/>
                <w:szCs w:val="16"/>
                <w:color w:val="auto"/>
              </w:rPr>
              <w:t>101.PRE*</w:t>
            </w:r>
          </w:p>
        </w:tc>
        <w:tc>
          <w:tcPr>
            <w:tcW w:w="10100" w:type="dxa"/>
            <w:vAlign w:val="bottom"/>
            <w:gridSpan w:val="17"/>
          </w:tcPr>
          <w:p>
            <w:pPr>
              <w:ind w:left="30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9"/>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8"/>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104*</w:t>
            </w:r>
          </w:p>
        </w:tc>
        <w:tc>
          <w:tcPr>
            <w:tcW w:w="10100" w:type="dxa"/>
            <w:vAlign w:val="bottom"/>
            <w:gridSpan w:val="17"/>
            <w:shd w:val="clear" w:color="auto" w:fill="CFF0FC"/>
          </w:tcPr>
          <w:p>
            <w:pPr>
              <w:ind w:left="30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29"/>
        </w:trPr>
        <w:tc>
          <w:tcPr>
            <w:tcW w:w="11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506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377"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BLACK HILLS CORPORATION</w:t>
      </w:r>
    </w:p>
    <w:p>
      <w:pPr>
        <w:spacing w:after="0" w:line="343" w:lineRule="exact"/>
        <w:rPr>
          <w:sz w:val="20"/>
          <w:szCs w:val="20"/>
          <w:color w:val="auto"/>
        </w:rPr>
      </w:pPr>
    </w:p>
    <w:p>
      <w:pPr>
        <w:ind w:left="514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38100</wp:posOffset>
            </wp:positionV>
            <wp:extent cx="34118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80"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Linden R. Evans, President and Chief Executive Officer</w:t>
      </w:r>
    </w:p>
    <w:p>
      <w:pPr>
        <w:spacing w:after="0" w:line="113"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6"/>
          <w:szCs w:val="16"/>
          <w:color w:val="auto"/>
        </w:rPr>
        <w:t>Dated:</w:t>
        <w:tab/>
        <w:t>February 14, 2023</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25" w:right="39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ind w:left="120"/>
              <w:spacing w:after="0"/>
              <w:rPr>
                <w:sz w:val="20"/>
                <w:szCs w:val="20"/>
                <w:color w:val="auto"/>
              </w:rPr>
            </w:pPr>
            <w:r>
              <w:rPr>
                <w:rFonts w:ascii="Arial" w:cs="Arial" w:eastAsia="Arial" w:hAnsi="Arial"/>
                <w:sz w:val="16"/>
                <w:szCs w:val="16"/>
                <w:color w:val="auto"/>
              </w:rPr>
              <w:t>/S/ 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Chairman</w:t>
            </w: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LINDEN R. EVANS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Linden R. Evans, President</w:t>
            </w:r>
          </w:p>
        </w:tc>
        <w:tc>
          <w:tcPr>
            <w:tcW w:w="1980" w:type="dxa"/>
            <w:vAlign w:val="bottom"/>
          </w:tcPr>
          <w:p>
            <w:pPr>
              <w:ind w:left="100"/>
              <w:spacing w:after="0"/>
              <w:rPr>
                <w:sz w:val="20"/>
                <w:szCs w:val="20"/>
                <w:color w:val="auto"/>
              </w:rPr>
            </w:pPr>
            <w:r>
              <w:rPr>
                <w:rFonts w:ascii="Arial" w:cs="Arial" w:eastAsia="Arial" w:hAnsi="Arial"/>
                <w:sz w:val="16"/>
                <w:szCs w:val="16"/>
                <w:color w:val="auto"/>
                <w:w w:val="99"/>
              </w:rPr>
              <w:t>Principal Executive Officer</w:t>
            </w:r>
          </w:p>
        </w:tc>
      </w:tr>
      <w:tr>
        <w:trPr>
          <w:trHeight w:val="297"/>
        </w:trPr>
        <w:tc>
          <w:tcPr>
            <w:tcW w:w="4540" w:type="dxa"/>
            <w:vAlign w:val="bottom"/>
          </w:tcPr>
          <w:p>
            <w:pPr>
              <w:ind w:left="120"/>
              <w:spacing w:after="0"/>
              <w:rPr>
                <w:sz w:val="20"/>
                <w:szCs w:val="20"/>
                <w:color w:val="auto"/>
              </w:rPr>
            </w:pPr>
            <w:r>
              <w:rPr>
                <w:rFonts w:ascii="Arial" w:cs="Arial" w:eastAsia="Arial" w:hAnsi="Arial"/>
                <w:sz w:val="16"/>
                <w:szCs w:val="16"/>
                <w:color w:val="auto"/>
              </w:rPr>
              <w:t>and Chief Executive Officer</w:t>
            </w:r>
          </w:p>
        </w:tc>
        <w:tc>
          <w:tcPr>
            <w:tcW w:w="1980" w:type="dxa"/>
            <w:vAlign w:val="bottom"/>
          </w:tcPr>
          <w:p>
            <w:pPr>
              <w:spacing w:after="0"/>
              <w:rPr>
                <w:sz w:val="24"/>
                <w:szCs w:val="24"/>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RICHARD W. KINZLEY</w:t>
            </w:r>
          </w:p>
        </w:tc>
        <w:tc>
          <w:tcPr>
            <w:tcW w:w="1980" w:type="dxa"/>
            <w:vAlign w:val="bottom"/>
          </w:tcPr>
          <w:p>
            <w:pPr>
              <w:ind w:left="100"/>
              <w:spacing w:after="0"/>
              <w:rPr>
                <w:sz w:val="20"/>
                <w:szCs w:val="20"/>
                <w:color w:val="auto"/>
              </w:rPr>
            </w:pPr>
            <w:r>
              <w:rPr>
                <w:rFonts w:ascii="Arial" w:cs="Arial" w:eastAsia="Arial" w:hAnsi="Arial"/>
                <w:sz w:val="16"/>
                <w:szCs w:val="16"/>
                <w:color w:val="auto"/>
              </w:rPr>
              <w:t>Principal Financial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Richard W. Kinzley, Senior Vice President</w:t>
            </w:r>
          </w:p>
        </w:tc>
        <w:tc>
          <w:tcPr>
            <w:tcW w:w="1980" w:type="dxa"/>
            <w:vAlign w:val="bottom"/>
          </w:tcPr>
          <w:p>
            <w:pPr>
              <w:ind w:left="100"/>
              <w:spacing w:after="0"/>
              <w:rPr>
                <w:sz w:val="20"/>
                <w:szCs w:val="20"/>
                <w:color w:val="auto"/>
              </w:rPr>
            </w:pPr>
            <w:r>
              <w:rPr>
                <w:rFonts w:ascii="Arial" w:cs="Arial" w:eastAsia="Arial" w:hAnsi="Arial"/>
                <w:sz w:val="16"/>
                <w:szCs w:val="16"/>
                <w:color w:val="auto"/>
              </w:rPr>
              <w:t>Accounting Officer</w:t>
            </w:r>
          </w:p>
        </w:tc>
      </w:tr>
      <w:tr>
        <w:trPr>
          <w:trHeight w:val="297"/>
        </w:trPr>
        <w:tc>
          <w:tcPr>
            <w:tcW w:w="4540" w:type="dxa"/>
            <w:vAlign w:val="bottom"/>
          </w:tcPr>
          <w:p>
            <w:pPr>
              <w:ind w:left="120"/>
              <w:spacing w:after="0"/>
              <w:rPr>
                <w:sz w:val="20"/>
                <w:szCs w:val="20"/>
                <w:color w:val="auto"/>
              </w:rPr>
            </w:pPr>
            <w:r>
              <w:rPr>
                <w:rFonts w:ascii="Arial" w:cs="Arial" w:eastAsia="Arial" w:hAnsi="Arial"/>
                <w:sz w:val="16"/>
                <w:szCs w:val="16"/>
                <w:color w:val="auto"/>
              </w:rPr>
              <w:t>and Chief Financial Officer</w:t>
            </w:r>
          </w:p>
        </w:tc>
        <w:tc>
          <w:tcPr>
            <w:tcW w:w="1980" w:type="dxa"/>
            <w:vAlign w:val="bottom"/>
          </w:tcPr>
          <w:p>
            <w:pPr>
              <w:spacing w:after="0"/>
              <w:rPr>
                <w:sz w:val="24"/>
                <w:szCs w:val="24"/>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BARRY M. GRANGER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Barry M. Granger</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TONY A. JENSEN</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Tony A. Jensen</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KATHLEEN S. MCALLISTER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4540" w:type="dxa"/>
            <w:vAlign w:val="bottom"/>
          </w:tcPr>
          <w:p>
            <w:pPr>
              <w:ind w:left="120"/>
              <w:spacing w:after="0"/>
              <w:rPr>
                <w:sz w:val="20"/>
                <w:szCs w:val="20"/>
                <w:color w:val="auto"/>
              </w:rPr>
            </w:pPr>
            <w:r>
              <w:rPr>
                <w:rFonts w:ascii="Arial" w:cs="Arial" w:eastAsia="Arial" w:hAnsi="Arial"/>
                <w:sz w:val="16"/>
                <w:szCs w:val="16"/>
                <w:color w:val="auto"/>
              </w:rPr>
              <w:t>Kathleen S. McAllister</w:t>
            </w:r>
          </w:p>
        </w:tc>
        <w:tc>
          <w:tcPr>
            <w:tcW w:w="1980" w:type="dxa"/>
            <w:vAlign w:val="bottom"/>
          </w:tcPr>
          <w:p>
            <w:pPr>
              <w:spacing w:after="0"/>
              <w:rPr>
                <w:sz w:val="22"/>
                <w:szCs w:val="22"/>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ROBERT P. OTTO</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Robert P. Otto</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SCOTT M. PROCHAZKA</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Scott M. Prochazka</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REBECCA B. ROBERTS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Rebecca B. Roberts</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MARK A. SCHOBER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Mark A. Schober</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TERESA A. TAYLOR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Teresa A. Taylor</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500" w:lineRule="exact"/>
        <w:rPr>
          <w:sz w:val="20"/>
          <w:szCs w:val="20"/>
          <w:color w:val="auto"/>
        </w:rPr>
      </w:pPr>
    </w:p>
    <w:p>
      <w:pPr>
        <w:sectPr>
          <w:pgSz w:w="11900" w:h="16838" w:orient="portrait"/>
          <w:cols w:equalWidth="0" w:num="2">
            <w:col w:w="7740" w:space="720"/>
            <w:col w:w="2720"/>
          </w:cols>
          <w:pgMar w:left="320" w:top="125" w:right="399" w:bottom="1440" w:gutter="0" w:footer="0" w:header="0"/>
          <w:type w:val="continuous"/>
        </w:sect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color w:val="993300"/>
        </w:rPr>
        <w:t>B</w:t>
      </w:r>
      <w:r>
        <w:rPr>
          <w:rFonts w:ascii="Times New Roman" w:cs="Times New Roman" w:eastAsia="Times New Roman" w:hAnsi="Times New Roman"/>
          <w:sz w:val="22"/>
          <w:szCs w:val="22"/>
          <w:color w:val="993300"/>
        </w:rPr>
        <w:t>lack</w:t>
      </w:r>
      <w:r>
        <w:rPr>
          <w:rFonts w:ascii="Times New Roman" w:cs="Times New Roman" w:eastAsia="Times New Roman" w:hAnsi="Times New Roman"/>
          <w:sz w:val="32"/>
          <w:szCs w:val="32"/>
          <w:color w:val="993300"/>
        </w:rPr>
        <w:t xml:space="preserve"> H</w:t>
      </w:r>
      <w:r>
        <w:rPr>
          <w:rFonts w:ascii="Times New Roman" w:cs="Times New Roman" w:eastAsia="Times New Roman" w:hAnsi="Times New Roman"/>
          <w:sz w:val="22"/>
          <w:szCs w:val="22"/>
          <w:color w:val="993300"/>
        </w:rPr>
        <w:t>ills</w:t>
      </w:r>
      <w:r>
        <w:rPr>
          <w:rFonts w:ascii="Times New Roman" w:cs="Times New Roman" w:eastAsia="Times New Roman" w:hAnsi="Times New Roman"/>
          <w:sz w:val="32"/>
          <w:szCs w:val="32"/>
          <w:color w:val="993300"/>
        </w:rPr>
        <w:t xml:space="preserve"> C</w:t>
      </w:r>
      <w:r>
        <w:rPr>
          <w:rFonts w:ascii="Times New Roman" w:cs="Times New Roman" w:eastAsia="Times New Roman" w:hAnsi="Times New Roman"/>
          <w:sz w:val="22"/>
          <w:szCs w:val="22"/>
          <w:color w:val="993300"/>
        </w:rPr>
        <w:t>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993300"/>
        </w:rPr>
        <w:t>A</w:t>
      </w:r>
      <w:r>
        <w:rPr>
          <w:rFonts w:ascii="Times New Roman" w:cs="Times New Roman" w:eastAsia="Times New Roman" w:hAnsi="Times New Roman"/>
          <w:sz w:val="22"/>
          <w:szCs w:val="22"/>
          <w:color w:val="993300"/>
        </w:rPr>
        <w:t>mended</w:t>
      </w:r>
      <w:r>
        <w:rPr>
          <w:rFonts w:ascii="Times New Roman" w:cs="Times New Roman" w:eastAsia="Times New Roman" w:hAnsi="Times New Roman"/>
          <w:sz w:val="32"/>
          <w:szCs w:val="32"/>
          <w:color w:val="993300"/>
        </w:rPr>
        <w:t xml:space="preserve"> &amp; R</w:t>
      </w:r>
      <w:r>
        <w:rPr>
          <w:rFonts w:ascii="Times New Roman" w:cs="Times New Roman" w:eastAsia="Times New Roman" w:hAnsi="Times New Roman"/>
          <w:sz w:val="22"/>
          <w:szCs w:val="22"/>
          <w:color w:val="993300"/>
        </w:rPr>
        <w:t>estated</w:t>
      </w:r>
      <w:r>
        <w:rPr>
          <w:rFonts w:ascii="Times New Roman" w:cs="Times New Roman" w:eastAsia="Times New Roman" w:hAnsi="Times New Roman"/>
          <w:sz w:val="32"/>
          <w:szCs w:val="32"/>
          <w:color w:val="993300"/>
        </w:rPr>
        <w:t xml:space="preserve"> P</w:t>
      </w:r>
      <w:r>
        <w:rPr>
          <w:rFonts w:ascii="Times New Roman" w:cs="Times New Roman" w:eastAsia="Times New Roman" w:hAnsi="Times New Roman"/>
          <w:sz w:val="22"/>
          <w:szCs w:val="22"/>
          <w:color w:val="993300"/>
        </w:rPr>
        <w:t>ost</w:t>
      </w:r>
      <w:r>
        <w:rPr>
          <w:rFonts w:ascii="Times New Roman" w:cs="Times New Roman" w:eastAsia="Times New Roman" w:hAnsi="Times New Roman"/>
          <w:sz w:val="32"/>
          <w:szCs w:val="32"/>
          <w:color w:val="993300"/>
        </w:rPr>
        <w:t>-2018 N</w:t>
      </w:r>
      <w:r>
        <w:rPr>
          <w:rFonts w:ascii="Times New Roman" w:cs="Times New Roman" w:eastAsia="Times New Roman" w:hAnsi="Times New Roman"/>
          <w:sz w:val="22"/>
          <w:szCs w:val="22"/>
          <w:color w:val="993300"/>
        </w:rPr>
        <w:t>onqualified</w:t>
      </w:r>
      <w:r>
        <w:rPr>
          <w:rFonts w:ascii="Times New Roman" w:cs="Times New Roman" w:eastAsia="Times New Roman" w:hAnsi="Times New Roman"/>
          <w:sz w:val="32"/>
          <w:szCs w:val="32"/>
          <w:color w:val="993300"/>
        </w:rPr>
        <w:t xml:space="preserve"> D</w:t>
      </w:r>
      <w:r>
        <w:rPr>
          <w:rFonts w:ascii="Times New Roman" w:cs="Times New Roman" w:eastAsia="Times New Roman" w:hAnsi="Times New Roman"/>
          <w:sz w:val="22"/>
          <w:szCs w:val="22"/>
          <w:color w:val="993300"/>
        </w:rPr>
        <w:t>eferred</w:t>
      </w:r>
      <w:r>
        <w:rPr>
          <w:rFonts w:ascii="Times New Roman" w:cs="Times New Roman" w:eastAsia="Times New Roman" w:hAnsi="Times New Roman"/>
          <w:sz w:val="32"/>
          <w:szCs w:val="32"/>
          <w:color w:val="993300"/>
        </w:rPr>
        <w:t xml:space="preserve"> C</w:t>
      </w:r>
      <w:r>
        <w:rPr>
          <w:rFonts w:ascii="Times New Roman" w:cs="Times New Roman" w:eastAsia="Times New Roman" w:hAnsi="Times New Roman"/>
          <w:sz w:val="22"/>
          <w:szCs w:val="22"/>
          <w:color w:val="993300"/>
        </w:rPr>
        <w:t>ompensation</w:t>
      </w:r>
      <w:r>
        <w:rPr>
          <w:rFonts w:ascii="Times New Roman" w:cs="Times New Roman" w:eastAsia="Times New Roman" w:hAnsi="Times New Roman"/>
          <w:sz w:val="32"/>
          <w:szCs w:val="32"/>
          <w:color w:val="993300"/>
        </w:rPr>
        <w:t xml:space="preserve"> P</w:t>
      </w:r>
      <w:r>
        <w:rPr>
          <w:rFonts w:ascii="Times New Roman" w:cs="Times New Roman" w:eastAsia="Times New Roman" w:hAnsi="Times New Roman"/>
          <w:sz w:val="22"/>
          <w:szCs w:val="22"/>
          <w:color w:val="993300"/>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January 1,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5392AC"/>
        </w:rPr>
        <w:t xml:space="preserve">Content Copyright ©2018 Newport Group, Inc. </w:t>
      </w:r>
      <w:r>
        <w:rPr>
          <w:rFonts w:ascii="Arial" w:cs="Arial" w:eastAsia="Arial" w:hAnsi="Arial"/>
          <w:sz w:val="14"/>
          <w:szCs w:val="14"/>
          <w:i w:val="1"/>
          <w:iCs w:val="1"/>
          <w:color w:val="5392AC"/>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Establishment and Purpose</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w:t>
            </w:r>
          </w:p>
        </w:tc>
      </w:tr>
      <w:tr>
        <w:trPr>
          <w:trHeight w:val="501"/>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II</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Definitions   1</w:t>
            </w:r>
          </w:p>
        </w:tc>
        <w:tc>
          <w:tcPr>
            <w:tcW w:w="300" w:type="dxa"/>
            <w:vAlign w:val="bottom"/>
          </w:tcPr>
          <w:p>
            <w:pPr>
              <w:spacing w:after="0"/>
              <w:rPr>
                <w:sz w:val="24"/>
                <w:szCs w:val="24"/>
                <w:color w:val="auto"/>
              </w:rPr>
            </w:pPr>
          </w:p>
        </w:tc>
      </w:tr>
      <w:tr>
        <w:trPr>
          <w:trHeight w:val="501"/>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III</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Eligibility and Participation</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w:t>
            </w:r>
          </w:p>
        </w:tc>
      </w:tr>
      <w:tr>
        <w:trPr>
          <w:trHeight w:val="501"/>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IV</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Deferrals 10</w:t>
            </w:r>
          </w:p>
        </w:tc>
        <w:tc>
          <w:tcPr>
            <w:tcW w:w="300" w:type="dxa"/>
            <w:vAlign w:val="bottom"/>
          </w:tcPr>
          <w:p>
            <w:pPr>
              <w:spacing w:after="0"/>
              <w:rPr>
                <w:sz w:val="24"/>
                <w:szCs w:val="24"/>
                <w:color w:val="auto"/>
              </w:rPr>
            </w:pPr>
          </w:p>
        </w:tc>
      </w:tr>
      <w:tr>
        <w:trPr>
          <w:trHeight w:val="501"/>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Company Contributions 14</w:t>
            </w:r>
          </w:p>
        </w:tc>
        <w:tc>
          <w:tcPr>
            <w:tcW w:w="300" w:type="dxa"/>
            <w:vAlign w:val="bottom"/>
          </w:tcPr>
          <w:p>
            <w:pPr>
              <w:spacing w:after="0"/>
              <w:rPr>
                <w:sz w:val="24"/>
                <w:szCs w:val="24"/>
                <w:color w:val="auto"/>
              </w:rPr>
            </w:pPr>
          </w:p>
        </w:tc>
      </w:tr>
      <w:tr>
        <w:trPr>
          <w:trHeight w:val="501"/>
        </w:trPr>
        <w:tc>
          <w:tcPr>
            <w:tcW w:w="2940" w:type="dxa"/>
            <w:vAlign w:val="bottom"/>
          </w:tcPr>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w:t>
            </w:r>
          </w:p>
        </w:tc>
        <w:tc>
          <w:tcPr>
            <w:tcW w:w="300" w:type="dxa"/>
            <w:vAlign w:val="bottom"/>
          </w:tcPr>
          <w:p>
            <w:pPr>
              <w:spacing w:after="0"/>
              <w:rPr>
                <w:sz w:val="24"/>
                <w:szCs w:val="24"/>
                <w:color w:val="auto"/>
              </w:rPr>
            </w:pPr>
          </w:p>
        </w:tc>
      </w:tr>
      <w:tr>
        <w:trPr>
          <w:trHeight w:val="282"/>
        </w:trPr>
        <w:tc>
          <w:tcPr>
            <w:tcW w:w="29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Payments from Accounts</w:t>
            </w:r>
          </w:p>
        </w:tc>
        <w:tc>
          <w:tcPr>
            <w:tcW w:w="3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81"/>
              </w:rPr>
              <w:t>15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VII</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Valuation of Account Balances; Investments 18</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VIII</w:t>
      </w:r>
    </w:p>
    <w:p>
      <w:pPr>
        <w:spacing w:after="0" w:line="35" w:lineRule="exact"/>
        <w:rPr>
          <w:sz w:val="20"/>
          <w:szCs w:val="20"/>
          <w:color w:val="auto"/>
        </w:rPr>
      </w:pPr>
    </w:p>
    <w:p>
      <w:pPr>
        <w:ind w:left="440"/>
        <w:spacing w:after="0"/>
        <w:tabs>
          <w:tab w:leader="none" w:pos="2140" w:val="left"/>
        </w:tabs>
        <w:rPr>
          <w:sz w:val="20"/>
          <w:szCs w:val="20"/>
          <w:color w:val="auto"/>
        </w:rPr>
      </w:pPr>
      <w:r>
        <w:rPr>
          <w:rFonts w:ascii="Times New Roman" w:cs="Times New Roman" w:eastAsia="Times New Roman" w:hAnsi="Times New Roman"/>
          <w:sz w:val="22"/>
          <w:szCs w:val="22"/>
          <w:color w:val="auto"/>
        </w:rPr>
        <w:t>Administration</w:t>
      </w:r>
      <w:r>
        <w:rPr>
          <w:sz w:val="20"/>
          <w:szCs w:val="20"/>
          <w:color w:val="auto"/>
        </w:rPr>
        <w:tab/>
      </w:r>
      <w:r>
        <w:rPr>
          <w:rFonts w:ascii="Times New Roman" w:cs="Times New Roman" w:eastAsia="Times New Roman" w:hAnsi="Times New Roman"/>
          <w:sz w:val="22"/>
          <w:szCs w:val="22"/>
          <w:color w:val="auto"/>
        </w:rPr>
        <w:t>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IX</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Amendment and Termination 20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w:t>
      </w:r>
    </w:p>
    <w:p>
      <w:pPr>
        <w:spacing w:after="0" w:line="35" w:lineRule="exact"/>
        <w:rPr>
          <w:sz w:val="20"/>
          <w:szCs w:val="20"/>
          <w:color w:val="auto"/>
        </w:rPr>
      </w:pPr>
    </w:p>
    <w:p>
      <w:pPr>
        <w:ind w:left="440"/>
        <w:spacing w:after="0"/>
        <w:tabs>
          <w:tab w:leader="none" w:pos="2140" w:val="left"/>
        </w:tabs>
        <w:rPr>
          <w:sz w:val="20"/>
          <w:szCs w:val="20"/>
          <w:color w:val="auto"/>
        </w:rPr>
      </w:pPr>
      <w:r>
        <w:rPr>
          <w:rFonts w:ascii="Times New Roman" w:cs="Times New Roman" w:eastAsia="Times New Roman" w:hAnsi="Times New Roman"/>
          <w:sz w:val="22"/>
          <w:szCs w:val="22"/>
          <w:color w:val="auto"/>
        </w:rPr>
        <w:t>Informal Funding</w:t>
        <w:tab/>
        <w:t>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XI</w:t>
      </w:r>
    </w:p>
    <w:p>
      <w:pPr>
        <w:spacing w:after="0" w:line="35"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22"/>
          <w:szCs w:val="22"/>
          <w:color w:val="auto"/>
        </w:rPr>
        <w:t>Claims</w:t>
        <w:tab/>
        <w:t>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XII</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General Provisions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98" w:right="1159" w:bottom="1440" w:gutter="0" w:footer="0" w:header="0"/>
        </w:sectPr>
      </w:pPr>
    </w:p>
    <w:bookmarkStart w:id="116" w:name="page117"/>
    <w:bookmarkEnd w:id="116"/>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Establishment and Purpose</w:t>
      </w:r>
    </w:p>
    <w:p>
      <w:pPr>
        <w:spacing w:after="0" w:line="74"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1"/>
          <w:szCs w:val="21"/>
          <w:color w:val="auto"/>
        </w:rPr>
        <w:t>Black Hills Corporation (the “Company”) has adopted the Black Hills Corporation Post-2018 Nonqualified Deferred Compensation Plan, applicable to Compensation deferred under Compensation Deferral Agreements submitted hereunder for Plan Years beginning on and after the Effective Date and Company Contributions credited on or after the Effective Date. The Plan is amended and restated as set forth herein, effective as of January 1, 2023 and such other dates as provided herein.</w:t>
      </w:r>
    </w:p>
    <w:p>
      <w:pPr>
        <w:spacing w:after="0" w:line="18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purpose of the Plan is to attract and retain key employees by providing them with an opportunity to defer receipt of a portion of their salary, bonus,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20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Plan constitutes an unsecured promise by a Participating Employer to pay benefits in the future. Participants in the Plan shall have the status of general unsecured creditors of the Company or the Participating Employer, as applicable. Each Participating Employer shall be solely responsible for payment of the benefits attributable to services performed for it. The Plan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Company or a Participating Employer will remain the general assets of the Company or the Participating Employer and shall remain subject to the claims of the Company’s or the Participating Employer's creditors until such amounts are distributed to the Participants.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Definitions</w:t>
      </w:r>
    </w:p>
    <w:p>
      <w:pPr>
        <w:spacing w:after="0" w:line="74" w:lineRule="exact"/>
        <w:rPr>
          <w:sz w:val="20"/>
          <w:szCs w:val="20"/>
          <w:color w:val="auto"/>
        </w:rPr>
      </w:pPr>
    </w:p>
    <w:p>
      <w:pPr>
        <w:ind w:left="760" w:hanging="748"/>
        <w:spacing w:after="0" w:line="246"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xml:space="preserve"> Account means a bookkeeping account maintained by the Committee to record the payment obligation of a Participating Employer to a Participant as determined under the terms of the Plan. The Committee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 and 401(a)(1) of ERISA.</w:t>
      </w:r>
    </w:p>
    <w:p>
      <w:pPr>
        <w:spacing w:after="0" w:line="209" w:lineRule="exact"/>
        <w:rPr>
          <w:sz w:val="20"/>
          <w:szCs w:val="20"/>
          <w:color w:val="auto"/>
        </w:rPr>
      </w:pPr>
    </w:p>
    <w:p>
      <w:pPr>
        <w:ind w:left="760" w:right="140" w:hanging="748"/>
        <w:spacing w:after="0" w:line="25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Account Balance.</w:t>
      </w:r>
      <w:r>
        <w:rPr>
          <w:rFonts w:ascii="Times New Roman" w:cs="Times New Roman" w:eastAsia="Times New Roman" w:hAnsi="Times New Roman"/>
          <w:sz w:val="22"/>
          <w:szCs w:val="22"/>
          <w:color w:val="auto"/>
        </w:rPr>
        <w:t xml:space="preserve"> Account Balance means, with respect to any Account, the total payment obligation owed to a Participant from such Account as of the most recent Valuation Date.</w:t>
      </w:r>
    </w:p>
    <w:p>
      <w:pPr>
        <w:spacing w:after="0" w:line="185" w:lineRule="exact"/>
        <w:rPr>
          <w:sz w:val="20"/>
          <w:szCs w:val="20"/>
          <w:color w:val="auto"/>
        </w:rPr>
      </w:pPr>
    </w:p>
    <w:p>
      <w:pPr>
        <w:ind w:left="760" w:right="300" w:hanging="748"/>
        <w:spacing w:after="0" w:line="25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Affiliate means a corporation, trade or business that, together with the Company, is treated as a single employer under Code Section 414(b) or (c).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17" w:name="page118"/>
    <w:bookmarkEnd w:id="117"/>
    <w:p>
      <w:pPr>
        <w:ind w:right="78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200" w:hanging="748"/>
        <w:spacing w:after="0" w:line="258"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Beneficial Owner or Beneficial Ownership</w:t>
      </w:r>
      <w:r>
        <w:rPr>
          <w:rFonts w:ascii="Times New Roman" w:cs="Times New Roman" w:eastAsia="Times New Roman" w:hAnsi="Times New Roman"/>
          <w:sz w:val="22"/>
          <w:szCs w:val="22"/>
          <w:color w:val="auto"/>
        </w:rPr>
        <w:t>. Beneficial Owner or Beneficial Ownership shall have the meaning ascribed to such term in Rule 13d-3 of the General Rules and Regulations under the Exchange Act.</w:t>
      </w:r>
    </w:p>
    <w:p>
      <w:pPr>
        <w:spacing w:after="0" w:line="185" w:lineRule="exact"/>
        <w:rPr>
          <w:sz w:val="20"/>
          <w:szCs w:val="20"/>
          <w:color w:val="auto"/>
        </w:rPr>
      </w:pPr>
    </w:p>
    <w:p>
      <w:pPr>
        <w:ind w:left="760" w:right="180" w:hanging="748"/>
        <w:spacing w:after="0" w:line="25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xml:space="preserve"> Beneficiary means a natural person, estate, or trust designated by a Participant in accordance with Section 6.4 hereof to receive payments to which a Beneficiary is entitled in accordance with provisions of the Plan.</w:t>
      </w:r>
    </w:p>
    <w:p>
      <w:pPr>
        <w:spacing w:after="0" w:line="185" w:lineRule="exact"/>
        <w:rPr>
          <w:sz w:val="20"/>
          <w:szCs w:val="20"/>
          <w:color w:val="auto"/>
        </w:rPr>
      </w:pPr>
    </w:p>
    <w:p>
      <w:pPr>
        <w:ind w:left="760" w:right="360" w:hanging="748"/>
        <w:spacing w:after="0" w:line="282"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Board of Directors (“the Board”) means, for a Participating Employer organized as a corporation, its board of directors and for a Participating Employer organized as a limited liability company, its board of managers.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Business Day means each day on which the New York Stock Exchange is open for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Change in Control means any of the following events:</w:t>
      </w:r>
    </w:p>
    <w:p>
      <w:pPr>
        <w:spacing w:after="0" w:line="233" w:lineRule="exact"/>
        <w:rPr>
          <w:sz w:val="20"/>
          <w:szCs w:val="20"/>
          <w:color w:val="auto"/>
        </w:rPr>
      </w:pPr>
    </w:p>
    <w:p>
      <w:pPr>
        <w:ind w:left="1500" w:right="80" w:hanging="690"/>
        <w:spacing w:after="0" w:line="249" w:lineRule="auto"/>
        <w:tabs>
          <w:tab w:leader="none" w:pos="123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Plan, the following acquisitions will not constitute a Change in Control: (i) any acquisition by the Company; (ii) any acquisition of common stock of the Company by an underwriter holding securities of the Company in connection with a public offering thereof; and (iii) any acquisition by any Person pursuant to a transaction which complies with subsections (c)(i), (ii) and (iii) below;</w:t>
      </w:r>
    </w:p>
    <w:p>
      <w:pPr>
        <w:spacing w:after="0" w:line="197" w:lineRule="exact"/>
        <w:rPr>
          <w:rFonts w:ascii="Times New Roman" w:cs="Times New Roman" w:eastAsia="Times New Roman" w:hAnsi="Times New Roman"/>
          <w:sz w:val="21"/>
          <w:szCs w:val="21"/>
          <w:color w:val="auto"/>
        </w:rPr>
      </w:pPr>
    </w:p>
    <w:p>
      <w:pPr>
        <w:ind w:left="1500" w:right="20" w:hanging="690"/>
        <w:spacing w:after="0" w:line="234" w:lineRule="auto"/>
        <w:tabs>
          <w:tab w:leader="none" w:pos="123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January 1, 2023, are members of the Board of Directors of the Company (the “Incumbent Board”), cease for any reason to constitute at least a majority of the members of the Board of Directors of the Company;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of Directors of the Company (a “Proxy Contest”) including by reason of any agreement intended to avoid or settle any actual or threatened proxy contest;</w:t>
      </w:r>
    </w:p>
    <w:p>
      <w:pPr>
        <w:spacing w:after="0" w:line="206" w:lineRule="exact"/>
        <w:rPr>
          <w:rFonts w:ascii="Times New Roman" w:cs="Times New Roman" w:eastAsia="Times New Roman" w:hAnsi="Times New Roman"/>
          <w:sz w:val="22"/>
          <w:szCs w:val="22"/>
          <w:color w:val="auto"/>
        </w:rPr>
      </w:pPr>
    </w:p>
    <w:p>
      <w:pPr>
        <w:ind w:left="1500" w:hanging="690"/>
        <w:spacing w:after="0" w:line="236" w:lineRule="auto"/>
        <w:tabs>
          <w:tab w:leader="none" w:pos="123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sectPr>
      </w:pPr>
    </w:p>
    <w:bookmarkStart w:id="118" w:name="page119"/>
    <w:bookmarkEnd w:id="118"/>
    <w:p>
      <w:pPr>
        <w:ind w:right="76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spacing w:after="0" w:line="245" w:lineRule="auto"/>
        <w:rPr>
          <w:sz w:val="20"/>
          <w:szCs w:val="20"/>
          <w:color w:val="auto"/>
        </w:rPr>
      </w:pPr>
      <w:r>
        <w:rPr>
          <w:rFonts w:ascii="Times New Roman" w:cs="Times New Roman" w:eastAsia="Times New Roman" w:hAnsi="Times New Roman"/>
          <w:sz w:val="21"/>
          <w:szCs w:val="21"/>
          <w:color w:val="auto"/>
        </w:rPr>
        <w:t>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1" w:lineRule="exact"/>
        <w:rPr>
          <w:sz w:val="20"/>
          <w:szCs w:val="20"/>
          <w:color w:val="auto"/>
        </w:rPr>
      </w:pPr>
    </w:p>
    <w:p>
      <w:pPr>
        <w:ind w:left="1500" w:right="380" w:hanging="690"/>
        <w:spacing w:after="0" w:line="258" w:lineRule="auto"/>
        <w:tabs>
          <w:tab w:leader="none" w:pos="12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of a complete liquidation or dissolution of the Company, except pursuant to a Business Combination that complies with subsections (c)(i), (ii), and (iii) above.</w:t>
      </w:r>
    </w:p>
    <w:p>
      <w:pPr>
        <w:spacing w:after="0" w:line="185" w:lineRule="exact"/>
        <w:rPr>
          <w:rFonts w:ascii="Times New Roman" w:cs="Times New Roman" w:eastAsia="Times New Roman" w:hAnsi="Times New Roman"/>
          <w:sz w:val="22"/>
          <w:szCs w:val="22"/>
          <w:color w:val="auto"/>
        </w:rPr>
      </w:pPr>
    </w:p>
    <w:p>
      <w:pPr>
        <w:ind w:left="1500" w:right="220" w:hanging="690"/>
        <w:spacing w:after="0" w:line="234" w:lineRule="auto"/>
        <w:tabs>
          <w:tab w:leader="none" w:pos="12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solely because any Person (the “Subject Person”)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210" w:lineRule="exact"/>
        <w:rPr>
          <w:rFonts w:ascii="Times New Roman" w:cs="Times New Roman" w:eastAsia="Times New Roman" w:hAnsi="Times New Roman"/>
          <w:sz w:val="22"/>
          <w:szCs w:val="22"/>
          <w:color w:val="auto"/>
        </w:rPr>
      </w:pPr>
    </w:p>
    <w:p>
      <w:pPr>
        <w:ind w:left="1500" w:right="60" w:hanging="690"/>
        <w:spacing w:after="0" w:line="244" w:lineRule="auto"/>
        <w:tabs>
          <w:tab w:leader="none" w:pos="12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xml:space="preserve"> Claimant means a Participant or Beneficiary filing a claim under Article XI of this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Code means the Internal Revenue Code of 1986, as amended from time to time.</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 w:right="399" w:bottom="1440" w:gutter="0" w:footer="0" w:header="0"/>
        </w:sectPr>
      </w:pPr>
    </w:p>
    <w:bookmarkStart w:id="119" w:name="page120"/>
    <w:bookmarkEnd w:id="119"/>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120" w:hanging="748"/>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xml:space="preserve"> Code Section 409A means section 409A of the Code, and regulations and other guidance issued by the Treasury Department and Internal Revenue Service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Committee means the committee appointed by the Company’s Board of Directors to administer the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Company means Black Hills Corporation.</w:t>
      </w:r>
    </w:p>
    <w:p>
      <w:pPr>
        <w:spacing w:after="0" w:line="233" w:lineRule="exact"/>
        <w:rPr>
          <w:sz w:val="20"/>
          <w:szCs w:val="20"/>
          <w:color w:val="auto"/>
        </w:rPr>
      </w:pPr>
    </w:p>
    <w:p>
      <w:pPr>
        <w:ind w:left="760" w:right="240" w:hanging="748"/>
        <w:spacing w:after="0" w:line="238"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Company Contribution.</w:t>
      </w:r>
      <w:r>
        <w:rPr>
          <w:rFonts w:ascii="Times New Roman" w:cs="Times New Roman" w:eastAsia="Times New Roman" w:hAnsi="Times New Roman"/>
          <w:sz w:val="22"/>
          <w:szCs w:val="22"/>
          <w:color w:val="auto"/>
        </w:rPr>
        <w:t xml:space="preserve"> Company Contribution means a credit by a Participating Employer to a Participant’s Retirement Account as an RSP Supplemental Contribution, Supplemental Target Contribution, Supplemental Retirement Contribution, or Supplemental Matching Contribution, as applicable, in accordance with the provisions of Article V of the Plan. Unless the context clearly indicates otherwise, a reference to a Company Contribution shall include Earnings attributable to such contribution.</w:t>
      </w:r>
    </w:p>
    <w:p>
      <w:pPr>
        <w:spacing w:after="0" w:line="204" w:lineRule="exact"/>
        <w:rPr>
          <w:sz w:val="20"/>
          <w:szCs w:val="20"/>
          <w:color w:val="auto"/>
        </w:rPr>
      </w:pPr>
    </w:p>
    <w:p>
      <w:pPr>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Compensation means a Participant’s base salary, the portion of a Participant’s incentive award under the Company’s Short Term Annual Incentive Plan (“STIP”) that is payable in cash, the portion of a Participant’s Performance Share Award that is payable in cash, and such other cash compensation as may be approved by the Committee as Compensation that may be deferred under Section 4.2 of this Plan, excluding any compensation that has been previously deferred under this Plan or any other arrangement subject to Code Section 409A and excluding any compensation that is not U.S. source income. For purposes of Participant deferral elections under Article IV of this Plan, any base salary payable after the last day of a calendar year solely for services performed during the final payroll period described in Section 3401(b) of the Code containing December 31 of such year shall be treated as earned during the subsequent calendar year.</w:t>
      </w:r>
    </w:p>
    <w:p>
      <w:pPr>
        <w:spacing w:after="0" w:line="210" w:lineRule="exact"/>
        <w:rPr>
          <w:sz w:val="20"/>
          <w:szCs w:val="20"/>
          <w:color w:val="auto"/>
        </w:rPr>
      </w:pPr>
    </w:p>
    <w:p>
      <w:pPr>
        <w:ind w:left="760" w:right="20" w:hanging="748"/>
        <w:spacing w:after="0" w:line="239" w:lineRule="auto"/>
        <w:rPr>
          <w:sz w:val="20"/>
          <w:szCs w:val="20"/>
          <w:color w:val="auto"/>
        </w:rPr>
      </w:pPr>
      <w:r>
        <w:rPr>
          <w:rFonts w:ascii="Times New Roman" w:cs="Times New Roman" w:eastAsia="Times New Roman" w:hAnsi="Times New Roman"/>
          <w:sz w:val="22"/>
          <w:szCs w:val="22"/>
          <w:color w:val="auto"/>
        </w:rPr>
        <w:t xml:space="preserve">2.16 </w:t>
      </w:r>
      <w:r>
        <w:rPr>
          <w:rFonts w:ascii="Times New Roman" w:cs="Times New Roman" w:eastAsia="Times New Roman" w:hAnsi="Times New Roman"/>
          <w:sz w:val="22"/>
          <w:szCs w:val="22"/>
          <w:u w:val="single" w:color="auto"/>
          <w:color w:val="auto"/>
        </w:rPr>
        <w:t>Compensation Deferral Agreement.</w:t>
      </w:r>
      <w:r>
        <w:rPr>
          <w:rFonts w:ascii="Times New Roman" w:cs="Times New Roman" w:eastAsia="Times New Roman" w:hAnsi="Times New Roman"/>
          <w:sz w:val="22"/>
          <w:szCs w:val="22"/>
          <w:color w:val="auto"/>
        </w:rPr>
        <w:t xml:space="preserve"> Compensation Deferral Agreement means an agreement between a Participant and a Participating Employer that specifies: (i) the amount of each component of Compensation that the Participant has elected to defer to the Plan in accordance with the provisions of Article IV, and/or (ii) the Payment Schedule applicable to one or more Accounts.</w:t>
      </w:r>
    </w:p>
    <w:p>
      <w:pPr>
        <w:spacing w:after="0" w:line="207" w:lineRule="exact"/>
        <w:rPr>
          <w:sz w:val="20"/>
          <w:szCs w:val="20"/>
          <w:color w:val="auto"/>
        </w:rPr>
      </w:pPr>
    </w:p>
    <w:p>
      <w:pPr>
        <w:ind w:left="760" w:right="120" w:hanging="748"/>
        <w:spacing w:after="0" w:line="261" w:lineRule="auto"/>
        <w:rPr>
          <w:sz w:val="20"/>
          <w:szCs w:val="20"/>
          <w:color w:val="auto"/>
        </w:rPr>
      </w:pPr>
      <w:r>
        <w:rPr>
          <w:rFonts w:ascii="Times New Roman" w:cs="Times New Roman" w:eastAsia="Times New Roman" w:hAnsi="Times New Roman"/>
          <w:sz w:val="21"/>
          <w:szCs w:val="21"/>
          <w:color w:val="auto"/>
        </w:rPr>
        <w:t xml:space="preserve">2.17 </w:t>
      </w:r>
      <w:r>
        <w:rPr>
          <w:rFonts w:ascii="Times New Roman" w:cs="Times New Roman" w:eastAsia="Times New Roman" w:hAnsi="Times New Roman"/>
          <w:sz w:val="21"/>
          <w:szCs w:val="21"/>
          <w:u w:val="single" w:color="auto"/>
          <w:color w:val="auto"/>
        </w:rPr>
        <w:t>Deferral.</w:t>
      </w:r>
      <w:r>
        <w:rPr>
          <w:rFonts w:ascii="Times New Roman" w:cs="Times New Roman" w:eastAsia="Times New Roman" w:hAnsi="Times New Roman"/>
          <w:sz w:val="21"/>
          <w:szCs w:val="21"/>
          <w:color w:val="auto"/>
        </w:rPr>
        <w:t xml:space="preserve"> 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2.18 </w:t>
      </w:r>
      <w:r>
        <w:rPr>
          <w:rFonts w:ascii="Times New Roman" w:cs="Times New Roman" w:eastAsia="Times New Roman" w:hAnsi="Times New Roman"/>
          <w:sz w:val="22"/>
          <w:szCs w:val="22"/>
          <w:u w:val="single" w:color="auto"/>
          <w:color w:val="auto"/>
        </w:rPr>
        <w:t>Earnings.</w:t>
      </w:r>
      <w:r>
        <w:rPr>
          <w:rFonts w:ascii="Times New Roman" w:cs="Times New Roman" w:eastAsia="Times New Roman" w:hAnsi="Times New Roman"/>
          <w:sz w:val="22"/>
          <w:szCs w:val="22"/>
          <w:color w:val="auto"/>
        </w:rPr>
        <w:t xml:space="preserve"> Earnings means an adjustment to the value of an Account in accordance with Article VII.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2.19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Effective Date means January 1, 2019.</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0" w:name="page121"/>
    <w:bookmarkEnd w:id="120"/>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2.20 </w:t>
      </w: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Eligible Employee means an Employee who is selected as such by the Committee pursuant to Section</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2.21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Employee means a common-law employee of an Employer.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xml:space="preserve"> Employer means the Company and each Affiliate.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xml:space="preserve"> ERISA means the Employee Retirement Income Security Act of 1974, as amended from time to time.</w:t>
      </w:r>
    </w:p>
    <w:p>
      <w:pPr>
        <w:spacing w:after="0" w:line="233" w:lineRule="exact"/>
        <w:rPr>
          <w:sz w:val="20"/>
          <w:szCs w:val="20"/>
          <w:color w:val="auto"/>
        </w:rPr>
      </w:pPr>
    </w:p>
    <w:p>
      <w:pPr>
        <w:ind w:left="760" w:right="260" w:hanging="748"/>
        <w:spacing w:after="0" w:line="258" w:lineRule="auto"/>
        <w:rPr>
          <w:sz w:val="20"/>
          <w:szCs w:val="20"/>
          <w:color w:val="auto"/>
        </w:rPr>
      </w:pPr>
      <w:r>
        <w:rPr>
          <w:rFonts w:ascii="Times New Roman" w:cs="Times New Roman" w:eastAsia="Times New Roman" w:hAnsi="Times New Roman"/>
          <w:sz w:val="22"/>
          <w:szCs w:val="22"/>
          <w:color w:val="auto"/>
        </w:rPr>
        <w:t xml:space="preserve">2.24 </w:t>
      </w:r>
      <w:r>
        <w:rPr>
          <w:rFonts w:ascii="Times New Roman" w:cs="Times New Roman" w:eastAsia="Times New Roman" w:hAnsi="Times New Roman"/>
          <w:sz w:val="22"/>
          <w:szCs w:val="22"/>
          <w:u w:val="single" w:color="auto"/>
          <w:color w:val="auto"/>
        </w:rPr>
        <w:t>Excess Compensation</w:t>
      </w:r>
      <w:r>
        <w:rPr>
          <w:rFonts w:ascii="Times New Roman" w:cs="Times New Roman" w:eastAsia="Times New Roman" w:hAnsi="Times New Roman"/>
          <w:sz w:val="22"/>
          <w:szCs w:val="22"/>
          <w:color w:val="auto"/>
        </w:rPr>
        <w:t>. Excess Compensation means the amount by which a Participant’s Total Compensation exceeds the Participant’s “Compensation” (as defined in Article I of the RSP).</w:t>
      </w:r>
    </w:p>
    <w:p>
      <w:pPr>
        <w:spacing w:after="0" w:line="185" w:lineRule="exact"/>
        <w:rPr>
          <w:sz w:val="20"/>
          <w:szCs w:val="20"/>
          <w:color w:val="auto"/>
        </w:rPr>
      </w:pPr>
    </w:p>
    <w:p>
      <w:pPr>
        <w:ind w:left="760" w:right="140" w:hanging="748"/>
        <w:spacing w:after="0" w:line="258" w:lineRule="auto"/>
        <w:rPr>
          <w:sz w:val="20"/>
          <w:szCs w:val="20"/>
          <w:color w:val="auto"/>
        </w:rPr>
      </w:pPr>
      <w:r>
        <w:rPr>
          <w:rFonts w:ascii="Times New Roman" w:cs="Times New Roman" w:eastAsia="Times New Roman" w:hAnsi="Times New Roman"/>
          <w:sz w:val="22"/>
          <w:szCs w:val="22"/>
          <w:color w:val="auto"/>
        </w:rPr>
        <w:t xml:space="preserve">2.25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Exchange Act means the Securities Exchange Act of 1934, as amended from time to time, or any successor act thereto.</w:t>
      </w:r>
    </w:p>
    <w:p>
      <w:pPr>
        <w:spacing w:after="0" w:line="185" w:lineRule="exact"/>
        <w:rPr>
          <w:sz w:val="20"/>
          <w:szCs w:val="20"/>
          <w:color w:val="auto"/>
        </w:rPr>
      </w:pPr>
    </w:p>
    <w:p>
      <w:pPr>
        <w:ind w:left="760" w:right="20" w:hanging="748"/>
        <w:spacing w:after="0" w:line="244" w:lineRule="auto"/>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22"/>
          <w:szCs w:val="22"/>
          <w:u w:val="single" w:color="auto"/>
          <w:color w:val="auto"/>
        </w:rPr>
        <w:t>Flex Account</w:t>
      </w:r>
      <w:r>
        <w:rPr>
          <w:rFonts w:ascii="Times New Roman" w:cs="Times New Roman" w:eastAsia="Times New Roman" w:hAnsi="Times New Roman"/>
          <w:sz w:val="22"/>
          <w:szCs w:val="22"/>
          <w:color w:val="auto"/>
        </w:rPr>
        <w:t>. Flex Account means a Separation Account or Specified Date Account established to record Deferrals credited to the Flex Account under the terms of a Participant’s Compensation Deferral Agreement. Unless the Committee specifies otherwise, a Participant may maintain no more than five (5) Flex Accounts at any one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2.27 </w:t>
      </w:r>
      <w:r>
        <w:rPr>
          <w:rFonts w:ascii="Times New Roman" w:cs="Times New Roman" w:eastAsia="Times New Roman" w:hAnsi="Times New Roman"/>
          <w:sz w:val="22"/>
          <w:szCs w:val="22"/>
          <w:u w:val="single" w:color="auto"/>
          <w:color w:val="auto"/>
        </w:rPr>
        <w:t>Group 1 Participant</w:t>
      </w:r>
      <w:r>
        <w:rPr>
          <w:rFonts w:ascii="Times New Roman" w:cs="Times New Roman" w:eastAsia="Times New Roman" w:hAnsi="Times New Roman"/>
          <w:sz w:val="22"/>
          <w:szCs w:val="22"/>
          <w:color w:val="auto"/>
        </w:rPr>
        <w:t>. Group 1 Participant means a Participant who is listed on Schedule 1.</w:t>
      </w:r>
    </w:p>
    <w:p>
      <w:pPr>
        <w:spacing w:after="0" w:line="233" w:lineRule="exact"/>
        <w:rPr>
          <w:sz w:val="20"/>
          <w:szCs w:val="20"/>
          <w:color w:val="auto"/>
        </w:rPr>
      </w:pPr>
    </w:p>
    <w:p>
      <w:pPr>
        <w:ind w:left="760" w:hanging="748"/>
        <w:spacing w:after="0" w:line="244" w:lineRule="auto"/>
        <w:rPr>
          <w:sz w:val="20"/>
          <w:szCs w:val="20"/>
          <w:color w:val="auto"/>
        </w:rPr>
      </w:pPr>
      <w:r>
        <w:rPr>
          <w:rFonts w:ascii="Times New Roman" w:cs="Times New Roman" w:eastAsia="Times New Roman" w:hAnsi="Times New Roman"/>
          <w:sz w:val="22"/>
          <w:szCs w:val="22"/>
          <w:color w:val="auto"/>
        </w:rPr>
        <w:t xml:space="preserve">2.28 </w:t>
      </w:r>
      <w:r>
        <w:rPr>
          <w:rFonts w:ascii="Times New Roman" w:cs="Times New Roman" w:eastAsia="Times New Roman" w:hAnsi="Times New Roman"/>
          <w:sz w:val="22"/>
          <w:szCs w:val="22"/>
          <w:u w:val="single" w:color="auto"/>
          <w:color w:val="auto"/>
        </w:rPr>
        <w:t>Group 2 Participant</w:t>
      </w:r>
      <w:r>
        <w:rPr>
          <w:rFonts w:ascii="Times New Roman" w:cs="Times New Roman" w:eastAsia="Times New Roman" w:hAnsi="Times New Roman"/>
          <w:sz w:val="22"/>
          <w:szCs w:val="22"/>
          <w:color w:val="auto"/>
        </w:rPr>
        <w:t>. Effective as of July 25, 2022, Group 2 Participant means an Employee of a Participating Employer who is an exempt employee in grade 20 or above and who is serving in a director, general counsel or similar leadership position.</w:t>
      </w:r>
    </w:p>
    <w:p>
      <w:pPr>
        <w:spacing w:after="0" w:line="200" w:lineRule="exact"/>
        <w:rPr>
          <w:sz w:val="20"/>
          <w:szCs w:val="20"/>
          <w:color w:val="auto"/>
        </w:rPr>
      </w:pPr>
    </w:p>
    <w:p>
      <w:pPr>
        <w:ind w:left="760" w:hanging="748"/>
        <w:spacing w:after="0" w:line="239" w:lineRule="auto"/>
        <w:rPr>
          <w:sz w:val="20"/>
          <w:szCs w:val="20"/>
          <w:color w:val="auto"/>
        </w:rPr>
      </w:pPr>
      <w:r>
        <w:rPr>
          <w:rFonts w:ascii="Times New Roman" w:cs="Times New Roman" w:eastAsia="Times New Roman" w:hAnsi="Times New Roman"/>
          <w:sz w:val="22"/>
          <w:szCs w:val="22"/>
          <w:color w:val="auto"/>
        </w:rPr>
        <w:t xml:space="preserve">2.29 </w:t>
      </w:r>
      <w:r>
        <w:rPr>
          <w:rFonts w:ascii="Times New Roman" w:cs="Times New Roman" w:eastAsia="Times New Roman" w:hAnsi="Times New Roman"/>
          <w:sz w:val="22"/>
          <w:szCs w:val="22"/>
          <w:u w:val="single" w:color="auto"/>
          <w:color w:val="auto"/>
        </w:rPr>
        <w:t>Group 3 Participant</w:t>
      </w:r>
      <w:r>
        <w:rPr>
          <w:rFonts w:ascii="Times New Roman" w:cs="Times New Roman" w:eastAsia="Times New Roman" w:hAnsi="Times New Roman"/>
          <w:sz w:val="22"/>
          <w:szCs w:val="22"/>
          <w:color w:val="auto"/>
        </w:rPr>
        <w:t>. Effective as of July 25, 2022, Group 3 Participant means an Employee of a Participating Employer who is an exempt employee in grade 20 or above and who is serving in a director, general counsel or similar leadership position, but excluding any such Employee who is actively accruing a benefit under a pension plan of a Participating Employer.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2.30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Participant means an individual described in Article III.</w:t>
      </w:r>
    </w:p>
    <w:p>
      <w:pPr>
        <w:spacing w:after="0" w:line="233" w:lineRule="exact"/>
        <w:rPr>
          <w:sz w:val="20"/>
          <w:szCs w:val="20"/>
          <w:color w:val="auto"/>
        </w:rPr>
      </w:pPr>
    </w:p>
    <w:p>
      <w:pPr>
        <w:ind w:left="760" w:right="240" w:hanging="748"/>
        <w:spacing w:after="0" w:line="258"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u w:val="single" w:color="auto"/>
          <w:color w:val="auto"/>
        </w:rPr>
        <w:t>Participating Employer.</w:t>
      </w:r>
      <w:r>
        <w:rPr>
          <w:rFonts w:ascii="Times New Roman" w:cs="Times New Roman" w:eastAsia="Times New Roman" w:hAnsi="Times New Roman"/>
          <w:sz w:val="22"/>
          <w:szCs w:val="22"/>
          <w:color w:val="auto"/>
        </w:rPr>
        <w:t xml:space="preserve"> Participating Employer means the Company and each Affiliate who has adopted the Plan with the consent of the Company. Each Participating Employer shall be identified on Schedule A attached hereto.</w:t>
      </w:r>
    </w:p>
    <w:p>
      <w:pPr>
        <w:spacing w:after="0" w:line="185" w:lineRule="exact"/>
        <w:rPr>
          <w:sz w:val="20"/>
          <w:szCs w:val="20"/>
          <w:color w:val="auto"/>
        </w:rPr>
      </w:pPr>
    </w:p>
    <w:p>
      <w:pPr>
        <w:ind w:left="760" w:right="320" w:hanging="748"/>
        <w:spacing w:after="0" w:line="258"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xml:space="preserve"> Payment Schedule means the date as of which payment of an Account under the Plan will commence and the form in which payment of such Account will be made.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1" w:name="page122"/>
    <w:bookmarkEnd w:id="121"/>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140" w:hanging="748"/>
        <w:spacing w:after="0" w:line="235"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xml:space="preserve"> Performance-Based Compensation means Compensation where the amount of, or entitlement to, the Compensation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Performance-Based Compensation shall not include any Compensation payable upon the Participant’s death or disability (as defined in Treas. Section 1.409A-1(e)) without regard to the satisfaction of the performance criteria.</w:t>
      </w:r>
    </w:p>
    <w:p>
      <w:pPr>
        <w:spacing w:after="0" w:line="205" w:lineRule="exact"/>
        <w:rPr>
          <w:sz w:val="20"/>
          <w:szCs w:val="20"/>
          <w:color w:val="auto"/>
        </w:rPr>
      </w:pPr>
    </w:p>
    <w:p>
      <w:pPr>
        <w:jc w:val="center"/>
        <w:ind w:right="200"/>
        <w:spacing w:after="0" w:line="258"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u w:val="single" w:color="auto"/>
          <w:color w:val="auto"/>
        </w:rPr>
        <w:t>Performance Share Award</w:t>
      </w:r>
      <w:r>
        <w:rPr>
          <w:rFonts w:ascii="Times New Roman" w:cs="Times New Roman" w:eastAsia="Times New Roman" w:hAnsi="Times New Roman"/>
          <w:sz w:val="22"/>
          <w:szCs w:val="22"/>
          <w:color w:val="auto"/>
        </w:rPr>
        <w:t>. Performance Share Award means a performance share award granted to a Participant under the Company’s Omnibus Incentive Plan (or any successor shareholder-approved incentive plan of the Company).</w:t>
      </w:r>
    </w:p>
    <w:p>
      <w:pPr>
        <w:spacing w:after="0" w:line="185" w:lineRule="exact"/>
        <w:rPr>
          <w:sz w:val="20"/>
          <w:szCs w:val="20"/>
          <w:color w:val="auto"/>
        </w:rPr>
      </w:pPr>
    </w:p>
    <w:p>
      <w:pPr>
        <w:ind w:left="760" w:right="280" w:hanging="748"/>
        <w:spacing w:after="0" w:line="258"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Person shall have the meaning ascribed to such term in Section 3(a)(9) of the Exchange Act and used in Sections 13(d) and 14(d) thereof, including a “group” as defined in Section 13(d).</w:t>
      </w:r>
    </w:p>
    <w:p>
      <w:pPr>
        <w:spacing w:after="0" w:line="185" w:lineRule="exact"/>
        <w:rPr>
          <w:sz w:val="20"/>
          <w:szCs w:val="20"/>
          <w:color w:val="auto"/>
        </w:rPr>
      </w:pPr>
    </w:p>
    <w:p>
      <w:pPr>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2.36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Plan means “Black Hills Corporation Amended &amp; Restated Post-2018 Nonqualified Deferred Compensation Plan” as documented herein and as may be amended from time to time hereafter. However, to the extent permitted or required under Code Section 409A, the term Plan may in the appropriate context also means a portion of the Plan that is treated as a single plan under Treas. Reg. Section 1.409A-1(c), or the Plan or portion of the Plan and any other nonqualified deferred compensation plan or portion thereof that is treated as a single plan under such section.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2.37 </w:t>
      </w:r>
      <w:r>
        <w:rPr>
          <w:rFonts w:ascii="Times New Roman" w:cs="Times New Roman" w:eastAsia="Times New Roman" w:hAnsi="Times New Roman"/>
          <w:sz w:val="22"/>
          <w:szCs w:val="22"/>
          <w:u w:val="single" w:color="auto"/>
          <w:color w:val="auto"/>
        </w:rPr>
        <w:t>Plan Year.</w:t>
      </w:r>
      <w:r>
        <w:rPr>
          <w:rFonts w:ascii="Times New Roman" w:cs="Times New Roman" w:eastAsia="Times New Roman" w:hAnsi="Times New Roman"/>
          <w:sz w:val="22"/>
          <w:szCs w:val="22"/>
          <w:color w:val="auto"/>
        </w:rPr>
        <w:t xml:space="preserve"> Plan Year means January 1 through December 31.</w:t>
      </w:r>
    </w:p>
    <w:p>
      <w:pPr>
        <w:spacing w:after="0" w:line="233" w:lineRule="exact"/>
        <w:rPr>
          <w:sz w:val="20"/>
          <w:szCs w:val="20"/>
          <w:color w:val="auto"/>
        </w:rPr>
      </w:pPr>
    </w:p>
    <w:p>
      <w:pPr>
        <w:ind w:left="760" w:right="700" w:hanging="748"/>
        <w:spacing w:after="0" w:line="244" w:lineRule="auto"/>
        <w:rPr>
          <w:sz w:val="20"/>
          <w:szCs w:val="20"/>
          <w:color w:val="auto"/>
        </w:rPr>
      </w:pPr>
      <w:r>
        <w:rPr>
          <w:rFonts w:ascii="Times New Roman" w:cs="Times New Roman" w:eastAsia="Times New Roman" w:hAnsi="Times New Roman"/>
          <w:sz w:val="22"/>
          <w:szCs w:val="22"/>
          <w:color w:val="auto"/>
        </w:rPr>
        <w:t xml:space="preserve">2.38 </w:t>
      </w:r>
      <w:r>
        <w:rPr>
          <w:rFonts w:ascii="Times New Roman" w:cs="Times New Roman" w:eastAsia="Times New Roman" w:hAnsi="Times New Roman"/>
          <w:sz w:val="22"/>
          <w:szCs w:val="22"/>
          <w:u w:val="single" w:color="auto"/>
          <w:color w:val="auto"/>
        </w:rPr>
        <w:t>Retirement Account</w:t>
      </w:r>
      <w:r>
        <w:rPr>
          <w:rFonts w:ascii="Times New Roman" w:cs="Times New Roman" w:eastAsia="Times New Roman" w:hAnsi="Times New Roman"/>
          <w:sz w:val="22"/>
          <w:szCs w:val="22"/>
          <w:color w:val="auto"/>
        </w:rPr>
        <w:t>. Retirement Account means an Account established by the Committee to record Company Contributions allocated to the Retirement Account, payable to a Participant following Separation from Service in accordance with Section 6.3.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2.39 </w:t>
      </w:r>
      <w:r>
        <w:rPr>
          <w:rFonts w:ascii="Times New Roman" w:cs="Times New Roman" w:eastAsia="Times New Roman" w:hAnsi="Times New Roman"/>
          <w:sz w:val="22"/>
          <w:szCs w:val="22"/>
          <w:u w:val="single" w:color="auto"/>
          <w:color w:val="auto"/>
        </w:rPr>
        <w:t>RSP</w:t>
      </w:r>
      <w:r>
        <w:rPr>
          <w:rFonts w:ascii="Times New Roman" w:cs="Times New Roman" w:eastAsia="Times New Roman" w:hAnsi="Times New Roman"/>
          <w:sz w:val="22"/>
          <w:szCs w:val="22"/>
          <w:color w:val="auto"/>
        </w:rPr>
        <w:t>. RSP means the Black Hills Corporation 401(k) Retirement Savings Plan, as amended from time to time.</w:t>
      </w:r>
    </w:p>
    <w:p>
      <w:pPr>
        <w:spacing w:after="0" w:line="233" w:lineRule="exact"/>
        <w:rPr>
          <w:sz w:val="20"/>
          <w:szCs w:val="20"/>
          <w:color w:val="auto"/>
        </w:rPr>
      </w:pPr>
    </w:p>
    <w:p>
      <w:pPr>
        <w:jc w:val="both"/>
        <w:ind w:left="760" w:right="180" w:hanging="748"/>
        <w:spacing w:after="0" w:line="244" w:lineRule="auto"/>
        <w:rPr>
          <w:sz w:val="20"/>
          <w:szCs w:val="20"/>
          <w:color w:val="auto"/>
        </w:rPr>
      </w:pPr>
      <w:r>
        <w:rPr>
          <w:rFonts w:ascii="Times New Roman" w:cs="Times New Roman" w:eastAsia="Times New Roman" w:hAnsi="Times New Roman"/>
          <w:sz w:val="22"/>
          <w:szCs w:val="22"/>
          <w:color w:val="auto"/>
        </w:rPr>
        <w:t xml:space="preserve">2.40 </w:t>
      </w:r>
      <w:r>
        <w:rPr>
          <w:rFonts w:ascii="Times New Roman" w:cs="Times New Roman" w:eastAsia="Times New Roman" w:hAnsi="Times New Roman"/>
          <w:sz w:val="22"/>
          <w:szCs w:val="22"/>
          <w:u w:val="single" w:color="auto"/>
          <w:color w:val="auto"/>
        </w:rPr>
        <w:t>RSP Supplemental Contributions</w:t>
      </w:r>
      <w:r>
        <w:rPr>
          <w:rFonts w:ascii="Times New Roman" w:cs="Times New Roman" w:eastAsia="Times New Roman" w:hAnsi="Times New Roman"/>
          <w:sz w:val="22"/>
          <w:szCs w:val="22"/>
          <w:color w:val="auto"/>
        </w:rPr>
        <w:t>. RSP Supplemental Contributions means Company Contributions equal to the amount, if any, of matching contributions that could not be allocated on behalf of a Group 2 Participant under the RSP due to the results of ADP/ACP testing for a calendar year.</w:t>
      </w:r>
    </w:p>
    <w:p>
      <w:pPr>
        <w:spacing w:after="0" w:line="200" w:lineRule="exact"/>
        <w:rPr>
          <w:sz w:val="20"/>
          <w:szCs w:val="20"/>
          <w:color w:val="auto"/>
        </w:rPr>
      </w:pPr>
    </w:p>
    <w:p>
      <w:pPr>
        <w:ind w:left="760" w:right="20" w:hanging="748"/>
        <w:spacing w:after="0" w:line="238"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u w:val="single" w:color="auto"/>
          <w:color w:val="auto"/>
        </w:rPr>
        <w:t>Separation Account</w:t>
      </w:r>
      <w:r>
        <w:rPr>
          <w:rFonts w:ascii="Times New Roman" w:cs="Times New Roman" w:eastAsia="Times New Roman" w:hAnsi="Times New Roman"/>
          <w:sz w:val="22"/>
          <w:szCs w:val="22"/>
          <w:color w:val="auto"/>
        </w:rPr>
        <w:t>. Separation Account means an Account established by the Committee in accordance with a Participant’s Compensation Deferral Agreement to record Deferrals allocated to such Account by the Participant and which are payable upon the Participant’s Separation from Service as set forth in Section 6.3. The Committee may</w:t>
      </w: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2" w:name="page123"/>
    <w:bookmarkEnd w:id="122"/>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500"/>
        <w:spacing w:after="0" w:line="258" w:lineRule="auto"/>
        <w:rPr>
          <w:sz w:val="20"/>
          <w:szCs w:val="20"/>
          <w:color w:val="auto"/>
        </w:rPr>
      </w:pPr>
      <w:r>
        <w:rPr>
          <w:rFonts w:ascii="Times New Roman" w:cs="Times New Roman" w:eastAsia="Times New Roman" w:hAnsi="Times New Roman"/>
          <w:sz w:val="22"/>
          <w:szCs w:val="22"/>
          <w:color w:val="auto"/>
        </w:rPr>
        <w:t>limit the number of Separation Accounts that may be maintained at any one time by a Participant, as set forth in the Plan’s enrollment materials.</w:t>
      </w:r>
    </w:p>
    <w:p>
      <w:pPr>
        <w:spacing w:after="0" w:line="185" w:lineRule="exact"/>
        <w:rPr>
          <w:sz w:val="20"/>
          <w:szCs w:val="20"/>
          <w:color w:val="auto"/>
        </w:rPr>
      </w:pPr>
    </w:p>
    <w:p>
      <w:pPr>
        <w:ind w:left="760" w:right="60" w:hanging="748"/>
        <w:spacing w:after="0" w:line="258" w:lineRule="auto"/>
        <w:rPr>
          <w:sz w:val="20"/>
          <w:szCs w:val="20"/>
          <w:color w:val="auto"/>
        </w:rPr>
      </w:pPr>
      <w:r>
        <w:rPr>
          <w:rFonts w:ascii="Times New Roman" w:cs="Times New Roman" w:eastAsia="Times New Roman" w:hAnsi="Times New Roman"/>
          <w:sz w:val="22"/>
          <w:szCs w:val="22"/>
          <w:color w:val="auto"/>
        </w:rPr>
        <w:t xml:space="preserve">2.42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Separation from Service means an Employee’s termination of employment with the Employer and all Affiliates, in such manner as to constitute a “separation from service” for purposes of Code Section 409A.</w:t>
      </w:r>
    </w:p>
    <w:p>
      <w:pPr>
        <w:spacing w:after="0" w:line="185" w:lineRule="exact"/>
        <w:rPr>
          <w:sz w:val="20"/>
          <w:szCs w:val="20"/>
          <w:color w:val="auto"/>
        </w:rPr>
      </w:pPr>
    </w:p>
    <w:p>
      <w:pPr>
        <w:ind w:left="760" w:right="40"/>
        <w:spacing w:after="0" w:line="239" w:lineRule="auto"/>
        <w:rPr>
          <w:sz w:val="20"/>
          <w:szCs w:val="20"/>
          <w:color w:val="auto"/>
        </w:rPr>
      </w:pPr>
      <w:r>
        <w:rPr>
          <w:rFonts w:ascii="Times New Roman" w:cs="Times New Roman" w:eastAsia="Times New Roman" w:hAnsi="Times New Roman"/>
          <w:sz w:val="22"/>
          <w:szCs w:val="22"/>
          <w:color w:val="auto"/>
        </w:rPr>
        <w:t>An Employee who is absent from work due to military leave, sick leave, or other bona fide leave of absence shall incur a Separation from Service on the first date immediately following the later of: (i) the six month anniversary of the commencement of the leave, or (ii) the expiration of the Employee’s right, if any, to reemployment under statute, policy, or contract.</w:t>
      </w:r>
    </w:p>
    <w:p>
      <w:pPr>
        <w:spacing w:after="0" w:line="207" w:lineRule="exact"/>
        <w:rPr>
          <w:sz w:val="20"/>
          <w:szCs w:val="20"/>
          <w:color w:val="auto"/>
        </w:rPr>
      </w:pPr>
    </w:p>
    <w:p>
      <w:pPr>
        <w:ind w:left="760" w:right="220"/>
        <w:spacing w:after="0" w:line="236" w:lineRule="auto"/>
        <w:rPr>
          <w:sz w:val="20"/>
          <w:szCs w:val="20"/>
          <w:color w:val="auto"/>
        </w:rPr>
      </w:pPr>
      <w:r>
        <w:rPr>
          <w:rFonts w:ascii="Times New Roman" w:cs="Times New Roman" w:eastAsia="Times New Roman" w:hAnsi="Times New Roman"/>
          <w:sz w:val="22"/>
          <w:szCs w:val="22"/>
          <w:color w:val="auto"/>
        </w:rPr>
        <w:t>For purposes of determining whether a Separation from Service has occurred, the Employer means the Employer as defined in Section 2.22 of the Plan, except that in applying Code sections 1563(a)(1), (2) and (3) for purposes of determining whether another organization is an Affiliate of the Company under Code Section 414(b), and in applying Treasury Regulation Section 1.414(c)-2 for purposes of determining whether another organization is an Affiliate of the Company under Code Section 414(c), “at least 50 percent” shall be used instead of “at least 80 percent” each place it appears in those sections.</w:t>
      </w:r>
    </w:p>
    <w:p>
      <w:pPr>
        <w:spacing w:after="0" w:line="208" w:lineRule="exact"/>
        <w:rPr>
          <w:sz w:val="20"/>
          <w:szCs w:val="20"/>
          <w:color w:val="auto"/>
        </w:rPr>
      </w:pPr>
    </w:p>
    <w:p>
      <w:pPr>
        <w:ind w:left="760" w:right="120"/>
        <w:spacing w:after="0" w:line="244" w:lineRule="auto"/>
        <w:rPr>
          <w:sz w:val="20"/>
          <w:szCs w:val="20"/>
          <w:color w:val="auto"/>
        </w:rPr>
      </w:pPr>
      <w:r>
        <w:rPr>
          <w:rFonts w:ascii="Times New Roman" w:cs="Times New Roman" w:eastAsia="Times New Roman" w:hAnsi="Times New Roman"/>
          <w:sz w:val="22"/>
          <w:szCs w:val="22"/>
          <w:color w:val="auto"/>
        </w:rPr>
        <w:t>The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w:t>
      </w:r>
    </w:p>
    <w:p>
      <w:pPr>
        <w:spacing w:after="0" w:line="200" w:lineRule="exact"/>
        <w:rPr>
          <w:sz w:val="20"/>
          <w:szCs w:val="20"/>
          <w:color w:val="auto"/>
        </w:rPr>
      </w:pPr>
    </w:p>
    <w:p>
      <w:pPr>
        <w:ind w:left="760" w:right="20" w:hanging="748"/>
        <w:spacing w:after="0" w:line="239"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u w:val="single" w:color="auto"/>
          <w:color w:val="auto"/>
        </w:rPr>
        <w:t>Specified Date Account.</w:t>
      </w:r>
      <w:r>
        <w:rPr>
          <w:rFonts w:ascii="Times New Roman" w:cs="Times New Roman" w:eastAsia="Times New Roman" w:hAnsi="Times New Roman"/>
          <w:sz w:val="22"/>
          <w:szCs w:val="22"/>
          <w:color w:val="auto"/>
        </w:rPr>
        <w:t xml:space="preserve"> Specified Date Account means an Account established by the Committee to record the amounts payable in a future year as specified in the Participant’s Compensation Deferral Agreement. The Committee may limit the number of Specified Date Accounts that may be maintained at any one time by a Participant, as set forth in the Plan’s enrollment materials.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2.44 </w:t>
      </w:r>
      <w:r>
        <w:rPr>
          <w:rFonts w:ascii="Times New Roman" w:cs="Times New Roman" w:eastAsia="Times New Roman" w:hAnsi="Times New Roman"/>
          <w:sz w:val="21"/>
          <w:szCs w:val="21"/>
          <w:u w:val="single" w:color="auto"/>
          <w:color w:val="auto"/>
        </w:rPr>
        <w:t>Substantial Risk of Forfeiture.</w:t>
      </w:r>
      <w:r>
        <w:rPr>
          <w:rFonts w:ascii="Times New Roman" w:cs="Times New Roman" w:eastAsia="Times New Roman" w:hAnsi="Times New Roman"/>
          <w:sz w:val="21"/>
          <w:szCs w:val="21"/>
          <w:color w:val="auto"/>
        </w:rPr>
        <w:t xml:space="preserve"> Substantial Risk of Forfeiture has the meaning specified in Treas. Reg. Section 1.409A-1(d).</w:t>
      </w:r>
    </w:p>
    <w:p>
      <w:pPr>
        <w:spacing w:after="0" w:line="245" w:lineRule="exact"/>
        <w:rPr>
          <w:sz w:val="20"/>
          <w:szCs w:val="20"/>
          <w:color w:val="auto"/>
        </w:rPr>
      </w:pPr>
    </w:p>
    <w:p>
      <w:pPr>
        <w:jc w:val="both"/>
        <w:ind w:left="760" w:hanging="748"/>
        <w:spacing w:after="0" w:line="244" w:lineRule="auto"/>
        <w:rPr>
          <w:sz w:val="20"/>
          <w:szCs w:val="20"/>
          <w:color w:val="auto"/>
        </w:rPr>
      </w:pPr>
      <w:r>
        <w:rPr>
          <w:rFonts w:ascii="Times New Roman" w:cs="Times New Roman" w:eastAsia="Times New Roman" w:hAnsi="Times New Roman"/>
          <w:sz w:val="22"/>
          <w:szCs w:val="22"/>
          <w:color w:val="auto"/>
        </w:rPr>
        <w:t xml:space="preserve">2.45 </w:t>
      </w:r>
      <w:r>
        <w:rPr>
          <w:rFonts w:ascii="Times New Roman" w:cs="Times New Roman" w:eastAsia="Times New Roman" w:hAnsi="Times New Roman"/>
          <w:sz w:val="22"/>
          <w:szCs w:val="22"/>
          <w:u w:val="single" w:color="auto"/>
          <w:color w:val="auto"/>
        </w:rPr>
        <w:t>Supplemental Matching Contributions</w:t>
      </w:r>
      <w:r>
        <w:rPr>
          <w:rFonts w:ascii="Times New Roman" w:cs="Times New Roman" w:eastAsia="Times New Roman" w:hAnsi="Times New Roman"/>
          <w:sz w:val="22"/>
          <w:szCs w:val="22"/>
          <w:color w:val="auto"/>
        </w:rPr>
        <w:t>. Supplemental Matching Contributions means an amount equal to six percent (6%) of a Group 2 Participant’s Excess Compensation for a Plan Year. Supplemental Matching Contributions are not conditioned upon a Participant’s election to make deferrals under this Plan or under the RSP.</w:t>
      </w:r>
    </w:p>
    <w:p>
      <w:pPr>
        <w:spacing w:after="0" w:line="200" w:lineRule="exact"/>
        <w:rPr>
          <w:sz w:val="20"/>
          <w:szCs w:val="20"/>
          <w:color w:val="auto"/>
        </w:rPr>
      </w:pPr>
    </w:p>
    <w:p>
      <w:pPr>
        <w:ind w:left="760" w:right="300" w:hanging="748"/>
        <w:spacing w:after="0" w:line="258" w:lineRule="auto"/>
        <w:rPr>
          <w:sz w:val="20"/>
          <w:szCs w:val="20"/>
          <w:color w:val="auto"/>
        </w:rPr>
      </w:pPr>
      <w:r>
        <w:rPr>
          <w:rFonts w:ascii="Times New Roman" w:cs="Times New Roman" w:eastAsia="Times New Roman" w:hAnsi="Times New Roman"/>
          <w:sz w:val="22"/>
          <w:szCs w:val="22"/>
          <w:color w:val="auto"/>
        </w:rPr>
        <w:t xml:space="preserve">2.46 </w:t>
      </w:r>
      <w:r>
        <w:rPr>
          <w:rFonts w:ascii="Times New Roman" w:cs="Times New Roman" w:eastAsia="Times New Roman" w:hAnsi="Times New Roman"/>
          <w:sz w:val="22"/>
          <w:szCs w:val="22"/>
          <w:u w:val="single" w:color="auto"/>
          <w:color w:val="auto"/>
        </w:rPr>
        <w:t>Supplemental Retirement Contributions</w:t>
      </w:r>
      <w:r>
        <w:rPr>
          <w:rFonts w:ascii="Times New Roman" w:cs="Times New Roman" w:eastAsia="Times New Roman" w:hAnsi="Times New Roman"/>
          <w:sz w:val="22"/>
          <w:szCs w:val="22"/>
          <w:color w:val="auto"/>
        </w:rPr>
        <w:t>. Supplemental Retirement Contributions means the amount by which (a) exceeds (b), where</w:t>
      </w:r>
    </w:p>
    <w:p>
      <w:pPr>
        <w:spacing w:after="0" w:line="185" w:lineRule="exact"/>
        <w:rPr>
          <w:sz w:val="20"/>
          <w:szCs w:val="20"/>
          <w:color w:val="auto"/>
        </w:rPr>
      </w:pPr>
    </w:p>
    <w:p>
      <w:pPr>
        <w:ind w:left="1500" w:right="120" w:hanging="690"/>
        <w:spacing w:after="0" w:line="241" w:lineRule="auto"/>
        <w:tabs>
          <w:tab w:leader="none" w:pos="1237"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amount that would have been contributed to the RSP on behalf of a Group 3 Participant as a non-safe harbor non-elective employer contribution described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3" w:name="page124"/>
    <w:bookmarkEnd w:id="123"/>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right="340"/>
        <w:spacing w:after="0" w:line="258" w:lineRule="auto"/>
        <w:rPr>
          <w:sz w:val="20"/>
          <w:szCs w:val="20"/>
          <w:color w:val="auto"/>
        </w:rPr>
      </w:pPr>
      <w:r>
        <w:rPr>
          <w:rFonts w:ascii="Times New Roman" w:cs="Times New Roman" w:eastAsia="Times New Roman" w:hAnsi="Times New Roman"/>
          <w:sz w:val="22"/>
          <w:szCs w:val="22"/>
          <w:color w:val="auto"/>
        </w:rPr>
        <w:t>Section 7 of the RSP if such contribution were determined as a percentage of the Group 3 Participant’s Total Compensation for a Plan Year, and</w:t>
      </w:r>
    </w:p>
    <w:p>
      <w:pPr>
        <w:spacing w:after="0" w:line="185" w:lineRule="exact"/>
        <w:rPr>
          <w:sz w:val="20"/>
          <w:szCs w:val="20"/>
          <w:color w:val="auto"/>
        </w:rPr>
      </w:pPr>
    </w:p>
    <w:p>
      <w:pPr>
        <w:ind w:left="1500" w:hanging="690"/>
        <w:spacing w:after="0" w:line="258"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amount actually contributed to the RSP as a non-safe harbor non-elective employer contribution described in Section 7 of the RSP on behalf of the Group 3 Participant for the Plan Year.</w:t>
      </w:r>
    </w:p>
    <w:p>
      <w:pPr>
        <w:spacing w:after="0" w:line="185" w:lineRule="exact"/>
        <w:rPr>
          <w:sz w:val="20"/>
          <w:szCs w:val="20"/>
          <w:color w:val="auto"/>
        </w:rPr>
      </w:pPr>
    </w:p>
    <w:p>
      <w:pPr>
        <w:ind w:left="760" w:right="160" w:hanging="748"/>
        <w:spacing w:after="0" w:line="244" w:lineRule="auto"/>
        <w:rPr>
          <w:sz w:val="20"/>
          <w:szCs w:val="20"/>
          <w:color w:val="auto"/>
        </w:rPr>
      </w:pPr>
      <w:r>
        <w:rPr>
          <w:rFonts w:ascii="Times New Roman" w:cs="Times New Roman" w:eastAsia="Times New Roman" w:hAnsi="Times New Roman"/>
          <w:sz w:val="22"/>
          <w:szCs w:val="22"/>
          <w:color w:val="auto"/>
        </w:rPr>
        <w:t xml:space="preserve">2.47 </w:t>
      </w:r>
      <w:r>
        <w:rPr>
          <w:rFonts w:ascii="Times New Roman" w:cs="Times New Roman" w:eastAsia="Times New Roman" w:hAnsi="Times New Roman"/>
          <w:sz w:val="22"/>
          <w:szCs w:val="22"/>
          <w:u w:val="single" w:color="auto"/>
          <w:color w:val="auto"/>
        </w:rPr>
        <w:t>Supplemental Target Contributions</w:t>
      </w:r>
      <w:r>
        <w:rPr>
          <w:rFonts w:ascii="Times New Roman" w:cs="Times New Roman" w:eastAsia="Times New Roman" w:hAnsi="Times New Roman"/>
          <w:sz w:val="22"/>
          <w:szCs w:val="22"/>
          <w:color w:val="auto"/>
        </w:rPr>
        <w:t>. Supplemental Target Contributions means an amount equal to the specified percentage of a Group 1 Participant’s Total Compensation for a Plan Year. Group 1 Participants and the specified percentage for each such Participant are listed on Schedule 1.</w:t>
      </w:r>
    </w:p>
    <w:p>
      <w:pPr>
        <w:spacing w:after="0" w:line="200" w:lineRule="exact"/>
        <w:rPr>
          <w:sz w:val="20"/>
          <w:szCs w:val="20"/>
          <w:color w:val="auto"/>
        </w:rPr>
      </w:pPr>
    </w:p>
    <w:p>
      <w:pPr>
        <w:ind w:left="760" w:right="60" w:hanging="748"/>
        <w:spacing w:after="0" w:line="258" w:lineRule="auto"/>
        <w:rPr>
          <w:sz w:val="20"/>
          <w:szCs w:val="20"/>
          <w:color w:val="auto"/>
        </w:rPr>
      </w:pPr>
      <w:r>
        <w:rPr>
          <w:rFonts w:ascii="Times New Roman" w:cs="Times New Roman" w:eastAsia="Times New Roman" w:hAnsi="Times New Roman"/>
          <w:sz w:val="22"/>
          <w:szCs w:val="22"/>
          <w:color w:val="auto"/>
        </w:rPr>
        <w:t xml:space="preserve">2.48 </w:t>
      </w:r>
      <w:r>
        <w:rPr>
          <w:rFonts w:ascii="Times New Roman" w:cs="Times New Roman" w:eastAsia="Times New Roman" w:hAnsi="Times New Roman"/>
          <w:sz w:val="22"/>
          <w:szCs w:val="22"/>
          <w:u w:val="single" w:color="auto"/>
          <w:color w:val="auto"/>
        </w:rPr>
        <w:t>Total Compensation</w:t>
      </w:r>
      <w:r>
        <w:rPr>
          <w:rFonts w:ascii="Times New Roman" w:cs="Times New Roman" w:eastAsia="Times New Roman" w:hAnsi="Times New Roman"/>
          <w:sz w:val="22"/>
          <w:szCs w:val="22"/>
          <w:color w:val="auto"/>
        </w:rPr>
        <w:t>. Total Compensation means “Compensation” as defined in Article I of the RSP, but determined without regard to the Code Section 401(a)(17) limitation.</w:t>
      </w:r>
    </w:p>
    <w:p>
      <w:pPr>
        <w:spacing w:after="0" w:line="185" w:lineRule="exact"/>
        <w:rPr>
          <w:sz w:val="20"/>
          <w:szCs w:val="20"/>
          <w:color w:val="auto"/>
        </w:rPr>
      </w:pPr>
    </w:p>
    <w:p>
      <w:pPr>
        <w:ind w:left="760" w:right="40" w:hanging="748"/>
        <w:spacing w:after="0" w:line="235" w:lineRule="auto"/>
        <w:rPr>
          <w:sz w:val="20"/>
          <w:szCs w:val="20"/>
          <w:color w:val="auto"/>
        </w:rPr>
      </w:pPr>
      <w:r>
        <w:rPr>
          <w:rFonts w:ascii="Times New Roman" w:cs="Times New Roman" w:eastAsia="Times New Roman" w:hAnsi="Times New Roman"/>
          <w:sz w:val="22"/>
          <w:szCs w:val="22"/>
          <w:color w:val="auto"/>
        </w:rPr>
        <w:t xml:space="preserve">2.49 </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xml:space="preserve"> Unforeseeable Emergency means a severe financial hardship to the Participant resulting from an illness or accident of the Participant, the Participant’s spouse, the Participant’s dependent (as defined in Code section 152, without regard to section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2.50 </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xml:space="preserve"> Valuation Date means each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Eligibility and Participation</w:t>
      </w:r>
    </w:p>
    <w:p>
      <w:pPr>
        <w:spacing w:after="0" w:line="74" w:lineRule="exact"/>
        <w:rPr>
          <w:sz w:val="20"/>
          <w:szCs w:val="20"/>
          <w:color w:val="auto"/>
        </w:rPr>
      </w:pPr>
    </w:p>
    <w:p>
      <w:pPr>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Eligibility and Participation.</w:t>
      </w:r>
      <w:r>
        <w:rPr>
          <w:rFonts w:ascii="Times New Roman" w:cs="Times New Roman" w:eastAsia="Times New Roman" w:hAnsi="Times New Roman"/>
          <w:sz w:val="22"/>
          <w:szCs w:val="22"/>
          <w:color w:val="auto"/>
        </w:rPr>
        <w:t xml:space="preserve"> In order to be eligible for participation in the Plan as an “Eligible Employee”, an Employee must be selected by the Committee. For each enrollment, the Committee, in its sole and absolute discretion, shall determine eligibility for participation from among management or highly compensated employees of the Employer in accordance with the purposes of the Plan and shall determine the amount and type of Company Contributions, if any, to be made on behalf of any Participant. In lieu of designating individual Employees as Eligible Employees, the Committee may establish eligibility criteria (consistent with the requirements of this Section 3.1) providing that all Employees who satisfy such criteria shall be treated as Eligible Employees and/or as Participants of a particular “group”. In accordance with the foregoing, effective as of January 1, 2023 and unless and until otherwise determined thereafter by the Committee: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4" w:name="page125"/>
    <w:bookmarkEnd w:id="124"/>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5" w:lineRule="exact"/>
        <w:rPr>
          <w:sz w:val="20"/>
          <w:szCs w:val="20"/>
          <w:color w:val="auto"/>
        </w:rPr>
      </w:pPr>
    </w:p>
    <w:p>
      <w:pPr>
        <w:ind w:left="2260" w:right="140" w:hanging="754"/>
        <w:spacing w:after="0" w:line="263" w:lineRule="auto"/>
        <w:tabs>
          <w:tab w:leader="none" w:pos="194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Eligible Employees for Elective Deferrals</w:t>
      </w:r>
      <w:r>
        <w:rPr>
          <w:rFonts w:ascii="Times New Roman" w:cs="Times New Roman" w:eastAsia="Times New Roman" w:hAnsi="Times New Roman"/>
          <w:sz w:val="21"/>
          <w:szCs w:val="21"/>
          <w:color w:val="auto"/>
        </w:rPr>
        <w:t>. An “Eligible Employee” who may elect a Deferral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Compensation pursuant to Article IV means an Employee of a Participating Employer who is an exempt employee in grade 24 or above and who is in the executive pay structure of the Company; and</w:t>
      </w:r>
    </w:p>
    <w:p>
      <w:pPr>
        <w:spacing w:after="0" w:line="178" w:lineRule="exact"/>
        <w:rPr>
          <w:rFonts w:ascii="Times New Roman" w:cs="Times New Roman" w:eastAsia="Times New Roman" w:hAnsi="Times New Roman"/>
          <w:sz w:val="21"/>
          <w:szCs w:val="21"/>
          <w:color w:val="auto"/>
        </w:rPr>
      </w:pPr>
    </w:p>
    <w:p>
      <w:pPr>
        <w:ind w:left="2260" w:right="60" w:hanging="754"/>
        <w:spacing w:after="0" w:line="246" w:lineRule="auto"/>
        <w:tabs>
          <w:tab w:leader="none" w:pos="194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Eligible Employees for Company Contributions</w:t>
      </w:r>
      <w:r>
        <w:rPr>
          <w:rFonts w:ascii="Times New Roman" w:cs="Times New Roman" w:eastAsia="Times New Roman" w:hAnsi="Times New Roman"/>
          <w:sz w:val="22"/>
          <w:szCs w:val="22"/>
          <w:color w:val="auto"/>
        </w:rPr>
        <w:t>. An “Eligible Employee” whose Account may be credited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 Company Contribution pursuant to Article V means a Group 1 Participant, Group 2 Participant or Group 3 Participant.</w:t>
      </w:r>
    </w:p>
    <w:p>
      <w:pPr>
        <w:spacing w:after="0" w:line="198" w:lineRule="exact"/>
        <w:rPr>
          <w:sz w:val="20"/>
          <w:szCs w:val="20"/>
          <w:color w:val="auto"/>
        </w:rPr>
      </w:pPr>
    </w:p>
    <w:p>
      <w:pPr>
        <w:ind w:left="760" w:right="140" w:hanging="316"/>
        <w:spacing w:after="0" w:line="234" w:lineRule="auto"/>
        <w:rPr>
          <w:sz w:val="20"/>
          <w:szCs w:val="20"/>
          <w:color w:val="auto"/>
        </w:rPr>
      </w:pPr>
      <w:r>
        <w:rPr>
          <w:rFonts w:ascii="Times New Roman" w:cs="Times New Roman" w:eastAsia="Times New Roman" w:hAnsi="Times New Roman"/>
          <w:sz w:val="22"/>
          <w:szCs w:val="22"/>
          <w:color w:val="auto"/>
        </w:rPr>
        <w:t>Eligible Employees become Participants on the first to occur of (i) the date on which the first Compensation Deferral Agreement becomes irrevocable under Article IV, or (ii) the date Company Contributions are credited to an Account on behalf of such Eligible Employee. An Employee ceases to be eligible for participation in the Plan upon his Separation from Service or, if earlier, the date his participation is discontinued by the Chief Executive Officer, provided that, to the extent required to comply with Section 409A of the Code, such Employee’s Deferrals, if any (but not any Company Contributions), shall continue to be credited to the Employee’s Account with respect to the Plan Year in which his participation is terminated. If a Participant or former Participant is reemployed by an Employer following a Separation from Service, such employee will not become eligible for participation again unless he is again designated by the Committee in accordance with this Section 3.1.</w:t>
      </w:r>
    </w:p>
    <w:p>
      <w:pPr>
        <w:spacing w:after="0" w:line="210" w:lineRule="exact"/>
        <w:rPr>
          <w:sz w:val="20"/>
          <w:szCs w:val="20"/>
          <w:color w:val="auto"/>
        </w:rPr>
      </w:pPr>
    </w:p>
    <w:p>
      <w:pPr>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Duration.</w:t>
      </w:r>
      <w:r>
        <w:rPr>
          <w:rFonts w:ascii="Times New Roman" w:cs="Times New Roman" w:eastAsia="Times New Roman" w:hAnsi="Times New Roman"/>
          <w:sz w:val="22"/>
          <w:szCs w:val="22"/>
          <w:color w:val="auto"/>
        </w:rPr>
        <w:t xml:space="preserve"> Only Eligible Employees designated pursuant to Section 3.1(a) may submit Compensation Deferral Agreements during an enrollment, and only Eligible Employees designated pursuant to Section 3.1(b) may receive Company Contributions during the Plan Year. A Participant who is no longer an Eligible Employee but has not incurred a Separation from Service will not be allowed to submit Compensation Deferral Agreements but may otherwise exercise all of the rights of a Participant under the Plan with respect to his or her Account(s). On and after a Separation from Service, a Participant shall remain a Participant as long as his or her Account Balance is greater than zero (0). All Participants, regardless of employment status, will continue to be credited with Earnings and during such time may continue to make allocation elections as provided in Section 7.4. An individual shall cease being a Participant in the Plan when his Account has been reduced to zero (0).</w:t>
      </w:r>
    </w:p>
    <w:p>
      <w:pPr>
        <w:spacing w:after="0" w:line="210" w:lineRule="exact"/>
        <w:rPr>
          <w:sz w:val="20"/>
          <w:szCs w:val="20"/>
          <w:color w:val="auto"/>
        </w:rPr>
      </w:pPr>
    </w:p>
    <w:p>
      <w:pPr>
        <w:ind w:left="760" w:right="40" w:hanging="748"/>
        <w:spacing w:after="0" w:line="239"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Rehires</w:t>
      </w:r>
      <w:r>
        <w:rPr>
          <w:rFonts w:ascii="Times New Roman" w:cs="Times New Roman" w:eastAsia="Times New Roman" w:hAnsi="Times New Roman"/>
          <w:sz w:val="22"/>
          <w:szCs w:val="22"/>
          <w:color w:val="auto"/>
        </w:rPr>
        <w:t>. An Eligible Employee who Separates from Service and who subsequently resumes performing services for an Employer in the same calendar year (regardless of eligibility) will have his or her Compensation Deferral Agreement for such year, if any, reinstated, but his or her eligibility to participate in the Plan in years subsequent to the year of rehire shall be governed by the provisions of Section 3.1.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IV</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Deferrals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5" w:name="page126"/>
    <w:bookmarkEnd w:id="125"/>
    <w:p>
      <w:pPr>
        <w:ind w:right="78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Deferral Elections, Generally.</w:t>
      </w:r>
    </w:p>
    <w:p>
      <w:pPr>
        <w:spacing w:after="0" w:line="233" w:lineRule="exact"/>
        <w:rPr>
          <w:sz w:val="20"/>
          <w:szCs w:val="20"/>
          <w:color w:val="auto"/>
        </w:rPr>
      </w:pPr>
    </w:p>
    <w:p>
      <w:pPr>
        <w:ind w:left="1500" w:right="280" w:hanging="743"/>
        <w:spacing w:after="0" w:line="236" w:lineRule="auto"/>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a Compensation source (such as salary, bonus or other Compensation) become irrevocable on the latest date applicable to such Compensation source under Section 4.2.</w:t>
      </w:r>
    </w:p>
    <w:p>
      <w:pPr>
        <w:spacing w:after="0" w:line="208" w:lineRule="exact"/>
        <w:rPr>
          <w:rFonts w:ascii="Times New Roman" w:cs="Times New Roman" w:eastAsia="Times New Roman" w:hAnsi="Times New Roman"/>
          <w:sz w:val="22"/>
          <w:szCs w:val="22"/>
          <w:color w:val="auto"/>
        </w:rPr>
      </w:pPr>
    </w:p>
    <w:p>
      <w:pPr>
        <w:ind w:left="1500" w:right="140" w:hanging="743"/>
        <w:spacing w:after="0" w:line="251" w:lineRule="auto"/>
        <w:tabs>
          <w:tab w:leader="none" w:pos="150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Compensation Deferral Agreement that is not timely filed with respect to a service period or component of Compensation, or that is submitted by a Participant who Separates from Service prior to the latest date such agreement would become irrevocable under Section 409A, shall be considered null and void and shall not take effect with respect to such item of Compensation. The Committee may modify or revoke any Compensation Deferral Agreement prior to the date the election becomes irrevocable under the rules of Section 4.2.</w:t>
      </w:r>
    </w:p>
    <w:p>
      <w:pPr>
        <w:spacing w:after="0" w:line="195" w:lineRule="exact"/>
        <w:rPr>
          <w:rFonts w:ascii="Times New Roman" w:cs="Times New Roman" w:eastAsia="Times New Roman" w:hAnsi="Times New Roman"/>
          <w:sz w:val="21"/>
          <w:szCs w:val="21"/>
          <w:color w:val="auto"/>
        </w:rPr>
      </w:pPr>
    </w:p>
    <w:p>
      <w:pPr>
        <w:ind w:left="1500" w:hanging="743"/>
        <w:spacing w:after="0" w:line="236" w:lineRule="auto"/>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permit different deferral amounts for each component of Compensation and may establish a minimum or maximum deferral amount for each such component. Unless otherwise specified by the Committee in the Compensation Deferral Agreement, Participants may defer up to fifty percent (50%) of their base salary, up to one hundred percent (100%) of the cash portion of their STIP bonus earned during a Plan Year, and up to one hundred percent (100%) of the cash portion of their Performance Share Awards that become earned and vested in accordance with the terms of the applicable Performance Share Award.</w:t>
      </w:r>
    </w:p>
    <w:p>
      <w:pPr>
        <w:spacing w:after="0" w:line="208" w:lineRule="exact"/>
        <w:rPr>
          <w:rFonts w:ascii="Times New Roman" w:cs="Times New Roman" w:eastAsia="Times New Roman" w:hAnsi="Times New Roman"/>
          <w:sz w:val="22"/>
          <w:szCs w:val="22"/>
          <w:color w:val="auto"/>
        </w:rPr>
      </w:pPr>
    </w:p>
    <w:p>
      <w:pPr>
        <w:ind w:left="1500" w:right="100" w:hanging="743"/>
        <w:spacing w:after="0" w:line="236" w:lineRule="auto"/>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Deferrals of cash Compensation shall be calculated with respect to the gross cash Compensation payable to the Participant prior to any deductions or withholdings, but shall be reduced by the Committee as necessary so as not to exceed 100% of the cash Compensation of the Participant remaining after deduction of all required income and employment taxes, required employee benefit deductions, deferrals to 401(k) plans and other deductions required by law. Changes to payroll withholdings that affect the amount of Compensation being deferred to the Plan shall be allowed only to the extent permissible under Code Section 409A.</w:t>
      </w:r>
    </w:p>
    <w:p>
      <w:pPr>
        <w:spacing w:after="0" w:line="208" w:lineRule="exact"/>
        <w:rPr>
          <w:rFonts w:ascii="Times New Roman" w:cs="Times New Roman" w:eastAsia="Times New Roman" w:hAnsi="Times New Roman"/>
          <w:sz w:val="22"/>
          <w:szCs w:val="22"/>
          <w:color w:val="auto"/>
        </w:rPr>
      </w:pPr>
    </w:p>
    <w:p>
      <w:pPr>
        <w:ind w:left="1500" w:right="520" w:hanging="743"/>
        <w:spacing w:after="0" w:line="258" w:lineRule="auto"/>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specify on his or her Compensation Deferral Agreement the amount of Deferrals and whether to allocate Deferrals to a Separation Account or to one or more Specified Date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Timing Requirements for Compensation Deferral Agreements.</w:t>
      </w:r>
    </w:p>
    <w:p>
      <w:pPr>
        <w:spacing w:after="0" w:line="229" w:lineRule="exact"/>
        <w:rPr>
          <w:sz w:val="20"/>
          <w:szCs w:val="20"/>
          <w:color w:val="auto"/>
        </w:rPr>
      </w:pPr>
    </w:p>
    <w:p>
      <w:pPr>
        <w:ind w:left="1500" w:right="120" w:hanging="690"/>
        <w:spacing w:after="0" w:line="243" w:lineRule="auto"/>
        <w:tabs>
          <w:tab w:leader="none" w:pos="123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Initial Eligibility. </w:t>
      </w:r>
      <w:r>
        <w:rPr>
          <w:rFonts w:ascii="Times New Roman" w:cs="Times New Roman" w:eastAsia="Times New Roman" w:hAnsi="Times New Roman"/>
          <w:sz w:val="22"/>
          <w:szCs w:val="22"/>
          <w:color w:val="auto"/>
        </w:rPr>
        <w:t>The Committee may permit an Eligible Employee designated pursuant to Section 3.1(a) to defer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earned in the first year of</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sectPr>
      </w:pPr>
    </w:p>
    <w:bookmarkStart w:id="126" w:name="page127"/>
    <w:bookmarkEnd w:id="126"/>
    <w:p>
      <w:pPr>
        <w:ind w:right="78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right="220"/>
        <w:spacing w:after="0" w:line="253" w:lineRule="auto"/>
        <w:rPr>
          <w:sz w:val="20"/>
          <w:szCs w:val="20"/>
          <w:color w:val="auto"/>
        </w:rPr>
      </w:pPr>
      <w:r>
        <w:rPr>
          <w:rFonts w:ascii="Times New Roman" w:cs="Times New Roman" w:eastAsia="Times New Roman" w:hAnsi="Times New Roman"/>
          <w:sz w:val="22"/>
          <w:szCs w:val="22"/>
          <w:color w:val="auto"/>
        </w:rPr>
        <w:t>eligibility for participation in the Plan and any other nonqualified deferred compensation plan or arrangement that would be aggregated with the Plan under Section 409A of the Code. The Compensation Deferral Agreement must be filed within 30 days after attaining Eligible Employee status and becomes irrevocable not later than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w:t>
      </w:r>
    </w:p>
    <w:p>
      <w:pPr>
        <w:spacing w:after="0" w:line="89" w:lineRule="exact"/>
        <w:rPr>
          <w:sz w:val="20"/>
          <w:szCs w:val="20"/>
          <w:color w:val="auto"/>
        </w:rPr>
      </w:pPr>
    </w:p>
    <w:p>
      <w:pPr>
        <w:ind w:left="1500" w:right="60" w:hanging="262"/>
        <w:spacing w:after="0" w:line="258" w:lineRule="auto"/>
        <w:rPr>
          <w:sz w:val="20"/>
          <w:szCs w:val="20"/>
          <w:color w:val="auto"/>
        </w:rPr>
      </w:pPr>
      <w:r>
        <w:rPr>
          <w:rFonts w:ascii="Times New Roman" w:cs="Times New Roman" w:eastAsia="Times New Roman" w:hAnsi="Times New Roman"/>
          <w:sz w:val="22"/>
          <w:szCs w:val="22"/>
          <w:color w:val="auto"/>
        </w:rPr>
        <w:t>A Compensation Deferral Agreement filed under this paragraph applies to Compensation earned after the date that the Compensation Deferral Agreement becomes irrevocable.</w:t>
      </w:r>
    </w:p>
    <w:p>
      <w:pPr>
        <w:spacing w:after="0" w:line="181" w:lineRule="exact"/>
        <w:rPr>
          <w:sz w:val="20"/>
          <w:szCs w:val="20"/>
          <w:color w:val="auto"/>
        </w:rPr>
      </w:pPr>
    </w:p>
    <w:p>
      <w:pPr>
        <w:ind w:left="1500" w:right="240" w:hanging="743"/>
        <w:spacing w:after="0" w:line="250" w:lineRule="auto"/>
        <w:tabs>
          <w:tab w:leader="none" w:pos="15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Prior Year Election. </w:t>
      </w:r>
      <w:r>
        <w:rPr>
          <w:rFonts w:ascii="Times New Roman" w:cs="Times New Roman" w:eastAsia="Times New Roman" w:hAnsi="Times New Roman"/>
          <w:sz w:val="21"/>
          <w:szCs w:val="21"/>
          <w:color w:val="auto"/>
        </w:rPr>
        <w:t>Except as otherwise provided in this Section 4.2, the Committee may permit an Eligible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designated pursuant to Section 3.1(a) to defer Compensation, or make a payment election with respect to Compensation, by filing a Compensation Deferral Agreement during the enrollment period established by the Committee and ending no later than December 31 of the year prior to the year in which the Compensation to be deferred is earned. A Compensation Deferral Agreement filed under this paragraph shall become irrevocable with respect to such Compensation not later than the December 31 filing deadline.</w:t>
      </w:r>
    </w:p>
    <w:p>
      <w:pPr>
        <w:spacing w:after="0" w:line="191" w:lineRule="exact"/>
        <w:rPr>
          <w:rFonts w:ascii="Times New Roman" w:cs="Times New Roman" w:eastAsia="Times New Roman" w:hAnsi="Times New Roman"/>
          <w:sz w:val="21"/>
          <w:szCs w:val="21"/>
          <w:color w:val="auto"/>
        </w:rPr>
      </w:pPr>
    </w:p>
    <w:p>
      <w:pPr>
        <w:ind w:left="1500" w:right="240" w:hanging="743"/>
        <w:spacing w:after="0" w:line="241" w:lineRule="auto"/>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Performance-Based Compensation. </w:t>
      </w:r>
      <w:r>
        <w:rPr>
          <w:rFonts w:ascii="Times New Roman" w:cs="Times New Roman" w:eastAsia="Times New Roman" w:hAnsi="Times New Roman"/>
          <w:sz w:val="22"/>
          <w:szCs w:val="22"/>
          <w:color w:val="auto"/>
        </w:rPr>
        <w:t>The Committee may permit an Eligible Employee designated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3.1(a) to defer Compensation which qualifies as Performance-Based Compensation by filing a Compensation Deferral Agreement no later than the date that is six months before the end of the applicable performance period, provided that:</w:t>
      </w:r>
    </w:p>
    <w:p>
      <w:pPr>
        <w:spacing w:after="0" w:line="202" w:lineRule="exact"/>
        <w:rPr>
          <w:rFonts w:ascii="Times New Roman" w:cs="Times New Roman" w:eastAsia="Times New Roman" w:hAnsi="Times New Roman"/>
          <w:sz w:val="22"/>
          <w:szCs w:val="22"/>
          <w:color w:val="auto"/>
        </w:rPr>
      </w:pPr>
    </w:p>
    <w:p>
      <w:pPr>
        <w:ind w:left="2260" w:right="120" w:hanging="755"/>
        <w:spacing w:after="0" w:line="244" w:lineRule="auto"/>
        <w:tabs>
          <w:tab w:leader="none" w:pos="22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performs services continuously from the later of the beginning of the performance period or the date the performance criteria are established through the date the Compensation Deferral Agreement is submitted; and</w:t>
      </w:r>
    </w:p>
    <w:p>
      <w:pPr>
        <w:spacing w:after="0" w:line="200"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Compensation is not readily ascertainable as of the date the Compensation Deferral Agreement is filed.</w:t>
      </w:r>
    </w:p>
    <w:p>
      <w:pPr>
        <w:spacing w:after="0" w:line="245" w:lineRule="exact"/>
        <w:rPr>
          <w:sz w:val="20"/>
          <w:szCs w:val="20"/>
          <w:color w:val="auto"/>
        </w:rPr>
      </w:pPr>
    </w:p>
    <w:p>
      <w:pPr>
        <w:ind w:left="1500"/>
        <w:spacing w:after="0" w:line="238" w:lineRule="auto"/>
        <w:rPr>
          <w:sz w:val="20"/>
          <w:szCs w:val="20"/>
          <w:color w:val="auto"/>
        </w:rPr>
      </w:pPr>
      <w:r>
        <w:rPr>
          <w:rFonts w:ascii="Times New Roman" w:cs="Times New Roman" w:eastAsia="Times New Roman" w:hAnsi="Times New Roman"/>
          <w:sz w:val="22"/>
          <w:szCs w:val="22"/>
          <w:color w:val="auto"/>
        </w:rPr>
        <w:t>Any election to defer Performance-Based Compensation that is made in accordance with this paragraph and that becomes payable as a result of the Participant’s death or disability (as defined in Treas. Reg. Section 1.409A-1(e)) or upon a change in control (as defined in Treas. Reg. Section 1.409A-3(i)(5)) prior to the satisfaction of the performance criteria, will be void unless it would be considered timely under another rule described in this Section.</w:t>
      </w:r>
    </w:p>
    <w:p>
      <w:pPr>
        <w:spacing w:after="0" w:line="200" w:lineRule="exact"/>
        <w:rPr>
          <w:sz w:val="20"/>
          <w:szCs w:val="20"/>
          <w:color w:val="auto"/>
        </w:rPr>
      </w:pPr>
    </w:p>
    <w:p>
      <w:pPr>
        <w:ind w:left="1500" w:right="40" w:hanging="743"/>
        <w:spacing w:after="0" w:line="237" w:lineRule="auto"/>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Short-Term Deferrals. </w:t>
      </w:r>
      <w:r>
        <w:rPr>
          <w:rFonts w:ascii="Times New Roman" w:cs="Times New Roman" w:eastAsia="Times New Roman" w:hAnsi="Times New Roman"/>
          <w:sz w:val="22"/>
          <w:szCs w:val="22"/>
          <w:color w:val="auto"/>
        </w:rPr>
        <w:t>The Committee may permit Compensation that meets the definition of a “short-term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deferral” described in Treas. Reg. Section 1.409A-1(b)(4) to be deferred in accordance with the rules of Section 6.9, applied as if the date the Substantial Risk of Forfeiture lapses is the date payments were originally scheduled to commence, provided, however, that the provisions of Section 6.9(b)</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sectPr>
      </w:pPr>
    </w:p>
    <w:bookmarkStart w:id="127" w:name="page128"/>
    <w:bookmarkEnd w:id="127"/>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spacing w:after="0" w:line="244" w:lineRule="auto"/>
        <w:rPr>
          <w:sz w:val="20"/>
          <w:szCs w:val="20"/>
          <w:color w:val="auto"/>
        </w:rPr>
      </w:pPr>
      <w:r>
        <w:rPr>
          <w:rFonts w:ascii="Times New Roman" w:cs="Times New Roman" w:eastAsia="Times New Roman" w:hAnsi="Times New Roman"/>
          <w:sz w:val="22"/>
          <w:szCs w:val="22"/>
          <w:color w:val="auto"/>
        </w:rPr>
        <w:t>shall not apply to payments attributable to a change in control (as defined in Treas. Reg. Section 1.409A-3(i) (5)). A Compensation Deferral Agreement submitted in accordance with this paragraph becomes irrevocable on the latest date it could be submitted under Section 6.9.</w:t>
      </w:r>
    </w:p>
    <w:p>
      <w:pPr>
        <w:spacing w:after="0" w:line="196" w:lineRule="exact"/>
        <w:rPr>
          <w:sz w:val="20"/>
          <w:szCs w:val="20"/>
          <w:color w:val="auto"/>
        </w:rPr>
      </w:pPr>
    </w:p>
    <w:p>
      <w:pPr>
        <w:ind w:left="1500" w:right="40" w:hanging="743"/>
        <w:spacing w:after="0" w:line="238" w:lineRule="auto"/>
        <w:tabs>
          <w:tab w:leader="none" w:pos="15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Certain Forfeitable Rights. </w:t>
      </w:r>
      <w:r>
        <w:rPr>
          <w:rFonts w:ascii="Times New Roman" w:cs="Times New Roman" w:eastAsia="Times New Roman" w:hAnsi="Times New Roman"/>
          <w:sz w:val="21"/>
          <w:szCs w:val="21"/>
          <w:color w:val="auto"/>
        </w:rPr>
        <w:t>With respect to a legally binding right to a payment in a subsequent year that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a forfeiture condition requiring the Participant’s continued services for a period of at least 12 months from the date the Participant obtains the legally binding right, the Committee may permit an Eligible Employee designated pursuant to Section 3.1(a) to defer such Compensation, or make a payment election with respect to such Compensation, by filing a Compensation Deferral Agreement on or before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after the legally binding right to the Compensation accrues, provided that the Compensation Deferral Agreement is submitted at least 12 months in advance of the earliest date on which the forfeiture condition could lapse. The Compensation Deferral Agreement described in this paragraph becomes irrevocable not later than such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If the forfeiture condition applicable to the payment lapses before the end of such 12-month period as a result of the Participant’s death or disability (as defined in Treas. Reg. Section 1.409A-3(i)(4)) or upon a change in control (as defined in Treas. Reg. Section 1.409A-3(i)(5)), the Compensation Deferral Agreement will be void unless it would be considered timely under another rule described in this Section.</w:t>
      </w:r>
    </w:p>
    <w:p>
      <w:pPr>
        <w:spacing w:after="0" w:line="202" w:lineRule="exact"/>
        <w:rPr>
          <w:rFonts w:ascii="Times New Roman" w:cs="Times New Roman" w:eastAsia="Times New Roman" w:hAnsi="Times New Roman"/>
          <w:sz w:val="21"/>
          <w:szCs w:val="21"/>
          <w:color w:val="auto"/>
        </w:rPr>
      </w:pPr>
    </w:p>
    <w:p>
      <w:pPr>
        <w:ind w:left="1500" w:right="40" w:hanging="743"/>
        <w:spacing w:after="0" w:line="250" w:lineRule="auto"/>
        <w:tabs>
          <w:tab w:leader="none" w:pos="15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“Evergreen” Deferral Elections. </w:t>
      </w:r>
      <w:r>
        <w:rPr>
          <w:rFonts w:ascii="Times New Roman" w:cs="Times New Roman" w:eastAsia="Times New Roman" w:hAnsi="Times New Roman"/>
          <w:sz w:val="21"/>
          <w:szCs w:val="21"/>
          <w:color w:val="auto"/>
        </w:rPr>
        <w:t>The Committee, in its discretion, may provide, if so specified in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Compensation Deferral Agreement, that Compensation Deferral Agreements will continue in effect for subsequent years or performance periods by communicating that intention to Participants in writing prior to the date Compensation Deferral Agreements become irrevocable under this Section 4.2. An evergreen Compensation Deferral Agreement may be revoked or modified in writing prospectively by the Participant or the Committee with respect to Compensation for which such election remains revocable under this Section 4.2.</w:t>
      </w:r>
    </w:p>
    <w:p>
      <w:pPr>
        <w:spacing w:after="0" w:line="196" w:lineRule="exact"/>
        <w:rPr>
          <w:sz w:val="20"/>
          <w:szCs w:val="20"/>
          <w:color w:val="auto"/>
        </w:rPr>
      </w:pPr>
    </w:p>
    <w:p>
      <w:pPr>
        <w:ind w:left="1500" w:right="180"/>
        <w:spacing w:after="0" w:line="261" w:lineRule="auto"/>
        <w:rPr>
          <w:sz w:val="20"/>
          <w:szCs w:val="20"/>
          <w:color w:val="auto"/>
        </w:rPr>
      </w:pPr>
      <w:r>
        <w:rPr>
          <w:rFonts w:ascii="Times New Roman" w:cs="Times New Roman" w:eastAsia="Times New Roman" w:hAnsi="Times New Roman"/>
          <w:sz w:val="21"/>
          <w:szCs w:val="21"/>
          <w:color w:val="auto"/>
        </w:rPr>
        <w:t>A Compensation Deferral Agreement is deemed to be revoked for subsequent years if the Participant is not an Eligible Employee designated pursuant to Section 3.1(a) as of the last permissible date for making elections under this Section 4.2 or if the Compensation Deferral Agreement is cancelled in accordance with Section 4.6.</w:t>
      </w:r>
    </w:p>
    <w:p>
      <w:pPr>
        <w:spacing w:after="0" w:line="184" w:lineRule="exact"/>
        <w:rPr>
          <w:sz w:val="20"/>
          <w:szCs w:val="20"/>
          <w:color w:val="auto"/>
        </w:rPr>
      </w:pPr>
    </w:p>
    <w:p>
      <w:pPr>
        <w:ind w:left="760" w:right="40" w:hanging="748"/>
        <w:spacing w:after="0" w:line="246"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Allocation of Deferrals.</w:t>
      </w:r>
      <w:r>
        <w:rPr>
          <w:rFonts w:ascii="Times New Roman" w:cs="Times New Roman" w:eastAsia="Times New Roman" w:hAnsi="Times New Roman"/>
          <w:sz w:val="21"/>
          <w:szCs w:val="21"/>
          <w:color w:val="auto"/>
        </w:rPr>
        <w:t xml:space="preserve"> A Compensation Deferral Agreement may allocate Deferrals to one or more Flex Accounts, each of which shall be either a Separation Account or a Specified Date Account. The Committee may, in its discretion, establish in a written communication during enrollment a minimum deferral period for the establishment of a Specified Date Account (for example, the fourth Plan Year following the year Compensation is first allocated to such Accounts). In the event a Participant’s Compensation Deferral Agreement allocates a component of Compensation to a</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8" w:name="page129"/>
    <w:bookmarkEnd w:id="128"/>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160"/>
        <w:spacing w:after="0" w:line="239" w:lineRule="auto"/>
        <w:rPr>
          <w:sz w:val="20"/>
          <w:szCs w:val="20"/>
          <w:color w:val="auto"/>
        </w:rPr>
      </w:pPr>
      <w:r>
        <w:rPr>
          <w:rFonts w:ascii="Times New Roman" w:cs="Times New Roman" w:eastAsia="Times New Roman" w:hAnsi="Times New Roman"/>
          <w:sz w:val="22"/>
          <w:szCs w:val="22"/>
          <w:color w:val="auto"/>
        </w:rPr>
        <w:t>Specified Date Account that commences payment in the year such Compensation is earned, the Compensation Deferral Agreement shall be deemed to allocate the Deferral to the Participant’s Specified Date Account having the next earliest payment year. If the Participant has no other Specified Date Accounts, the Committee will allocate the Deferral to the Retirement Account.</w:t>
      </w:r>
    </w:p>
    <w:p>
      <w:pPr>
        <w:spacing w:after="0" w:line="207" w:lineRule="exact"/>
        <w:rPr>
          <w:sz w:val="20"/>
          <w:szCs w:val="20"/>
          <w:color w:val="auto"/>
        </w:rPr>
      </w:pPr>
    </w:p>
    <w:p>
      <w:pPr>
        <w:ind w:left="760" w:right="320" w:hanging="748"/>
        <w:spacing w:after="0" w:line="282"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Deductions from Pay.</w:t>
      </w:r>
      <w:r>
        <w:rPr>
          <w:rFonts w:ascii="Times New Roman" w:cs="Times New Roman" w:eastAsia="Times New Roman" w:hAnsi="Times New Roman"/>
          <w:sz w:val="21"/>
          <w:szCs w:val="21"/>
          <w:color w:val="auto"/>
        </w:rPr>
        <w:t xml:space="preserve"> The Committee has the authority to determine the payroll practices under which any component of Compensation subject to a Compensation Deferral Agreement will be deducted from a Participant’s Compensation.</w:t>
      </w:r>
    </w:p>
    <w:p>
      <w:pPr>
        <w:spacing w:after="0" w:line="162" w:lineRule="exact"/>
        <w:rPr>
          <w:sz w:val="20"/>
          <w:szCs w:val="20"/>
          <w:color w:val="auto"/>
        </w:rPr>
      </w:pPr>
    </w:p>
    <w:p>
      <w:pPr>
        <w:ind w:left="760" w:right="600" w:hanging="748"/>
        <w:spacing w:after="0" w:line="25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Participant Deferrals of cash Compensation shall be 100% vested at all times. Deferrals of vesting awards of Compensation shall become vested in accordance with the provisions of the underlying award.</w:t>
      </w:r>
    </w:p>
    <w:p>
      <w:pPr>
        <w:spacing w:after="0" w:line="185" w:lineRule="exact"/>
        <w:rPr>
          <w:sz w:val="20"/>
          <w:szCs w:val="20"/>
          <w:color w:val="auto"/>
        </w:rPr>
      </w:pPr>
    </w:p>
    <w:p>
      <w:pPr>
        <w:ind w:left="760" w:right="60" w:hanging="748"/>
        <w:spacing w:after="0" w:line="228"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Cancellation of Deferrals.</w:t>
      </w:r>
      <w:r>
        <w:rPr>
          <w:rFonts w:ascii="Times New Roman" w:cs="Times New Roman" w:eastAsia="Times New Roman" w:hAnsi="Times New Roman"/>
          <w:sz w:val="22"/>
          <w:szCs w:val="22"/>
          <w:color w:val="auto"/>
        </w:rPr>
        <w:t xml:space="preserve"> The Committee may cancel a Participant’s Deferrals: (i) for the balance of the Plan Year in which an Unforeseeable Emergency occurs, and (ii) during periods in which the Participant incurs a “disability,” meaning that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calendar year or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date the Participant incurs the disability (as defined in this Section 4.6).</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Company Contributions</w:t>
      </w:r>
    </w:p>
    <w:p>
      <w:pPr>
        <w:spacing w:after="0" w:line="74" w:lineRule="exact"/>
        <w:rPr>
          <w:sz w:val="20"/>
          <w:szCs w:val="20"/>
          <w:color w:val="auto"/>
        </w:rPr>
      </w:pPr>
    </w:p>
    <w:p>
      <w:pPr>
        <w:ind w:left="760" w:right="460" w:hanging="748"/>
        <w:spacing w:after="0" w:line="23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Company Contributions.</w:t>
      </w:r>
      <w:r>
        <w:rPr>
          <w:rFonts w:ascii="Times New Roman" w:cs="Times New Roman" w:eastAsia="Times New Roman" w:hAnsi="Times New Roman"/>
          <w:sz w:val="22"/>
          <w:szCs w:val="22"/>
          <w:color w:val="auto"/>
        </w:rPr>
        <w:t xml:space="preserve"> For each Participant who is a Group 1 Participant, Group 2 Participant or Group 3 Participant, Company Contributions shall be made to the Participant’s Retirement Account in the form of RSP Supplemental Contributions, Supplemental Target Contributions, Supplemental Retirement Contributions, and/or Supplemental Matching Contributions, as applicable, in accordance with this Article V.</w:t>
      </w:r>
    </w:p>
    <w:p>
      <w:pPr>
        <w:spacing w:after="0" w:line="203" w:lineRule="exact"/>
        <w:rPr>
          <w:sz w:val="20"/>
          <w:szCs w:val="20"/>
          <w:color w:val="auto"/>
        </w:rPr>
      </w:pPr>
    </w:p>
    <w:p>
      <w:pPr>
        <w:ind w:left="1500" w:right="220" w:hanging="690"/>
        <w:spacing w:after="0" w:line="263" w:lineRule="auto"/>
        <w:tabs>
          <w:tab w:leader="none" w:pos="123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Supplemental Matching Contributions</w:t>
      </w:r>
      <w:r>
        <w:rPr>
          <w:rFonts w:ascii="Times New Roman" w:cs="Times New Roman" w:eastAsia="Times New Roman" w:hAnsi="Times New Roman"/>
          <w:sz w:val="21"/>
          <w:szCs w:val="21"/>
          <w:color w:val="auto"/>
        </w:rPr>
        <w:t>. As of the last day of each pay period in which a Group 2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receives Excess Compensation, the Company shall credit to the Group 2 Participant’s Retirement Account the amount of the Supplemental Matching Contributions determined in accordance with the terms of the Plan.</w:t>
      </w:r>
    </w:p>
    <w:p>
      <w:pPr>
        <w:spacing w:after="0" w:line="178" w:lineRule="exact"/>
        <w:rPr>
          <w:rFonts w:ascii="Times New Roman" w:cs="Times New Roman" w:eastAsia="Times New Roman" w:hAnsi="Times New Roman"/>
          <w:sz w:val="21"/>
          <w:szCs w:val="21"/>
          <w:color w:val="auto"/>
        </w:rPr>
      </w:pPr>
    </w:p>
    <w:p>
      <w:pPr>
        <w:ind w:left="1500" w:hanging="690"/>
        <w:spacing w:after="0" w:line="246" w:lineRule="auto"/>
        <w:tabs>
          <w:tab w:leader="none" w:pos="12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Supplemental Target Contributions. </w:t>
      </w:r>
      <w:r>
        <w:rPr>
          <w:rFonts w:ascii="Times New Roman" w:cs="Times New Roman" w:eastAsia="Times New Roman" w:hAnsi="Times New Roman"/>
          <w:sz w:val="22"/>
          <w:szCs w:val="22"/>
          <w:color w:val="auto"/>
        </w:rPr>
        <w:t>As of the last day of each Plan Year, the Company shall credit to each Group 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Retirement Account the amount of the Supplemental Target Contribution determined in accordance with the terms of the Plan.</w:t>
      </w:r>
    </w:p>
    <w:p>
      <w:pPr>
        <w:spacing w:after="0" w:line="194" w:lineRule="exact"/>
        <w:rPr>
          <w:rFonts w:ascii="Times New Roman" w:cs="Times New Roman" w:eastAsia="Times New Roman" w:hAnsi="Times New Roman"/>
          <w:sz w:val="22"/>
          <w:szCs w:val="22"/>
          <w:color w:val="auto"/>
        </w:rPr>
      </w:pPr>
    </w:p>
    <w:p>
      <w:pPr>
        <w:ind w:left="1500" w:right="520" w:hanging="690"/>
        <w:spacing w:after="0" w:line="243" w:lineRule="auto"/>
        <w:tabs>
          <w:tab w:leader="none" w:pos="12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Supplemental Retirement Contributions</w:t>
      </w:r>
      <w:r>
        <w:rPr>
          <w:rFonts w:ascii="Times New Roman" w:cs="Times New Roman" w:eastAsia="Times New Roman" w:hAnsi="Times New Roman"/>
          <w:sz w:val="22"/>
          <w:szCs w:val="22"/>
          <w:color w:val="auto"/>
        </w:rPr>
        <w:t>. As of the last day of each pay period in which a Group 3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receives Excess Compensation, the Company shall</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29" w:name="page130"/>
    <w:bookmarkEnd w:id="129"/>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right="220"/>
        <w:spacing w:after="0" w:line="258" w:lineRule="auto"/>
        <w:rPr>
          <w:sz w:val="20"/>
          <w:szCs w:val="20"/>
          <w:color w:val="auto"/>
        </w:rPr>
      </w:pPr>
      <w:r>
        <w:rPr>
          <w:rFonts w:ascii="Times New Roman" w:cs="Times New Roman" w:eastAsia="Times New Roman" w:hAnsi="Times New Roman"/>
          <w:sz w:val="22"/>
          <w:szCs w:val="22"/>
          <w:color w:val="auto"/>
        </w:rPr>
        <w:t>credit to the Group 3 Participant’s Retirement Account the amount of Supplemental Retirement Contributions determined in accordance with the terms of the Plan.</w:t>
      </w:r>
    </w:p>
    <w:p>
      <w:pPr>
        <w:spacing w:after="0" w:line="181" w:lineRule="exact"/>
        <w:rPr>
          <w:sz w:val="20"/>
          <w:szCs w:val="20"/>
          <w:color w:val="auto"/>
        </w:rPr>
      </w:pPr>
    </w:p>
    <w:p>
      <w:pPr>
        <w:ind w:left="1240" w:hanging="430"/>
        <w:spacing w:after="0"/>
        <w:tabs>
          <w:tab w:leader="none" w:pos="12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RSP Supplemental Contributions</w:t>
      </w:r>
      <w:r>
        <w:rPr>
          <w:rFonts w:ascii="Times New Roman" w:cs="Times New Roman" w:eastAsia="Times New Roman" w:hAnsi="Times New Roman"/>
          <w:sz w:val="21"/>
          <w:szCs w:val="21"/>
          <w:color w:val="auto"/>
        </w:rPr>
        <w:t>. After the end of each Plan Year, the Company shall determine the amount, if any,</w:t>
      </w:r>
    </w:p>
    <w:p>
      <w:pPr>
        <w:spacing w:after="0" w:line="29" w:lineRule="exact"/>
        <w:rPr>
          <w:rFonts w:ascii="Times New Roman" w:cs="Times New Roman" w:eastAsia="Times New Roman" w:hAnsi="Times New Roman"/>
          <w:sz w:val="21"/>
          <w:szCs w:val="21"/>
          <w:color w:val="auto"/>
        </w:rPr>
      </w:pPr>
    </w:p>
    <w:p>
      <w:pPr>
        <w:ind w:left="1500" w:right="2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RSP Supplemental Contributions to which a Group 2 Participant is entitled and shall credit such amount to the Participant’s Retirement Account as of the last day of such Plan Year.</w:t>
      </w:r>
    </w:p>
    <w:p>
      <w:pPr>
        <w:spacing w:after="0" w:line="205" w:lineRule="exact"/>
        <w:rPr>
          <w:sz w:val="20"/>
          <w:szCs w:val="20"/>
          <w:color w:val="auto"/>
        </w:rPr>
      </w:pPr>
    </w:p>
    <w:p>
      <w:pPr>
        <w:ind w:left="760" w:right="620" w:hanging="748"/>
        <w:spacing w:after="0" w:line="25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Company Contributions vest according to the schedule specified by the Committee on or before the time the contributions are made.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Deferrals of the cash portion of Performance Share Awards will vest as provided under the terms of the applicable award.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no vesting schedule is otherwise specified, Company Contributions vest as follows:</w:t>
      </w:r>
    </w:p>
    <w:p>
      <w:pPr>
        <w:spacing w:after="0" w:line="237" w:lineRule="exact"/>
        <w:rPr>
          <w:sz w:val="20"/>
          <w:szCs w:val="20"/>
          <w:color w:val="auto"/>
        </w:rPr>
      </w:pPr>
    </w:p>
    <w:tbl>
      <w:tblPr>
        <w:tblLayout w:type="fixed"/>
        <w:tblInd w:w="2430" w:type="dxa"/>
        <w:tblCellMar>
          <w:top w:w="0" w:type="dxa"/>
          <w:left w:w="0" w:type="dxa"/>
          <w:bottom w:w="0" w:type="dxa"/>
          <w:right w:w="0" w:type="dxa"/>
        </w:tblCellMar>
      </w:tblPr>
      <w:tr>
        <w:trPr>
          <w:trHeight w:val="290"/>
        </w:trPr>
        <w:tc>
          <w:tcPr>
            <w:tcW w:w="3260" w:type="dxa"/>
            <w:vAlign w:val="bottom"/>
            <w:tcBorders>
              <w:top w:val="single" w:sz="8" w:color="C0C0C0"/>
              <w:left w:val="single" w:sz="8" w:color="C0C0C0"/>
              <w:bottom w:val="single" w:sz="8" w:color="C0C0C0"/>
              <w:right w:val="single" w:sz="8" w:color="C0C0C0"/>
            </w:tcBorders>
          </w:tcPr>
          <w:p>
            <w:pPr>
              <w:ind w:left="120"/>
              <w:spacing w:after="0"/>
              <w:rPr>
                <w:sz w:val="20"/>
                <w:szCs w:val="20"/>
                <w:color w:val="auto"/>
              </w:rPr>
            </w:pPr>
            <w:r>
              <w:rPr>
                <w:rFonts w:ascii="Times New Roman" w:cs="Times New Roman" w:eastAsia="Times New Roman" w:hAnsi="Times New Roman"/>
                <w:sz w:val="20"/>
                <w:szCs w:val="20"/>
                <w:color w:val="595959"/>
              </w:rPr>
              <w:t>No. of Years of Service:</w:t>
            </w:r>
          </w:p>
        </w:tc>
        <w:tc>
          <w:tcPr>
            <w:tcW w:w="3140" w:type="dxa"/>
            <w:vAlign w:val="bottom"/>
            <w:tcBorders>
              <w:top w:val="single" w:sz="8" w:color="C0C0C0"/>
              <w:bottom w:val="single" w:sz="8" w:color="C0C0C0"/>
              <w:right w:val="single" w:sz="8" w:color="C0C0C0"/>
            </w:tcBorders>
          </w:tcPr>
          <w:p>
            <w:pPr>
              <w:jc w:val="right"/>
              <w:ind w:right="2241"/>
              <w:spacing w:after="0"/>
              <w:rPr>
                <w:sz w:val="20"/>
                <w:szCs w:val="20"/>
                <w:color w:val="auto"/>
              </w:rPr>
            </w:pPr>
            <w:r>
              <w:rPr>
                <w:rFonts w:ascii="Times New Roman" w:cs="Times New Roman" w:eastAsia="Times New Roman" w:hAnsi="Times New Roman"/>
                <w:sz w:val="20"/>
                <w:szCs w:val="20"/>
                <w:color w:val="595959"/>
              </w:rPr>
              <w:t>Vested %</w:t>
            </w:r>
          </w:p>
        </w:tc>
      </w:tr>
      <w:tr>
        <w:trPr>
          <w:trHeight w:val="233"/>
        </w:trPr>
        <w:tc>
          <w:tcPr>
            <w:tcW w:w="3260" w:type="dxa"/>
            <w:vAlign w:val="bottom"/>
            <w:tcBorders>
              <w:left w:val="single" w:sz="8" w:color="C0C0C0"/>
              <w:bottom w:val="single" w:sz="8" w:color="C0C0C0"/>
              <w:right w:val="single" w:sz="8" w:color="C0C0C0"/>
            </w:tcBorders>
          </w:tcPr>
          <w:p>
            <w:pPr>
              <w:ind w:left="220"/>
              <w:spacing w:after="0"/>
              <w:rPr>
                <w:sz w:val="20"/>
                <w:szCs w:val="20"/>
                <w:color w:val="auto"/>
              </w:rPr>
            </w:pPr>
            <w:r>
              <w:rPr>
                <w:rFonts w:ascii="Times New Roman" w:cs="Times New Roman" w:eastAsia="Times New Roman" w:hAnsi="Times New Roman"/>
                <w:sz w:val="20"/>
                <w:szCs w:val="20"/>
                <w:color w:val="595959"/>
              </w:rPr>
              <w:t>1 Years</w:t>
            </w:r>
          </w:p>
        </w:tc>
        <w:tc>
          <w:tcPr>
            <w:tcW w:w="3140" w:type="dxa"/>
            <w:vAlign w:val="bottom"/>
            <w:tcBorders>
              <w:bottom w:val="single" w:sz="8" w:color="C0C0C0"/>
              <w:right w:val="single" w:sz="8" w:color="C0C0C0"/>
            </w:tcBorders>
          </w:tcPr>
          <w:p>
            <w:pPr>
              <w:jc w:val="right"/>
              <w:ind w:right="2261"/>
              <w:spacing w:after="0"/>
              <w:rPr>
                <w:sz w:val="20"/>
                <w:szCs w:val="20"/>
                <w:color w:val="auto"/>
              </w:rPr>
            </w:pPr>
            <w:r>
              <w:rPr>
                <w:rFonts w:ascii="Times New Roman" w:cs="Times New Roman" w:eastAsia="Times New Roman" w:hAnsi="Times New Roman"/>
                <w:sz w:val="20"/>
                <w:szCs w:val="20"/>
                <w:color w:val="595959"/>
              </w:rPr>
              <w:t>20 %</w:t>
            </w:r>
          </w:p>
        </w:tc>
      </w:tr>
      <w:tr>
        <w:trPr>
          <w:trHeight w:val="250"/>
        </w:trPr>
        <w:tc>
          <w:tcPr>
            <w:tcW w:w="3260" w:type="dxa"/>
            <w:vAlign w:val="bottom"/>
            <w:tcBorders>
              <w:left w:val="single" w:sz="8" w:color="C0C0C0"/>
              <w:bottom w:val="single" w:sz="8" w:color="C0C0C0"/>
              <w:right w:val="single" w:sz="8" w:color="C0C0C0"/>
            </w:tcBorders>
          </w:tcPr>
          <w:p>
            <w:pPr>
              <w:ind w:left="220"/>
              <w:spacing w:after="0"/>
              <w:rPr>
                <w:sz w:val="20"/>
                <w:szCs w:val="20"/>
                <w:color w:val="auto"/>
              </w:rPr>
            </w:pPr>
            <w:r>
              <w:rPr>
                <w:rFonts w:ascii="Times New Roman" w:cs="Times New Roman" w:eastAsia="Times New Roman" w:hAnsi="Times New Roman"/>
                <w:sz w:val="20"/>
                <w:szCs w:val="20"/>
                <w:color w:val="595959"/>
              </w:rPr>
              <w:t>2 Years</w:t>
            </w:r>
          </w:p>
        </w:tc>
        <w:tc>
          <w:tcPr>
            <w:tcW w:w="3140" w:type="dxa"/>
            <w:vAlign w:val="bottom"/>
            <w:tcBorders>
              <w:bottom w:val="single" w:sz="8" w:color="C0C0C0"/>
              <w:right w:val="single" w:sz="8" w:color="C0C0C0"/>
            </w:tcBorders>
          </w:tcPr>
          <w:p>
            <w:pPr>
              <w:jc w:val="right"/>
              <w:ind w:right="2521"/>
              <w:spacing w:after="0"/>
              <w:rPr>
                <w:sz w:val="20"/>
                <w:szCs w:val="20"/>
                <w:color w:val="auto"/>
              </w:rPr>
            </w:pPr>
            <w:r>
              <w:rPr>
                <w:rFonts w:ascii="Times New Roman" w:cs="Times New Roman" w:eastAsia="Times New Roman" w:hAnsi="Times New Roman"/>
                <w:sz w:val="20"/>
                <w:szCs w:val="20"/>
                <w:color w:val="595959"/>
              </w:rPr>
              <w:t>40 %</w:t>
            </w:r>
          </w:p>
        </w:tc>
      </w:tr>
      <w:tr>
        <w:trPr>
          <w:trHeight w:val="250"/>
        </w:trPr>
        <w:tc>
          <w:tcPr>
            <w:tcW w:w="3260" w:type="dxa"/>
            <w:vAlign w:val="bottom"/>
            <w:tcBorders>
              <w:left w:val="single" w:sz="8" w:color="C0C0C0"/>
              <w:bottom w:val="single" w:sz="8" w:color="C0C0C0"/>
              <w:right w:val="single" w:sz="8" w:color="C0C0C0"/>
            </w:tcBorders>
          </w:tcPr>
          <w:p>
            <w:pPr>
              <w:ind w:left="220"/>
              <w:spacing w:after="0"/>
              <w:rPr>
                <w:sz w:val="20"/>
                <w:szCs w:val="20"/>
                <w:color w:val="auto"/>
              </w:rPr>
            </w:pPr>
            <w:r>
              <w:rPr>
                <w:rFonts w:ascii="Times New Roman" w:cs="Times New Roman" w:eastAsia="Times New Roman" w:hAnsi="Times New Roman"/>
                <w:sz w:val="20"/>
                <w:szCs w:val="20"/>
                <w:color w:val="595959"/>
              </w:rPr>
              <w:t>3 Years</w:t>
            </w:r>
          </w:p>
        </w:tc>
        <w:tc>
          <w:tcPr>
            <w:tcW w:w="3140" w:type="dxa"/>
            <w:vAlign w:val="bottom"/>
            <w:tcBorders>
              <w:bottom w:val="single" w:sz="8" w:color="C0C0C0"/>
              <w:right w:val="single" w:sz="8" w:color="C0C0C0"/>
            </w:tcBorders>
          </w:tcPr>
          <w:p>
            <w:pPr>
              <w:jc w:val="right"/>
              <w:ind w:right="2521"/>
              <w:spacing w:after="0"/>
              <w:rPr>
                <w:sz w:val="20"/>
                <w:szCs w:val="20"/>
                <w:color w:val="auto"/>
              </w:rPr>
            </w:pPr>
            <w:r>
              <w:rPr>
                <w:rFonts w:ascii="Times New Roman" w:cs="Times New Roman" w:eastAsia="Times New Roman" w:hAnsi="Times New Roman"/>
                <w:sz w:val="20"/>
                <w:szCs w:val="20"/>
                <w:color w:val="595959"/>
              </w:rPr>
              <w:t>60 %</w:t>
            </w:r>
          </w:p>
        </w:tc>
      </w:tr>
      <w:tr>
        <w:trPr>
          <w:trHeight w:val="250"/>
        </w:trPr>
        <w:tc>
          <w:tcPr>
            <w:tcW w:w="3260" w:type="dxa"/>
            <w:vAlign w:val="bottom"/>
            <w:tcBorders>
              <w:left w:val="single" w:sz="8" w:color="C0C0C0"/>
              <w:bottom w:val="single" w:sz="8" w:color="C0C0C0"/>
              <w:right w:val="single" w:sz="8" w:color="C0C0C0"/>
            </w:tcBorders>
          </w:tcPr>
          <w:p>
            <w:pPr>
              <w:ind w:left="220"/>
              <w:spacing w:after="0"/>
              <w:rPr>
                <w:sz w:val="20"/>
                <w:szCs w:val="20"/>
                <w:color w:val="auto"/>
              </w:rPr>
            </w:pPr>
            <w:r>
              <w:rPr>
                <w:rFonts w:ascii="Times New Roman" w:cs="Times New Roman" w:eastAsia="Times New Roman" w:hAnsi="Times New Roman"/>
                <w:sz w:val="20"/>
                <w:szCs w:val="20"/>
                <w:color w:val="595959"/>
              </w:rPr>
              <w:t>4 Years</w:t>
            </w:r>
          </w:p>
        </w:tc>
        <w:tc>
          <w:tcPr>
            <w:tcW w:w="3140" w:type="dxa"/>
            <w:vAlign w:val="bottom"/>
            <w:tcBorders>
              <w:bottom w:val="single" w:sz="8" w:color="C0C0C0"/>
              <w:right w:val="single" w:sz="8" w:color="C0C0C0"/>
            </w:tcBorders>
          </w:tcPr>
          <w:p>
            <w:pPr>
              <w:jc w:val="right"/>
              <w:ind w:right="2521"/>
              <w:spacing w:after="0"/>
              <w:rPr>
                <w:sz w:val="20"/>
                <w:szCs w:val="20"/>
                <w:color w:val="auto"/>
              </w:rPr>
            </w:pPr>
            <w:r>
              <w:rPr>
                <w:rFonts w:ascii="Times New Roman" w:cs="Times New Roman" w:eastAsia="Times New Roman" w:hAnsi="Times New Roman"/>
                <w:sz w:val="20"/>
                <w:szCs w:val="20"/>
                <w:color w:val="595959"/>
              </w:rPr>
              <w:t>80 %</w:t>
            </w:r>
          </w:p>
        </w:tc>
      </w:tr>
      <w:tr>
        <w:trPr>
          <w:trHeight w:val="250"/>
        </w:trPr>
        <w:tc>
          <w:tcPr>
            <w:tcW w:w="3260" w:type="dxa"/>
            <w:vAlign w:val="bottom"/>
            <w:tcBorders>
              <w:left w:val="single" w:sz="8" w:color="C0C0C0"/>
              <w:bottom w:val="single" w:sz="8" w:color="C0C0C0"/>
              <w:right w:val="single" w:sz="8" w:color="C0C0C0"/>
            </w:tcBorders>
          </w:tcPr>
          <w:p>
            <w:pPr>
              <w:ind w:left="220"/>
              <w:spacing w:after="0"/>
              <w:rPr>
                <w:sz w:val="20"/>
                <w:szCs w:val="20"/>
                <w:color w:val="auto"/>
              </w:rPr>
            </w:pPr>
            <w:r>
              <w:rPr>
                <w:rFonts w:ascii="Times New Roman" w:cs="Times New Roman" w:eastAsia="Times New Roman" w:hAnsi="Times New Roman"/>
                <w:sz w:val="20"/>
                <w:szCs w:val="20"/>
                <w:color w:val="595959"/>
              </w:rPr>
              <w:t>5 Years</w:t>
            </w:r>
          </w:p>
        </w:tc>
        <w:tc>
          <w:tcPr>
            <w:tcW w:w="3140" w:type="dxa"/>
            <w:vAlign w:val="bottom"/>
            <w:tcBorders>
              <w:bottom w:val="single" w:sz="8" w:color="C0C0C0"/>
              <w:right w:val="single" w:sz="8" w:color="C0C0C0"/>
            </w:tcBorders>
          </w:tcPr>
          <w:p>
            <w:pPr>
              <w:jc w:val="right"/>
              <w:ind w:right="2161"/>
              <w:spacing w:after="0"/>
              <w:rPr>
                <w:sz w:val="20"/>
                <w:szCs w:val="20"/>
                <w:color w:val="auto"/>
              </w:rPr>
            </w:pPr>
            <w:r>
              <w:rPr>
                <w:rFonts w:ascii="Times New Roman" w:cs="Times New Roman" w:eastAsia="Times New Roman" w:hAnsi="Times New Roman"/>
                <w:sz w:val="20"/>
                <w:szCs w:val="20"/>
                <w:color w:val="595959"/>
              </w:rPr>
              <w:t>100%</w:t>
            </w:r>
          </w:p>
        </w:tc>
      </w:tr>
    </w:tbl>
    <w:p>
      <w:pPr>
        <w:spacing w:after="0" w:line="200" w:lineRule="exact"/>
        <w:rPr>
          <w:sz w:val="20"/>
          <w:szCs w:val="20"/>
          <w:color w:val="auto"/>
        </w:rPr>
      </w:pPr>
    </w:p>
    <w:p>
      <w:pPr>
        <w:spacing w:after="0" w:line="259" w:lineRule="exact"/>
        <w:rPr>
          <w:sz w:val="20"/>
          <w:szCs w:val="20"/>
          <w:color w:val="auto"/>
        </w:rPr>
      </w:pPr>
    </w:p>
    <w:p>
      <w:pPr>
        <w:ind w:left="760" w:right="340"/>
        <w:spacing w:after="0" w:line="258" w:lineRule="auto"/>
        <w:rPr>
          <w:sz w:val="20"/>
          <w:szCs w:val="20"/>
          <w:color w:val="auto"/>
        </w:rPr>
      </w:pPr>
      <w:r>
        <w:rPr>
          <w:rFonts w:ascii="Times New Roman" w:cs="Times New Roman" w:eastAsia="Times New Roman" w:hAnsi="Times New Roman"/>
          <w:sz w:val="22"/>
          <w:szCs w:val="22"/>
          <w:color w:val="auto"/>
        </w:rPr>
        <w:t>Participants are credited with one year of service for each 12 month-period of continuous service commencing on the date the Employee becomes a Participant in the Plan and each anniversary thereof.</w:t>
      </w:r>
    </w:p>
    <w:p>
      <w:pPr>
        <w:spacing w:after="0" w:line="185" w:lineRule="exact"/>
        <w:rPr>
          <w:sz w:val="20"/>
          <w:szCs w:val="20"/>
          <w:color w:val="auto"/>
        </w:rPr>
      </w:pPr>
    </w:p>
    <w:p>
      <w:pPr>
        <w:ind w:left="760" w:right="100"/>
        <w:spacing w:after="0" w:line="251" w:lineRule="auto"/>
        <w:rPr>
          <w:sz w:val="20"/>
          <w:szCs w:val="20"/>
          <w:color w:val="auto"/>
        </w:rPr>
      </w:pPr>
      <w:r>
        <w:rPr>
          <w:rFonts w:ascii="Times New Roman" w:cs="Times New Roman" w:eastAsia="Times New Roman" w:hAnsi="Times New Roman"/>
          <w:sz w:val="21"/>
          <w:szCs w:val="21"/>
          <w:color w:val="auto"/>
        </w:rPr>
        <w:t>All Accounts become 100% vested, if while employed by an Employer, a Participant dies, becomes disabled (within the meaning of any long-term disability plan of the Employer that is applicable to the Participant), or his or her Employer experiences a Change in Control. Notwithstanding the foregoing, in the event of a “Change in Control” as defined in a Change in Control Agreement, if any, in effect between a Participant and the Company at the date such “Change in Control” occurs, the terms of such Change in Control Agreement shall apply with respect to such Participant.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Payments from Accounts</w:t>
      </w:r>
    </w:p>
    <w:p>
      <w:pPr>
        <w:spacing w:after="0" w:line="317" w:lineRule="exact"/>
        <w:rPr>
          <w:sz w:val="20"/>
          <w:szCs w:val="20"/>
          <w:color w:val="auto"/>
        </w:rPr>
      </w:pPr>
    </w:p>
    <w:p>
      <w:pPr>
        <w:jc w:val="both"/>
        <w:ind w:left="760" w:right="300" w:hanging="748"/>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 Rules</w:t>
      </w:r>
      <w:r>
        <w:rPr>
          <w:rFonts w:ascii="Times New Roman" w:cs="Times New Roman" w:eastAsia="Times New Roman" w:hAnsi="Times New Roman"/>
          <w:sz w:val="22"/>
          <w:szCs w:val="22"/>
          <w:color w:val="auto"/>
        </w:rPr>
        <w:t>. A Participant’s Accounts become payable upon the first to occur of the payment events applicable to such Account under (i) Sections 6.2 or 6.3 (as elected, and subject to the $100,000 minimum balance requirement) and (ii) Sections 6.4 through 6.6.</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30" w:name="page131"/>
    <w:bookmarkEnd w:id="130"/>
    <w:p>
      <w:pPr>
        <w:ind w:right="76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300"/>
        <w:spacing w:after="0" w:line="244" w:lineRule="auto"/>
        <w:rPr>
          <w:sz w:val="20"/>
          <w:szCs w:val="20"/>
          <w:color w:val="auto"/>
        </w:rPr>
      </w:pPr>
      <w:r>
        <w:rPr>
          <w:rFonts w:ascii="Times New Roman" w:cs="Times New Roman" w:eastAsia="Times New Roman" w:hAnsi="Times New Roman"/>
          <w:sz w:val="22"/>
          <w:szCs w:val="22"/>
          <w:color w:val="auto"/>
        </w:rP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6.9.</w:t>
      </w:r>
    </w:p>
    <w:p>
      <w:pPr>
        <w:spacing w:after="0" w:line="200" w:lineRule="exact"/>
        <w:rPr>
          <w:sz w:val="20"/>
          <w:szCs w:val="20"/>
          <w:color w:val="auto"/>
        </w:rPr>
      </w:pPr>
    </w:p>
    <w:p>
      <w:pPr>
        <w:ind w:left="760" w:right="240"/>
        <w:spacing w:after="0" w:line="258" w:lineRule="auto"/>
        <w:rPr>
          <w:sz w:val="20"/>
          <w:szCs w:val="20"/>
          <w:color w:val="auto"/>
        </w:rPr>
      </w:pPr>
      <w:r>
        <w:rPr>
          <w:rFonts w:ascii="Times New Roman" w:cs="Times New Roman" w:eastAsia="Times New Roman" w:hAnsi="Times New Roman"/>
          <w:sz w:val="22"/>
          <w:szCs w:val="22"/>
          <w:color w:val="auto"/>
        </w:rPr>
        <w:t>Payment amounts are based on Account Balances as of the last Valuation Date of the month next preceding the month actual payment is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Specified Date Accounts</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left="760" w:right="20"/>
        <w:spacing w:after="0" w:line="228" w:lineRule="auto"/>
        <w:rPr>
          <w:sz w:val="20"/>
          <w:szCs w:val="20"/>
          <w:color w:val="auto"/>
        </w:rPr>
      </w:pPr>
      <w:r>
        <w:rPr>
          <w:rFonts w:ascii="Times New Roman" w:cs="Times New Roman" w:eastAsia="Times New Roman" w:hAnsi="Times New Roman"/>
          <w:sz w:val="22"/>
          <w:szCs w:val="22"/>
          <w:i w:val="1"/>
          <w:iCs w:val="1"/>
          <w:color w:val="auto"/>
        </w:rPr>
        <w:t xml:space="preserve">Commencement. </w:t>
      </w:r>
      <w:r>
        <w:rPr>
          <w:rFonts w:ascii="Times New Roman" w:cs="Times New Roman" w:eastAsia="Times New Roman" w:hAnsi="Times New Roman"/>
          <w:sz w:val="22"/>
          <w:szCs w:val="22"/>
          <w:color w:val="auto"/>
        </w:rPr>
        <w:t>Payment is made or begins in the calendar year designated by the Participant. When a Specified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is first established, the Account will pay in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year following the year the Compensation Deferral Agreement that established the Account is effective unless the Participant designates a later calendar year. For example, a Specified Date Account established for the 2019 Plan Year will commence in 2023, unless the Participant designated a later calendar year.</w:t>
      </w:r>
    </w:p>
    <w:p>
      <w:pPr>
        <w:spacing w:after="0" w:line="204" w:lineRule="exact"/>
        <w:rPr>
          <w:sz w:val="20"/>
          <w:szCs w:val="20"/>
          <w:color w:val="auto"/>
        </w:rPr>
      </w:pPr>
    </w:p>
    <w:p>
      <w:pPr>
        <w:ind w:left="760" w:right="8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Form of Payment. </w:t>
      </w:r>
      <w:r>
        <w:rPr>
          <w:rFonts w:ascii="Times New Roman" w:cs="Times New Roman" w:eastAsia="Times New Roman" w:hAnsi="Times New Roman"/>
          <w:sz w:val="22"/>
          <w:szCs w:val="22"/>
          <w:color w:val="auto"/>
        </w:rPr>
        <w:t>Payment will be made in a lump sum, unless the Participant elected to receive annual installments 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five years.</w:t>
      </w:r>
    </w:p>
    <w:p>
      <w:pPr>
        <w:spacing w:after="0" w:line="181" w:lineRule="exact"/>
        <w:rPr>
          <w:sz w:val="20"/>
          <w:szCs w:val="20"/>
          <w:color w:val="auto"/>
        </w:rPr>
      </w:pPr>
    </w:p>
    <w:p>
      <w:pPr>
        <w:ind w:left="760" w:right="20"/>
        <w:spacing w:after="0" w:line="244" w:lineRule="auto"/>
        <w:rPr>
          <w:sz w:val="20"/>
          <w:szCs w:val="20"/>
          <w:color w:val="auto"/>
        </w:rPr>
      </w:pPr>
      <w:r>
        <w:rPr>
          <w:rFonts w:ascii="Times New Roman" w:cs="Times New Roman" w:eastAsia="Times New Roman" w:hAnsi="Times New Roman"/>
          <w:sz w:val="22"/>
          <w:szCs w:val="22"/>
          <w:color w:val="auto"/>
        </w:rPr>
        <w:t>The time and form of payment of Specified Date Accounts is unaffected by an earlier Separation from Service, provided the Participant’s total Account Balance is more than $100,000 as of his or her Separation from Service, as set forth in Section 6.3.</w:t>
      </w:r>
    </w:p>
    <w:p>
      <w:pPr>
        <w:spacing w:after="0" w:line="200" w:lineRule="exact"/>
        <w:rPr>
          <w:sz w:val="20"/>
          <w:szCs w:val="20"/>
          <w:color w:val="auto"/>
        </w:rPr>
      </w:pPr>
    </w:p>
    <w:p>
      <w:pPr>
        <w:ind w:left="760" w:hanging="748"/>
        <w:spacing w:after="0" w:line="25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Upon a Participant’s Separation from Service other than death, the Participant is entitled to receive his or her vested Retirement Account and vested Separation Accounts.</w:t>
      </w:r>
    </w:p>
    <w:p>
      <w:pPr>
        <w:spacing w:after="0" w:line="181" w:lineRule="exact"/>
        <w:rPr>
          <w:sz w:val="20"/>
          <w:szCs w:val="20"/>
          <w:color w:val="auto"/>
        </w:rPr>
      </w:pPr>
    </w:p>
    <w:p>
      <w:pPr>
        <w:ind w:left="1500" w:right="140" w:hanging="690"/>
        <w:spacing w:after="0" w:line="238" w:lineRule="auto"/>
        <w:tabs>
          <w:tab w:leader="none" w:pos="12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Commencement. </w:t>
      </w:r>
      <w:r>
        <w:rPr>
          <w:rFonts w:ascii="Times New Roman" w:cs="Times New Roman" w:eastAsia="Times New Roman" w:hAnsi="Times New Roman"/>
          <w:sz w:val="22"/>
          <w:szCs w:val="22"/>
          <w:color w:val="auto"/>
        </w:rPr>
        <w:t>Each vested Retirement Account and all Separation Accounts will commence payment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calendar year next following the calendar year in which the Participant’s Separation from Service occurs. Notwithstanding the foregoing, all Accounts, including any unpaid Specified Date Accounts will be payable upon Separation from Service if the combined Account Balance for a Participant is not more than $100,000 as of his or her Separation from Service.</w:t>
      </w:r>
    </w:p>
    <w:p>
      <w:pPr>
        <w:spacing w:after="0" w:line="203" w:lineRule="exact"/>
        <w:rPr>
          <w:rFonts w:ascii="Times New Roman" w:cs="Times New Roman" w:eastAsia="Times New Roman" w:hAnsi="Times New Roman"/>
          <w:sz w:val="22"/>
          <w:szCs w:val="22"/>
          <w:color w:val="auto"/>
        </w:rPr>
      </w:pPr>
    </w:p>
    <w:p>
      <w:pPr>
        <w:ind w:left="1500" w:right="200" w:hanging="690"/>
        <w:spacing w:after="0" w:line="237" w:lineRule="auto"/>
        <w:tabs>
          <w:tab w:leader="none" w:pos="12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Form of Payment. </w:t>
      </w:r>
      <w:r>
        <w:rPr>
          <w:rFonts w:ascii="Times New Roman" w:cs="Times New Roman" w:eastAsia="Times New Roman" w:hAnsi="Times New Roman"/>
          <w:sz w:val="22"/>
          <w:szCs w:val="22"/>
          <w:color w:val="auto"/>
        </w:rPr>
        <w:t>The vested Retirement Account and Separation Accounts will be paid in a single lump sum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unless the Participant elected with respect to an Account to receive annual installments up to 10 years. If the combined vested Account Balances of all of a Participant’s Accounts on the date of a Participant’s Separation from Service is not more than $100,000, all Accounts will be paid in a lump sum, without regard to the provisions of Section 6.2 and without regard to any other election the Participant may have made for such Accounts.</w:t>
      </w:r>
    </w:p>
    <w:p>
      <w:pPr>
        <w:spacing w:after="0" w:line="202" w:lineRule="exact"/>
        <w:rPr>
          <w:rFonts w:ascii="Times New Roman" w:cs="Times New Roman" w:eastAsia="Times New Roman" w:hAnsi="Times New Roman"/>
          <w:sz w:val="22"/>
          <w:szCs w:val="22"/>
          <w:color w:val="auto"/>
        </w:rPr>
      </w:pPr>
    </w:p>
    <w:p>
      <w:pPr>
        <w:ind w:left="1500" w:hanging="690"/>
        <w:spacing w:after="0" w:line="239" w:lineRule="auto"/>
        <w:tabs>
          <w:tab w:leader="none" w:pos="123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Mandatory Delay for Specified Employees</w:t>
      </w:r>
      <w:r>
        <w:rPr>
          <w:rFonts w:ascii="Times New Roman" w:cs="Times New Roman" w:eastAsia="Times New Roman" w:hAnsi="Times New Roman"/>
          <w:sz w:val="22"/>
          <w:szCs w:val="22"/>
          <w:color w:val="auto"/>
        </w:rPr>
        <w:t>. Notwithstanding any other provision of this Plan, to the extent required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comply with Code Section 409A, payment to a Participant who is a “specified employee” as defined in Code Section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 w:right="399" w:bottom="1440" w:gutter="0" w:footer="0" w:header="0"/>
        </w:sectPr>
      </w:pPr>
    </w:p>
    <w:bookmarkStart w:id="131" w:name="page132"/>
    <w:bookmarkEnd w:id="131"/>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409A(a)(2)(B) will commence no earlier than six months following his or her Separation from Service.</w:t>
      </w:r>
    </w:p>
    <w:p>
      <w:pPr>
        <w:spacing w:after="0" w:line="233" w:lineRule="exact"/>
        <w:rPr>
          <w:sz w:val="20"/>
          <w:szCs w:val="20"/>
          <w:color w:val="auto"/>
        </w:rPr>
      </w:pPr>
    </w:p>
    <w:p>
      <w:pPr>
        <w:jc w:val="both"/>
        <w:ind w:left="760" w:right="120" w:hanging="748"/>
        <w:spacing w:after="0" w:line="239"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Notwithstanding anything to the contrary in this Article VI, upon the death of the Participant (regardless of whether such Participant is an Employee at the time of death), all remaining vested Account Balances shall be paid to his or her Beneficiary in a single lump sum no later than December 31 of the calendar year following the year of the Participant’s death.</w:t>
      </w:r>
    </w:p>
    <w:p>
      <w:pPr>
        <w:spacing w:after="0" w:line="203" w:lineRule="exact"/>
        <w:rPr>
          <w:sz w:val="20"/>
          <w:szCs w:val="20"/>
          <w:color w:val="auto"/>
        </w:rPr>
      </w:pPr>
    </w:p>
    <w:p>
      <w:pPr>
        <w:ind w:left="1500" w:right="120" w:hanging="690"/>
        <w:spacing w:after="0" w:line="235" w:lineRule="auto"/>
        <w:tabs>
          <w:tab w:leader="none" w:pos="12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Designation of Beneficiary in General</w:t>
      </w:r>
      <w:r>
        <w:rPr>
          <w:rFonts w:ascii="Times New Roman" w:cs="Times New Roman" w:eastAsia="Times New Roman" w:hAnsi="Times New Roman"/>
          <w:sz w:val="22"/>
          <w:szCs w:val="22"/>
          <w:color w:val="auto"/>
        </w:rPr>
        <w:t>. The Participant shall designate a Beneficiary in the manner and on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conditions as the Committee may prescribe. No such designation shall become effective unless filed with the 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spacing w:after="0" w:line="178" w:lineRule="exact"/>
        <w:rPr>
          <w:rFonts w:ascii="Times New Roman" w:cs="Times New Roman" w:eastAsia="Times New Roman" w:hAnsi="Times New Roman"/>
          <w:sz w:val="22"/>
          <w:szCs w:val="22"/>
          <w:color w:val="auto"/>
        </w:rPr>
      </w:pPr>
    </w:p>
    <w:p>
      <w:pPr>
        <w:ind w:left="1500" w:hanging="690"/>
        <w:spacing w:after="0" w:line="241" w:lineRule="auto"/>
        <w:tabs>
          <w:tab w:leader="none" w:pos="123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Beneficiary</w:t>
      </w:r>
      <w:r>
        <w:rPr>
          <w:rFonts w:ascii="Times New Roman" w:cs="Times New Roman" w:eastAsia="Times New Roman" w:hAnsi="Times New Roman"/>
          <w:sz w:val="22"/>
          <w:szCs w:val="22"/>
          <w:color w:val="auto"/>
        </w:rPr>
        <w:t>. If a designated Beneficiary does not survive the Participant, or if there is no valid Beneficiary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designation, amounts payable under the Plan upon the death of the Participant shall be paid to the Participant’s spouse, or if there is no surviving spouse, then to the duly appointed and currently acting personal representative of the Participant’s estate.</w:t>
      </w:r>
    </w:p>
    <w:p>
      <w:pPr>
        <w:spacing w:after="0" w:line="176" w:lineRule="exact"/>
        <w:rPr>
          <w:sz w:val="20"/>
          <w:szCs w:val="20"/>
          <w:color w:val="auto"/>
        </w:rPr>
      </w:pPr>
    </w:p>
    <w:p>
      <w:pPr>
        <w:ind w:left="760" w:right="20" w:hanging="748"/>
        <w:spacing w:after="0" w:line="23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Unforeseeable Emergency</w:t>
      </w:r>
      <w:r>
        <w:rPr>
          <w:rFonts w:ascii="Times New Roman" w:cs="Times New Roman" w:eastAsia="Times New Roman" w:hAnsi="Times New Roman"/>
          <w:sz w:val="22"/>
          <w:szCs w:val="22"/>
          <w:color w:val="auto"/>
        </w:rPr>
        <w:t>. A Participant who experiences an Unforeseeable Emergency may submit a written request to the Committee to receive payment of all or any portion of his or her vested Accounts. If the emergency need cannot be relieved by cessation of Deferrals to the Plan, the Committee may approve an emergency payment therefrom not to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from the Separation Accounts and then from the Specified Date Accounts, starting with the Account having the latest commencement date until fully distributed, then continuing in this manner with the next latest Account until the full amount of the distribution is made. Emergency payments shall be paid in a single lump sum within the 90-day period following the date the payment is approved by the Committee. The Committee may specify that Deferrals will be distributed before any Company Contributions.</w:t>
      </w:r>
    </w:p>
    <w:p>
      <w:pPr>
        <w:spacing w:after="0" w:line="214" w:lineRule="exact"/>
        <w:rPr>
          <w:sz w:val="20"/>
          <w:szCs w:val="20"/>
          <w:color w:val="auto"/>
        </w:rPr>
      </w:pPr>
    </w:p>
    <w:p>
      <w:pPr>
        <w:ind w:left="760" w:right="180" w:hanging="748"/>
        <w:spacing w:after="0" w:line="238"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Administrative Cash-Out of Small Balances</w:t>
      </w:r>
      <w:r>
        <w:rPr>
          <w:rFonts w:ascii="Times New Roman" w:cs="Times New Roman" w:eastAsia="Times New Roman" w:hAnsi="Times New Roman"/>
          <w:sz w:val="22"/>
          <w:szCs w:val="22"/>
          <w:color w:val="auto"/>
        </w:rPr>
        <w:t>. Notwithstanding anything to the contrary in this Article VI, the Committee may at any time and without regard to whether a payment event has occurred, direct in writing an immediate lump sum payment of the Participant’s</w:t>
      </w: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2" w:name="page133"/>
    <w:bookmarkEnd w:id="132"/>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120"/>
        <w:spacing w:after="0" w:line="244" w:lineRule="auto"/>
        <w:rPr>
          <w:sz w:val="20"/>
          <w:szCs w:val="20"/>
          <w:color w:val="auto"/>
        </w:rPr>
      </w:pPr>
      <w:r>
        <w:rPr>
          <w:rFonts w:ascii="Times New Roman" w:cs="Times New Roman" w:eastAsia="Times New Roman" w:hAnsi="Times New Roman"/>
          <w:sz w:val="22"/>
          <w:szCs w:val="22"/>
          <w:color w:val="auto"/>
        </w:rPr>
        <w:t>Accounts if the balance of such Accounts, combined with any other amounts required to be treated as deferred under a single plan pursuant to Code Section 409A, does not exceed the applicable dollar amount under Code Section 402(g)(1) (B), provided any other such aggregated amounts are also distributed in a lump sum at the same time.</w:t>
      </w:r>
    </w:p>
    <w:p>
      <w:pPr>
        <w:spacing w:after="0" w:line="200" w:lineRule="exact"/>
        <w:rPr>
          <w:sz w:val="20"/>
          <w:szCs w:val="20"/>
          <w:color w:val="auto"/>
        </w:rPr>
      </w:pPr>
    </w:p>
    <w:p>
      <w:pPr>
        <w:ind w:left="760" w:right="100" w:hanging="748"/>
        <w:spacing w:after="0" w:line="255"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u w:val="single" w:color="auto"/>
          <w:color w:val="auto"/>
        </w:rPr>
        <w:t>Acceleration of or Delay in Payments</w:t>
      </w:r>
      <w:r>
        <w:rPr>
          <w:rFonts w:ascii="Times New Roman" w:cs="Times New Roman" w:eastAsia="Times New Roman" w:hAnsi="Times New Roman"/>
          <w:sz w:val="21"/>
          <w:szCs w:val="21"/>
          <w:color w:val="auto"/>
        </w:rPr>
        <w:t>. Notwithstanding anything to the contrary in this Article VI, the Board, in its sole and absolute discretion, may elect to accelerate the time or form of payment of an Account, provided such acceleration is permitted under Treas. Reg. Section 1.409A-3(j)(4). The Board may also, in its sole and absolute discretion, delay the time for payment of an Account, to the extent permitted under Treas. Reg. Section 1.409A-2(b)(7).</w:t>
      </w:r>
    </w:p>
    <w:p>
      <w:pPr>
        <w:spacing w:after="0" w:line="189" w:lineRule="exact"/>
        <w:rPr>
          <w:sz w:val="20"/>
          <w:szCs w:val="20"/>
          <w:color w:val="auto"/>
        </w:rPr>
      </w:pPr>
    </w:p>
    <w:p>
      <w:pPr>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Rules Applicable to Installment Payments</w:t>
      </w:r>
      <w:r>
        <w:rPr>
          <w:rFonts w:ascii="Times New Roman" w:cs="Times New Roman" w:eastAsia="Times New Roman" w:hAnsi="Times New Roman"/>
          <w:sz w:val="22"/>
          <w:szCs w:val="22"/>
          <w:color w:val="auto"/>
        </w:rPr>
        <w:t>. If a Payment Schedule specifies installment payments, payments will be made beginning as of the payment commencement date for such installments and shall continue to be made in each subsequent payment period until the number of installment payments specified in the Payment Schedule has been paid. The amount of each installment payment shall be determined by dividing (a) by (b), where (a) equals the Account Balance as of the last Valuation Date in the month preceding the month of payment (or as of such other date as approved by the Committee to facilitate administration of the Plan) and (b) equals the remaining number of installment payments. For purposes of Section 6.9, installment payments will be treated as a single payment. If an Account is payable in installments, the Account will continue to be credited with Earnings in accordance with Article VII hereof until the Account is completely distributed.</w:t>
      </w:r>
    </w:p>
    <w:p>
      <w:pPr>
        <w:spacing w:after="0" w:line="210" w:lineRule="exact"/>
        <w:rPr>
          <w:sz w:val="20"/>
          <w:szCs w:val="20"/>
          <w:color w:val="auto"/>
        </w:rPr>
      </w:pPr>
    </w:p>
    <w:p>
      <w:pPr>
        <w:ind w:left="760" w:right="20" w:hanging="748"/>
        <w:spacing w:after="0" w:line="244"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Modifications to Payment Schedules</w:t>
      </w:r>
      <w:r>
        <w:rPr>
          <w:rFonts w:ascii="Times New Roman" w:cs="Times New Roman" w:eastAsia="Times New Roman" w:hAnsi="Times New Roman"/>
          <w:sz w:val="22"/>
          <w:szCs w:val="22"/>
          <w:color w:val="auto"/>
        </w:rPr>
        <w:t>. A Participant may modify the Payment Schedule elected by him or her with respect to an Account, consistent with the permissible Payment Schedules available under the Plan for the applicable payment event, provided such modification complies with the requirements of this Section 6.9.</w:t>
      </w:r>
    </w:p>
    <w:p>
      <w:pPr>
        <w:spacing w:after="0" w:line="196" w:lineRule="exact"/>
        <w:rPr>
          <w:sz w:val="20"/>
          <w:szCs w:val="20"/>
          <w:color w:val="auto"/>
        </w:rPr>
      </w:pPr>
    </w:p>
    <w:p>
      <w:pPr>
        <w:ind w:left="1500" w:right="260" w:hanging="690"/>
        <w:spacing w:after="0" w:line="246" w:lineRule="auto"/>
        <w:tabs>
          <w:tab w:leader="none" w:pos="12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 of Election</w:t>
      </w:r>
      <w:r>
        <w:rPr>
          <w:rFonts w:ascii="Times New Roman" w:cs="Times New Roman" w:eastAsia="Times New Roman" w:hAnsi="Times New Roman"/>
          <w:sz w:val="22"/>
          <w:szCs w:val="22"/>
          <w:color w:val="auto"/>
        </w:rPr>
        <w:t>. The modification election must be submitted to the Committee not less than 12 months prior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payments would have commenced under the Payment Schedule in effect prior to modification (the “Prior Election”).</w:t>
      </w:r>
    </w:p>
    <w:p>
      <w:pPr>
        <w:spacing w:after="0" w:line="194" w:lineRule="exact"/>
        <w:rPr>
          <w:rFonts w:ascii="Times New Roman" w:cs="Times New Roman" w:eastAsia="Times New Roman" w:hAnsi="Times New Roman"/>
          <w:sz w:val="22"/>
          <w:szCs w:val="22"/>
          <w:color w:val="auto"/>
        </w:rPr>
      </w:pPr>
    </w:p>
    <w:p>
      <w:pPr>
        <w:ind w:left="1500" w:right="60" w:hanging="690"/>
        <w:spacing w:after="0" w:line="237" w:lineRule="auto"/>
        <w:tabs>
          <w:tab w:leader="none" w:pos="12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Payment under Modified Payment Schedule</w:t>
      </w:r>
      <w:r>
        <w:rPr>
          <w:rFonts w:ascii="Times New Roman" w:cs="Times New Roman" w:eastAsia="Times New Roman" w:hAnsi="Times New Roman"/>
          <w:sz w:val="22"/>
          <w:szCs w:val="22"/>
          <w:color w:val="auto"/>
        </w:rPr>
        <w:t>. The date payments are to commence under the modified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Schedule must be no earlier than five years after the date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on the fifth anniversary of the date payment would have commenced under the Prior Election.</w:t>
      </w:r>
    </w:p>
    <w:p>
      <w:pPr>
        <w:spacing w:after="0" w:line="202" w:lineRule="exact"/>
        <w:rPr>
          <w:rFonts w:ascii="Times New Roman" w:cs="Times New Roman" w:eastAsia="Times New Roman" w:hAnsi="Times New Roman"/>
          <w:sz w:val="22"/>
          <w:szCs w:val="22"/>
          <w:color w:val="auto"/>
        </w:rPr>
      </w:pPr>
    </w:p>
    <w:p>
      <w:pPr>
        <w:ind w:left="1500" w:right="160" w:hanging="690"/>
        <w:spacing w:after="0" w:line="262" w:lineRule="auto"/>
        <w:tabs>
          <w:tab w:leader="none" w:pos="12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Irrevocability; Effective Date</w:t>
      </w:r>
      <w:r>
        <w:rPr>
          <w:rFonts w:ascii="Times New Roman" w:cs="Times New Roman" w:eastAsia="Times New Roman" w:hAnsi="Times New Roman"/>
          <w:sz w:val="22"/>
          <w:szCs w:val="22"/>
          <w:color w:val="auto"/>
        </w:rPr>
        <w:t>. A modification election is irrevocable when filed and becomes effective 12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the filing date.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3" w:name="page134"/>
    <w:bookmarkEnd w:id="133"/>
    <w:p>
      <w:pPr>
        <w:ind w:right="78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5" w:lineRule="exact"/>
        <w:rPr>
          <w:sz w:val="20"/>
          <w:szCs w:val="20"/>
          <w:color w:val="auto"/>
        </w:rPr>
      </w:pPr>
    </w:p>
    <w:p>
      <w:pPr>
        <w:jc w:val="both"/>
        <w:ind w:left="1500" w:right="340" w:hanging="690"/>
        <w:spacing w:after="0" w:line="241" w:lineRule="auto"/>
        <w:tabs>
          <w:tab w:leader="none" w:pos="123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on Accounts</w:t>
      </w:r>
      <w:r>
        <w:rPr>
          <w:rFonts w:ascii="Times New Roman" w:cs="Times New Roman" w:eastAsia="Times New Roman" w:hAnsi="Times New Roman"/>
          <w:sz w:val="22"/>
          <w:szCs w:val="22"/>
          <w:color w:val="auto"/>
        </w:rPr>
        <w:t>. An election to modify a Payment Schedule is specific to the Account or payment event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it applies, and shall not be construed to affect the Payment Schedules or payment events of any other Accounts. A modification election has no effect on the lump sum cash out for Account Balances at or below $100,000 as provided in Section 6.3.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Valuation of Account Balances; Investments</w:t>
      </w:r>
    </w:p>
    <w:p>
      <w:pPr>
        <w:spacing w:after="0" w:line="74" w:lineRule="exact"/>
        <w:rPr>
          <w:sz w:val="20"/>
          <w:szCs w:val="20"/>
          <w:color w:val="auto"/>
        </w:rPr>
      </w:pPr>
    </w:p>
    <w:p>
      <w:pPr>
        <w:jc w:val="both"/>
        <w:ind w:left="760" w:right="180" w:hanging="748"/>
        <w:spacing w:after="0" w:line="24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Deferrals shall be credited to appropriate Accounts on the date such Compensation would have been paid to the Participant absent the Compensation Deferral Agreement. Valuation of Accounts shall be performed under procedures approved by the Committee.</w:t>
      </w:r>
    </w:p>
    <w:p>
      <w:pPr>
        <w:spacing w:after="0" w:line="200" w:lineRule="exact"/>
        <w:rPr>
          <w:sz w:val="20"/>
          <w:szCs w:val="20"/>
          <w:color w:val="auto"/>
        </w:rPr>
      </w:pPr>
    </w:p>
    <w:p>
      <w:pPr>
        <w:ind w:left="760" w:right="380" w:hanging="748"/>
        <w:spacing w:after="0" w:line="24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Earnings Credit.</w:t>
      </w:r>
      <w:r>
        <w:rPr>
          <w:rFonts w:ascii="Times New Roman" w:cs="Times New Roman" w:eastAsia="Times New Roman" w:hAnsi="Times New Roman"/>
          <w:sz w:val="22"/>
          <w:szCs w:val="22"/>
          <w:color w:val="auto"/>
        </w:rPr>
        <w:t xml:space="preserve"> Each Account will be credited with Earnings on each Business Day, based upon the Participant’s investment allocation among a menu of investment options selected in advance by the Board, in accordance with the provisions of this Article VII (“investment allocation”).</w:t>
      </w:r>
    </w:p>
    <w:p>
      <w:pPr>
        <w:spacing w:after="0" w:line="200" w:lineRule="exact"/>
        <w:rPr>
          <w:sz w:val="20"/>
          <w:szCs w:val="20"/>
          <w:color w:val="auto"/>
        </w:rPr>
      </w:pPr>
    </w:p>
    <w:p>
      <w:pPr>
        <w:ind w:left="760" w:right="140" w:hanging="748"/>
        <w:spacing w:after="0" w:line="23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Investment Options</w:t>
      </w:r>
      <w:r>
        <w:rPr>
          <w:rFonts w:ascii="Times New Roman" w:cs="Times New Roman" w:eastAsia="Times New Roman" w:hAnsi="Times New Roman"/>
          <w:sz w:val="22"/>
          <w:szCs w:val="22"/>
          <w:color w:val="auto"/>
        </w:rPr>
        <w:t>. Investment options will be determined by the Board. The Board, in its sole discretion, shall be permitted to add or remove investment options from the Plan menu from time to time, provided that any such additions or removals of investment options shall not be effective with respect to any period prior to the effective date of such change.</w:t>
      </w:r>
    </w:p>
    <w:p>
      <w:pPr>
        <w:spacing w:after="0" w:line="207" w:lineRule="exact"/>
        <w:rPr>
          <w:sz w:val="20"/>
          <w:szCs w:val="20"/>
          <w:color w:val="auto"/>
        </w:rPr>
      </w:pPr>
    </w:p>
    <w:p>
      <w:pPr>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Investment Allocations.</w:t>
      </w:r>
      <w:r>
        <w:rPr>
          <w:rFonts w:ascii="Times New Roman" w:cs="Times New Roman" w:eastAsia="Times New Roman" w:hAnsi="Times New Roman"/>
          <w:sz w:val="22"/>
          <w:szCs w:val="22"/>
          <w:color w:val="auto"/>
        </w:rPr>
        <w:t xml:space="preserve"> A Participant’s investment allocation constitutes a deemed, not actual, investment among the 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208" w:lineRule="exact"/>
        <w:rPr>
          <w:sz w:val="20"/>
          <w:szCs w:val="20"/>
          <w:color w:val="auto"/>
        </w:rPr>
      </w:pPr>
    </w:p>
    <w:p>
      <w:pPr>
        <w:jc w:val="both"/>
        <w:ind w:left="760" w:right="80"/>
        <w:spacing w:after="0" w:line="239" w:lineRule="auto"/>
        <w:rPr>
          <w:sz w:val="20"/>
          <w:szCs w:val="20"/>
          <w:color w:val="auto"/>
        </w:rPr>
      </w:pPr>
      <w:r>
        <w:rPr>
          <w:rFonts w:ascii="Times New Roman" w:cs="Times New Roman" w:eastAsia="Times New Roman" w:hAnsi="Times New Roman"/>
          <w:sz w:val="22"/>
          <w:szCs w:val="22"/>
          <w:color w:val="auto"/>
        </w:rPr>
        <w:t>A Participant shall specify an investment allocation for each of his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207" w:lineRule="exact"/>
        <w:rPr>
          <w:sz w:val="20"/>
          <w:szCs w:val="20"/>
          <w:color w:val="auto"/>
        </w:rPr>
      </w:pPr>
    </w:p>
    <w:p>
      <w:pPr>
        <w:ind w:left="760" w:right="60"/>
        <w:spacing w:after="0" w:line="239" w:lineRule="auto"/>
        <w:rPr>
          <w:sz w:val="20"/>
          <w:szCs w:val="20"/>
          <w:color w:val="auto"/>
        </w:rPr>
      </w:pPr>
      <w:r>
        <w:rPr>
          <w:rFonts w:ascii="Times New Roman" w:cs="Times New Roman" w:eastAsia="Times New Roman" w:hAnsi="Times New Roman"/>
          <w:sz w:val="22"/>
          <w:szCs w:val="22"/>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sectPr>
      </w:pPr>
    </w:p>
    <w:bookmarkStart w:id="134" w:name="page135"/>
    <w:bookmarkEnd w:id="134"/>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160" w:hanging="748"/>
        <w:spacing w:after="0" w:line="24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Unallocated Deferrals and Accounts.</w:t>
      </w:r>
      <w:r>
        <w:rPr>
          <w:rFonts w:ascii="Times New Roman" w:cs="Times New Roman" w:eastAsia="Times New Roman" w:hAnsi="Times New Roman"/>
          <w:sz w:val="22"/>
          <w:szCs w:val="22"/>
          <w:color w:val="auto"/>
        </w:rPr>
        <w:t xml:space="preserve"> If the Participant fails to make an investment allocation with respect to an Account, such Account shall be invested in an investment option, the primary objective of which is the preservation of capital, as determined by the Committee.</w:t>
      </w:r>
    </w:p>
    <w:p>
      <w:pPr>
        <w:spacing w:after="0" w:line="200" w:lineRule="exact"/>
        <w:rPr>
          <w:sz w:val="20"/>
          <w:szCs w:val="20"/>
          <w:color w:val="auto"/>
        </w:rPr>
      </w:pPr>
    </w:p>
    <w:p>
      <w:pPr>
        <w:jc w:val="center"/>
        <w:ind w:right="100"/>
        <w:spacing w:after="0" w:line="258"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Valuations Final After 180 Days</w:t>
      </w:r>
      <w:r>
        <w:rPr>
          <w:rFonts w:ascii="Times New Roman" w:cs="Times New Roman" w:eastAsia="Times New Roman" w:hAnsi="Times New Roman"/>
          <w:sz w:val="22"/>
          <w:szCs w:val="22"/>
          <w:color w:val="auto"/>
        </w:rPr>
        <w:t>. The Participant shall have 180 days following the Valuation Date on which the Participant failed to receive the full amount of Earnings and to file a claim under Article XI for the correction of such error.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VIII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Administration</w:t>
      </w:r>
    </w:p>
    <w:p>
      <w:pPr>
        <w:spacing w:after="0" w:line="74" w:lineRule="exact"/>
        <w:rPr>
          <w:sz w:val="20"/>
          <w:szCs w:val="20"/>
          <w:color w:val="auto"/>
        </w:rPr>
      </w:pPr>
    </w:p>
    <w:p>
      <w:pPr>
        <w:jc w:val="both"/>
        <w:ind w:left="760" w:right="220" w:hanging="748"/>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Plan Administration</w:t>
      </w:r>
      <w:r>
        <w:rPr>
          <w:rFonts w:ascii="Times New Roman" w:cs="Times New Roman" w:eastAsia="Times New Roman" w:hAnsi="Times New Roman"/>
          <w:sz w:val="22"/>
          <w:szCs w:val="22"/>
          <w:color w:val="auto"/>
        </w:rPr>
        <w:t>. This Plan shall be administered by the Committee which shall have discretionary authority to make,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w:t>
      </w:r>
    </w:p>
    <w:p>
      <w:pPr>
        <w:spacing w:after="0" w:line="204" w:lineRule="exact"/>
        <w:rPr>
          <w:sz w:val="20"/>
          <w:szCs w:val="20"/>
          <w:color w:val="auto"/>
        </w:rPr>
      </w:pPr>
    </w:p>
    <w:p>
      <w:pPr>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The Employer may withhold or cause to be withheld from any amounts payable under the Plan all federal, state, local and other taxes as shall be legally required to be withheld. Further, with respect to any federal, state, local and other taxes that may be required to be withheld at any time as a result of the crediting, vesting or payment of benefits under the Plan, the Employer shall have the right to (a) require a Participant to pay or provide for payment of any such taxes, or (b) withhold any such taxes from any compensation otherwise payable in cash to the Participant.</w:t>
      </w:r>
    </w:p>
    <w:p>
      <w:pPr>
        <w:spacing w:after="0" w:line="204" w:lineRule="exact"/>
        <w:rPr>
          <w:sz w:val="20"/>
          <w:szCs w:val="20"/>
          <w:color w:val="auto"/>
        </w:rPr>
      </w:pPr>
    </w:p>
    <w:p>
      <w:pPr>
        <w:ind w:left="760" w:right="60" w:hanging="748"/>
        <w:spacing w:after="0" w:line="233"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Participating Employers shall indemnify and hold harmless each employee, officer, director, agent or organization, to whom or to which are delegated duties, responsibilities, and authority under the Plan or otherwise with respect to administration of the Plan, including, without limitation, the Committee, its delegees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214" w:lineRule="exact"/>
        <w:rPr>
          <w:sz w:val="20"/>
          <w:szCs w:val="20"/>
          <w:color w:val="auto"/>
        </w:rPr>
      </w:pPr>
    </w:p>
    <w:p>
      <w:pPr>
        <w:ind w:left="760" w:right="640" w:hanging="748"/>
        <w:spacing w:after="0" w:line="24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In the administration of this Plan, the Committee may, from time to time, employ agents and delegate to them such administrative duties as it sees fit,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5" w:name="page136"/>
    <w:bookmarkEnd w:id="135"/>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 may from time to time consult with legal counsel who shall be legal counsel to the Company.</w:t>
      </w:r>
    </w:p>
    <w:p>
      <w:pPr>
        <w:spacing w:after="0" w:line="233" w:lineRule="exact"/>
        <w:rPr>
          <w:sz w:val="20"/>
          <w:szCs w:val="20"/>
          <w:color w:val="auto"/>
        </w:rPr>
      </w:pPr>
    </w:p>
    <w:p>
      <w:pPr>
        <w:ind w:left="760" w:right="320" w:hanging="748"/>
        <w:spacing w:after="0" w:line="244"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Binding Decisions or Actions.</w:t>
      </w:r>
      <w:r>
        <w:rPr>
          <w:rFonts w:ascii="Times New Roman" w:cs="Times New Roman" w:eastAsia="Times New Roman" w:hAnsi="Times New Roman"/>
          <w:sz w:val="22"/>
          <w:szCs w:val="22"/>
          <w:color w:val="auto"/>
        </w:rPr>
        <w:t xml:space="preserve"> The decision or action of the Committee in respect of any question arising out of or in connection with the administration, interpretation and application of the Plan and the rules and regulations thereunder shall be final and conclusive and binding upon all persons having any interest in the Plan.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IX</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Amendment and Termination</w:t>
      </w:r>
    </w:p>
    <w:p>
      <w:pPr>
        <w:spacing w:after="0" w:line="74" w:lineRule="exact"/>
        <w:rPr>
          <w:sz w:val="20"/>
          <w:szCs w:val="20"/>
          <w:color w:val="auto"/>
        </w:rPr>
      </w:pPr>
    </w:p>
    <w:p>
      <w:pPr>
        <w:ind w:left="760" w:right="320" w:hanging="748"/>
        <w:spacing w:after="0" w:line="282"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xml:space="preserve"> The Company may at any time and from time to time amend the Plan or may terminate the Plan as provided in this Article IX. Each Participating Employer may also terminate its participation in the Plan.</w:t>
      </w:r>
    </w:p>
    <w:p>
      <w:pPr>
        <w:spacing w:after="0" w:line="162" w:lineRule="exact"/>
        <w:rPr>
          <w:sz w:val="20"/>
          <w:szCs w:val="20"/>
          <w:color w:val="auto"/>
        </w:rPr>
      </w:pPr>
    </w:p>
    <w:p>
      <w:pPr>
        <w:ind w:left="760" w:right="100" w:hanging="748"/>
        <w:spacing w:after="0" w:line="247"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The Company, by action taken by its Board of Directors, may amend the Plan at any time and for any reason, provided that any such amendment shall not reduce the vested Account Balances of any Participant accrued as of the date of any such amendment or restatement (as if the Participant had incurred a voluntary Separation from Service on such date). The Board of Directors of the Company may delegate to the Committee the authority to amend the Plan without the consent of the Board of Directors for the purpose of: (i) conforming the Plan to the requirements of law; (ii) facilitating the administration of the Plan; (iii) clarifying provisions based on the Committee’s interpretation of the Plan documents; and (iv) making such other amendments as the Board of Directors may authorize. No amendment is needed to revise the list of Participating Employers set forth on Schedule A attached hereto.</w:t>
      </w:r>
    </w:p>
    <w:p>
      <w:pPr>
        <w:spacing w:after="0" w:line="199" w:lineRule="exact"/>
        <w:rPr>
          <w:sz w:val="20"/>
          <w:szCs w:val="20"/>
          <w:color w:val="auto"/>
        </w:rPr>
      </w:pPr>
    </w:p>
    <w:p>
      <w:pPr>
        <w:ind w:left="760" w:right="140" w:hanging="748"/>
        <w:spacing w:after="0" w:line="24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The Company, by action taken by its Board of Directors, may terminate the Plan and pay Participants and Beneficiaries their Account Balances in a single lump sum at any time, to the extent and in accordance with Treas. Reg. Section 1.409A-3(j)(4)(ix).</w:t>
      </w:r>
    </w:p>
    <w:p>
      <w:pPr>
        <w:spacing w:after="0" w:line="200" w:lineRule="exact"/>
        <w:rPr>
          <w:sz w:val="20"/>
          <w:szCs w:val="20"/>
          <w:color w:val="auto"/>
        </w:rPr>
      </w:pPr>
    </w:p>
    <w:p>
      <w:pPr>
        <w:ind w:left="760" w:hanging="748"/>
        <w:spacing w:after="0" w:line="239"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Accounts Taxable Under Code Section 409A.</w:t>
      </w:r>
      <w:r>
        <w:rPr>
          <w:rFonts w:ascii="Times New Roman" w:cs="Times New Roman" w:eastAsia="Times New Roman" w:hAnsi="Times New Roman"/>
          <w:sz w:val="22"/>
          <w:szCs w:val="22"/>
          <w:color w:val="auto"/>
        </w:rPr>
        <w:t xml:space="preserve"> The Plan is intended to constitute a plan of deferred compensation that 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Informal Funding</w:t>
      </w:r>
    </w:p>
    <w:p>
      <w:pPr>
        <w:spacing w:after="0" w:line="74" w:lineRule="exact"/>
        <w:rPr>
          <w:sz w:val="20"/>
          <w:szCs w:val="20"/>
          <w:color w:val="auto"/>
        </w:rPr>
      </w:pPr>
    </w:p>
    <w:p>
      <w:pPr>
        <w:ind w:left="760" w:right="20" w:hanging="748"/>
        <w:spacing w:after="0" w:line="23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xml:space="preserve"> Obligations established under the terms of the Plan may be satisfied from the general funds of the Participating Employers, or a trust described in this Article X. No Participant, spouse or Beneficiary shall have any right, title or interest whatever in assets of the Participating Employers. Nothing contained in this Plan, and no action taken pursuant to its provisions, shall create or be construed to create a trust of any kind, or 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6" w:name="page137"/>
    <w:bookmarkEnd w:id="136"/>
    <w:p>
      <w:pPr>
        <w:ind w:right="80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20"/>
        <w:spacing w:after="0" w:line="244" w:lineRule="auto"/>
        <w:rPr>
          <w:sz w:val="20"/>
          <w:szCs w:val="20"/>
          <w:color w:val="auto"/>
        </w:rPr>
      </w:pPr>
      <w:r>
        <w:rPr>
          <w:rFonts w:ascii="Times New Roman" w:cs="Times New Roman" w:eastAsia="Times New Roman" w:hAnsi="Times New Roman"/>
          <w:sz w:val="22"/>
          <w:szCs w:val="22"/>
          <w:color w:val="auto"/>
        </w:rPr>
        <w:t>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200" w:lineRule="exact"/>
        <w:rPr>
          <w:sz w:val="20"/>
          <w:szCs w:val="20"/>
          <w:color w:val="auto"/>
        </w:rPr>
      </w:pPr>
    </w:p>
    <w:p>
      <w:pPr>
        <w:ind w:left="760" w:hanging="748"/>
        <w:spacing w:after="0" w:line="239"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Rabbi Trust.</w:t>
      </w:r>
      <w:r>
        <w:rPr>
          <w:rFonts w:ascii="Times New Roman" w:cs="Times New Roman" w:eastAsia="Times New Roman" w:hAnsi="Times New Roman"/>
          <w:sz w:val="22"/>
          <w:szCs w:val="22"/>
          <w:color w:val="auto"/>
        </w:rPr>
        <w:t xml:space="preserve"> A Participating Employer may, in its sole discretion, establish a grantor trust, commonly known as a 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spacing w:after="0" w:line="207" w:lineRule="exact"/>
        <w:rPr>
          <w:sz w:val="20"/>
          <w:szCs w:val="20"/>
          <w:color w:val="auto"/>
        </w:rPr>
      </w:pPr>
    </w:p>
    <w:p>
      <w:pPr>
        <w:ind w:left="760" w:right="40"/>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of a Change in Control, the Company shall (a) establish a rabbi trust (unless a rabbi trust has already been established before the Change in Control), (b) make a contribution to such rabbi trust in an amount equal to the accrued liabilities under this Plan as of the date of the Change in Control, and (c) make such additional contributions to the rabbi trust thereafter as may be necessary from time to time to reflect any subsequent increase in liabilities under the Plan after the Change in Control.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Claims</w:t>
      </w:r>
    </w:p>
    <w:p>
      <w:pPr>
        <w:spacing w:after="0" w:line="74" w:lineRule="exact"/>
        <w:rPr>
          <w:sz w:val="20"/>
          <w:szCs w:val="20"/>
          <w:color w:val="auto"/>
        </w:rPr>
      </w:pPr>
    </w:p>
    <w:p>
      <w:pPr>
        <w:ind w:left="760" w:hanging="748"/>
        <w:spacing w:after="0" w:line="235"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Filing a Claim.</w:t>
      </w:r>
      <w:r>
        <w:rPr>
          <w:rFonts w:ascii="Times New Roman" w:cs="Times New Roman" w:eastAsia="Times New Roman" w:hAnsi="Times New Roman"/>
          <w:sz w:val="22"/>
          <w:szCs w:val="22"/>
          <w:color w:val="auto"/>
        </w:rPr>
        <w:t xml:space="preserve"> 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“Claimant”). Notice of a claim for payments shall be delivered to the Committee within 90 days of the latest date upon which the payment could have been timely made in accordance with the terms of the Plan and Code Section 409A, and if not paid, the Participant or Beneficiary must file a claim under this Article XI not later than 180 days after such latest date. If the Participant or Beneficiary fails to file a timely claim, the Participant forfeits any amounts to which he or she may have been entitled to receive under the claim.</w:t>
      </w:r>
    </w:p>
    <w:p>
      <w:pPr>
        <w:spacing w:after="0" w:line="201" w:lineRule="exact"/>
        <w:rPr>
          <w:sz w:val="20"/>
          <w:szCs w:val="20"/>
          <w:color w:val="auto"/>
        </w:rPr>
      </w:pPr>
    </w:p>
    <w:p>
      <w:pPr>
        <w:ind w:left="1500" w:hanging="690"/>
        <w:spacing w:after="0" w:line="237" w:lineRule="auto"/>
        <w:tabs>
          <w:tab w:leader="none" w:pos="123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Notice of a denial of benefits (other than claims based on disability) will be provided within 90 days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Committee’s receipt of the Claimant's claim for 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Committee expects to make a decision.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 w:right="359" w:bottom="1440" w:gutter="0" w:footer="0" w:header="0"/>
        </w:sectPr>
      </w:pPr>
    </w:p>
    <w:bookmarkStart w:id="137" w:name="page138"/>
    <w:bookmarkEnd w:id="137"/>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5" w:lineRule="exact"/>
        <w:rPr>
          <w:sz w:val="20"/>
          <w:szCs w:val="20"/>
          <w:color w:val="auto"/>
        </w:rPr>
      </w:pPr>
    </w:p>
    <w:p>
      <w:pPr>
        <w:ind w:left="1500" w:hanging="690"/>
        <w:spacing w:after="0" w:line="233" w:lineRule="auto"/>
        <w:tabs>
          <w:tab w:leader="none" w:pos="123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Benefits. </w:t>
      </w:r>
      <w:r>
        <w:rPr>
          <w:rFonts w:ascii="Times New Roman" w:cs="Times New Roman" w:eastAsia="Times New Roman" w:hAnsi="Times New Roman"/>
          <w:sz w:val="22"/>
          <w:szCs w:val="22"/>
          <w:color w:val="auto"/>
        </w:rPr>
        <w:t>Notice of denial of claims based on disability will be provided within forty-five (45) days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Committee’s receipt of the Claimant’s claim for disability benefits. If the Committee determines that it needs additional time to review the disability claim, the Committee will provide the Claimant with a notice of the extension before the end of the initial 45-day period. If the Committee determines that a decision cannot be made within the first extension period due to matters beyond the control of the Committee, the time period for making a determination may be further extended for an additional 30 days. If such an additional extension is necessary, the Committee shall notify the Claimant prior to the expiration of the initial 30-day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45 days to submit any necessary additional information to the Committee. In the event that a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204" w:lineRule="exact"/>
        <w:rPr>
          <w:rFonts w:ascii="Times New Roman" w:cs="Times New Roman" w:eastAsia="Times New Roman" w:hAnsi="Times New Roman"/>
          <w:sz w:val="22"/>
          <w:szCs w:val="22"/>
          <w:color w:val="auto"/>
        </w:rPr>
      </w:pPr>
    </w:p>
    <w:p>
      <w:pPr>
        <w:ind w:left="1500" w:right="80" w:hanging="690"/>
        <w:spacing w:after="0" w:line="246" w:lineRule="auto"/>
        <w:tabs>
          <w:tab w:leader="none" w:pos="1237"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Contents of Notice. </w:t>
      </w:r>
      <w:r>
        <w:rPr>
          <w:rFonts w:ascii="Times New Roman" w:cs="Times New Roman" w:eastAsia="Times New Roman" w:hAnsi="Times New Roman"/>
          <w:sz w:val="21"/>
          <w:szCs w:val="21"/>
          <w:color w:val="auto"/>
        </w:rPr>
        <w:t>If a claim for benefits is completely or partially denied, notice of such denial shall be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writing. Any electronic notification shall comply with the standards imposed by Department of Labor Regulation 29 CFR 2520.104b-1(c)(1)(i), (iii), and (iv). The notice of denial shall set forth the specific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the right to appeal the decision, the deadline by which such appeal must be filed and a statement of the Claimant’s right to bring a civil action under Section 502(a) of ERISA following an adverse decision on appeal and the specific date by which such a civil action must commence under Section 11.4.</w:t>
      </w:r>
    </w:p>
    <w:p>
      <w:pPr>
        <w:spacing w:after="0" w:line="202" w:lineRule="exact"/>
        <w:rPr>
          <w:sz w:val="20"/>
          <w:szCs w:val="20"/>
          <w:color w:val="auto"/>
        </w:rPr>
      </w:pPr>
    </w:p>
    <w:p>
      <w:pPr>
        <w:ind w:left="1500" w:right="80"/>
        <w:spacing w:after="0" w:line="282" w:lineRule="auto"/>
        <w:rPr>
          <w:sz w:val="20"/>
          <w:szCs w:val="20"/>
          <w:color w:val="auto"/>
        </w:rPr>
      </w:pPr>
      <w:r>
        <w:rPr>
          <w:rFonts w:ascii="Times New Roman" w:cs="Times New Roman" w:eastAsia="Times New Roman" w:hAnsi="Times New Roman"/>
          <w:sz w:val="21"/>
          <w:szCs w:val="21"/>
          <w:color w:val="auto"/>
        </w:rPr>
        <w:t>In the case of a complete or partial denial of a disability benefit claim, the notice shall provide such information and shall be communicated in the manner required under applicable Department of Labor regulations.</w:t>
      </w:r>
    </w:p>
    <w:p>
      <w:pPr>
        <w:spacing w:after="0" w:line="162" w:lineRule="exact"/>
        <w:rPr>
          <w:sz w:val="20"/>
          <w:szCs w:val="20"/>
          <w:color w:val="auto"/>
        </w:rPr>
      </w:pPr>
    </w:p>
    <w:p>
      <w:pPr>
        <w:ind w:left="760" w:right="180" w:hanging="748"/>
        <w:spacing w:after="0" w:line="23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Appeal of Denied Claims.</w:t>
      </w:r>
      <w:r>
        <w:rPr>
          <w:rFonts w:ascii="Times New Roman" w:cs="Times New Roman" w:eastAsia="Times New Roman" w:hAnsi="Times New Roman"/>
          <w:sz w:val="22"/>
          <w:szCs w:val="22"/>
          <w:color w:val="auto"/>
        </w:rPr>
        <w:t xml:space="preserve"> A Claimant whose claim has been completely or partially denied shall be entitled to 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8" w:name="page139"/>
    <w:bookmarkEnd w:id="138"/>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spacing w:after="0" w:line="234" w:lineRule="auto"/>
        <w:rPr>
          <w:sz w:val="20"/>
          <w:szCs w:val="20"/>
          <w:color w:val="auto"/>
        </w:rPr>
      </w:pPr>
      <w:r>
        <w:rPr>
          <w:rFonts w:ascii="Times New Roman" w:cs="Times New Roman" w:eastAsia="Times New Roman" w:hAnsi="Times New Roman"/>
          <w:sz w:val="22"/>
          <w:szCs w:val="22"/>
          <w:color w:val="auto"/>
        </w:rPr>
        <w:t>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review shall take into account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spacing w:after="0" w:line="206" w:lineRule="exact"/>
        <w:rPr>
          <w:sz w:val="20"/>
          <w:szCs w:val="20"/>
          <w:color w:val="auto"/>
        </w:rPr>
      </w:pPr>
    </w:p>
    <w:p>
      <w:pPr>
        <w:ind w:left="1500" w:right="180" w:hanging="743"/>
        <w:spacing w:after="0" w:line="234" w:lineRule="auto"/>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Appeal of a denied benefits claim (other than a disability benefits claim) must be filed in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Appeals Committee 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202" w:lineRule="exact"/>
        <w:rPr>
          <w:rFonts w:ascii="Times New Roman" w:cs="Times New Roman" w:eastAsia="Times New Roman" w:hAnsi="Times New Roman"/>
          <w:sz w:val="22"/>
          <w:szCs w:val="22"/>
          <w:color w:val="auto"/>
        </w:rPr>
      </w:pPr>
    </w:p>
    <w:p>
      <w:pPr>
        <w:ind w:left="1500" w:right="100" w:hanging="743"/>
        <w:spacing w:after="0" w:line="246" w:lineRule="auto"/>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Benefits. </w:t>
      </w:r>
      <w:r>
        <w:rPr>
          <w:rFonts w:ascii="Times New Roman" w:cs="Times New Roman" w:eastAsia="Times New Roman" w:hAnsi="Times New Roman"/>
          <w:sz w:val="22"/>
          <w:szCs w:val="22"/>
          <w:color w:val="auto"/>
        </w:rPr>
        <w:t>Appeal of a denied disability benefits claim must be filed in writing with the Appeals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no later than 180 days after receipt of the written notification of such claim denial. The review shall be conducted in accordance with applicable Department of Labor regulations.</w:t>
      </w:r>
    </w:p>
    <w:p>
      <w:pPr>
        <w:spacing w:after="0" w:line="198" w:lineRule="exact"/>
        <w:rPr>
          <w:rFonts w:ascii="Times New Roman" w:cs="Times New Roman" w:eastAsia="Times New Roman" w:hAnsi="Times New Roman"/>
          <w:sz w:val="22"/>
          <w:szCs w:val="22"/>
          <w:color w:val="auto"/>
        </w:rPr>
      </w:pPr>
    </w:p>
    <w:p>
      <w:pPr>
        <w:ind w:left="1500" w:right="12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Appeals Committee shall make its decision regarding the merits of the denied claim within 45 days following receipt of the appeal (or within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9" w:name="page140"/>
    <w:bookmarkEnd w:id="139"/>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5" w:lineRule="exact"/>
        <w:rPr>
          <w:sz w:val="20"/>
          <w:szCs w:val="20"/>
          <w:color w:val="auto"/>
        </w:rPr>
      </w:pPr>
    </w:p>
    <w:p>
      <w:pPr>
        <w:ind w:left="1500" w:right="20" w:hanging="743"/>
        <w:spacing w:after="0" w:line="241" w:lineRule="auto"/>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Contents of Notice. </w:t>
      </w:r>
      <w:r>
        <w:rPr>
          <w:rFonts w:ascii="Times New Roman" w:cs="Times New Roman" w:eastAsia="Times New Roman" w:hAnsi="Times New Roman"/>
          <w:sz w:val="22"/>
          <w:szCs w:val="22"/>
          <w:color w:val="auto"/>
        </w:rPr>
        <w:t>If a benefits claim is completely or partially denied on review, notice of such denial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writing. Any electronic notification shall comply with the standards imposed by Department of Labor Regulation 29 CFR 2520.104b-1(c)(1)(i), (iii), and (iv). Such notice shall set forth the reasons for denial in plain language.</w:t>
      </w:r>
    </w:p>
    <w:p>
      <w:pPr>
        <w:spacing w:after="0" w:line="202" w:lineRule="exact"/>
        <w:rPr>
          <w:rFonts w:ascii="Times New Roman" w:cs="Times New Roman" w:eastAsia="Times New Roman" w:hAnsi="Times New Roman"/>
          <w:sz w:val="22"/>
          <w:szCs w:val="22"/>
          <w:color w:val="auto"/>
        </w:rPr>
      </w:pPr>
    </w:p>
    <w:p>
      <w:pPr>
        <w:ind w:left="1500" w:right="10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of the Claimant’s right to bring an action under Section 502(a) of ERISA, following an adverse decision on review and the specific date by which such a civil action must commence under Section 11.4.</w:t>
      </w:r>
    </w:p>
    <w:p>
      <w:pPr>
        <w:spacing w:after="0" w:line="208" w:lineRule="exact"/>
        <w:rPr>
          <w:sz w:val="20"/>
          <w:szCs w:val="20"/>
          <w:color w:val="auto"/>
        </w:rPr>
      </w:pPr>
    </w:p>
    <w:p>
      <w:pPr>
        <w:ind w:left="1500" w:right="1140"/>
        <w:spacing w:after="0" w:line="258" w:lineRule="auto"/>
        <w:rPr>
          <w:sz w:val="20"/>
          <w:szCs w:val="20"/>
          <w:color w:val="auto"/>
        </w:rPr>
      </w:pPr>
      <w:r>
        <w:rPr>
          <w:rFonts w:ascii="Times New Roman" w:cs="Times New Roman" w:eastAsia="Times New Roman" w:hAnsi="Times New Roman"/>
          <w:sz w:val="22"/>
          <w:szCs w:val="22"/>
          <w:color w:val="auto"/>
        </w:rPr>
        <w:t>For the denial of a disability benefit, the notice will also include such additional information and be communicated in the manner required under applicable Department of Labor regulations.</w:t>
      </w:r>
    </w:p>
    <w:p>
      <w:pPr>
        <w:spacing w:after="0" w:line="185" w:lineRule="exact"/>
        <w:rPr>
          <w:sz w:val="20"/>
          <w:szCs w:val="20"/>
          <w:color w:val="auto"/>
        </w:rPr>
      </w:pPr>
    </w:p>
    <w:p>
      <w:pPr>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Legal Action.</w:t>
      </w:r>
      <w:r>
        <w:rPr>
          <w:rFonts w:ascii="Times New Roman" w:cs="Times New Roman" w:eastAsia="Times New Roman" w:hAnsi="Times New Roman"/>
          <w:sz w:val="22"/>
          <w:szCs w:val="22"/>
          <w:color w:val="auto"/>
        </w:rPr>
        <w:t xml:space="preserve"> A Claimant may not bring any legal action relating to a claim for benefits under the Plan unless and until the Claimant has followed the claims procedures under the Plan and exhausted his or administrative remedies under Sections 11.1 and 11.2. No such legal action may be brought more than twelve (12) months following the notice of denial of benefits under Section 11.2, or if no appeal is filed by the applicable appeals deadline, twelve (12) months following the appeals deadline.</w:t>
      </w:r>
    </w:p>
    <w:p>
      <w:pPr>
        <w:spacing w:after="0" w:line="204" w:lineRule="exact"/>
        <w:rPr>
          <w:sz w:val="20"/>
          <w:szCs w:val="20"/>
          <w:color w:val="auto"/>
        </w:rPr>
      </w:pPr>
    </w:p>
    <w:p>
      <w:pPr>
        <w:ind w:left="760" w:right="20"/>
        <w:spacing w:after="0" w:line="235" w:lineRule="auto"/>
        <w:rPr>
          <w:sz w:val="20"/>
          <w:szCs w:val="20"/>
          <w:color w:val="auto"/>
        </w:rPr>
      </w:pPr>
      <w:r>
        <w:rPr>
          <w:rFonts w:ascii="Times New Roman" w:cs="Times New Roman" w:eastAsia="Times New Roman" w:hAnsi="Times New Roman"/>
          <w:sz w:val="22"/>
          <w:szCs w:val="22"/>
          <w:color w:val="auto"/>
        </w:rPr>
        <w:t>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as defined in Section 11.3,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 and will be included in determining the Participating Employer’s trust funding obligation under Section 10.2.</w:t>
      </w:r>
    </w:p>
    <w:p>
      <w:pPr>
        <w:spacing w:after="0" w:line="205" w:lineRule="exact"/>
        <w:rPr>
          <w:sz w:val="20"/>
          <w:szCs w:val="20"/>
          <w:color w:val="auto"/>
        </w:rPr>
      </w:pPr>
    </w:p>
    <w:p>
      <w:pPr>
        <w:ind w:left="760" w:right="160" w:hanging="748"/>
        <w:spacing w:after="0" w:line="258"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Discretion of Appeals Committee.</w:t>
      </w:r>
      <w:r>
        <w:rPr>
          <w:rFonts w:ascii="Times New Roman" w:cs="Times New Roman" w:eastAsia="Times New Roman" w:hAnsi="Times New Roman"/>
          <w:sz w:val="22"/>
          <w:szCs w:val="22"/>
          <w:color w:val="auto"/>
        </w:rPr>
        <w:t xml:space="preserve"> All interpretations, determinations and decisions of the Appeals Committee with respect to any claim shall be made in its sole discretion, and shall be final and conclusive.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903033"/>
        </w:rPr>
        <w:t>A</w:t>
      </w:r>
      <w:r>
        <w:rPr>
          <w:rFonts w:ascii="Times New Roman" w:cs="Times New Roman" w:eastAsia="Times New Roman" w:hAnsi="Times New Roman"/>
          <w:sz w:val="17"/>
          <w:szCs w:val="17"/>
          <w:b w:val="1"/>
          <w:bCs w:val="1"/>
          <w:color w:val="903033"/>
        </w:rPr>
        <w:t>rticle</w:t>
      </w:r>
      <w:r>
        <w:rPr>
          <w:rFonts w:ascii="Times New Roman" w:cs="Times New Roman" w:eastAsia="Times New Roman" w:hAnsi="Times New Roman"/>
          <w:sz w:val="25"/>
          <w:szCs w:val="25"/>
          <w:b w:val="1"/>
          <w:bCs w:val="1"/>
          <w:color w:val="903033"/>
        </w:rPr>
        <w:t xml:space="preserve"> XII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General Provisions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0" w:name="page141"/>
    <w:bookmarkEnd w:id="140"/>
    <w:p>
      <w:pPr>
        <w:ind w:right="78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208" w:lineRule="exact"/>
        <w:rPr>
          <w:sz w:val="20"/>
          <w:szCs w:val="20"/>
          <w:color w:val="auto"/>
        </w:rPr>
      </w:pPr>
    </w:p>
    <w:p>
      <w:pPr>
        <w:ind w:left="760" w:right="260" w:hanging="316"/>
        <w:spacing w:after="0" w:line="282" w:lineRule="auto"/>
        <w:rPr>
          <w:sz w:val="20"/>
          <w:szCs w:val="20"/>
          <w:color w:val="auto"/>
        </w:rPr>
      </w:pPr>
      <w:r>
        <w:rPr>
          <w:rFonts w:ascii="Times New Roman" w:cs="Times New Roman" w:eastAsia="Times New Roman" w:hAnsi="Times New Roman"/>
          <w:sz w:val="21"/>
          <w:szCs w:val="21"/>
          <w:color w:val="auto"/>
        </w:rPr>
        <w:t>The Company may assign any or all of its liabilities under this Plan in connection with any restructuring, recapitalization, sale of assets or other similar transactions affecting a Participating Employer without the consent of the Participant.</w:t>
      </w:r>
    </w:p>
    <w:p>
      <w:pPr>
        <w:spacing w:after="0" w:line="162" w:lineRule="exact"/>
        <w:rPr>
          <w:sz w:val="20"/>
          <w:szCs w:val="20"/>
          <w:color w:val="auto"/>
        </w:rPr>
      </w:pPr>
    </w:p>
    <w:p>
      <w:pPr>
        <w:ind w:left="760" w:right="20" w:hanging="748"/>
        <w:spacing w:after="0" w:line="236"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No Legal or Equitable Rights or Interest.</w:t>
      </w:r>
      <w:r>
        <w:rPr>
          <w:rFonts w:ascii="Times New Roman" w:cs="Times New Roman" w:eastAsia="Times New Roman" w:hAnsi="Times New Roman"/>
          <w:sz w:val="22"/>
          <w:szCs w:val="22"/>
          <w:color w:val="auto"/>
        </w:rPr>
        <w:t xml:space="preserve"> No Participant or other person shall have any legal or equitable rights or interest in this Plan that are not expressly granted in this Plan. Participation in this Plan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Plan.</w:t>
      </w:r>
    </w:p>
    <w:p>
      <w:pPr>
        <w:spacing w:after="0" w:line="208" w:lineRule="exact"/>
        <w:rPr>
          <w:sz w:val="20"/>
          <w:szCs w:val="20"/>
          <w:color w:val="auto"/>
        </w:rPr>
      </w:pPr>
    </w:p>
    <w:p>
      <w:pPr>
        <w:ind w:left="760" w:right="200" w:hanging="748"/>
        <w:spacing w:after="0" w:line="258"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No Employment Contract.</w:t>
      </w:r>
      <w:r>
        <w:rPr>
          <w:rFonts w:ascii="Times New Roman" w:cs="Times New Roman" w:eastAsia="Times New Roman" w:hAnsi="Times New Roman"/>
          <w:sz w:val="22"/>
          <w:szCs w:val="22"/>
          <w:color w:val="auto"/>
        </w:rPr>
        <w:t xml:space="preserve"> Nothing contained herein shall be construed to constitute a contract of employment between an Employee and a Participating Employer.</w:t>
      </w:r>
    </w:p>
    <w:p>
      <w:pPr>
        <w:spacing w:after="0" w:line="185" w:lineRule="exact"/>
        <w:rPr>
          <w:sz w:val="20"/>
          <w:szCs w:val="20"/>
          <w:color w:val="auto"/>
        </w:rPr>
      </w:pPr>
    </w:p>
    <w:p>
      <w:pPr>
        <w:ind w:left="760" w:right="440" w:hanging="748"/>
        <w:spacing w:after="0" w:line="255" w:lineRule="auto"/>
        <w:rPr>
          <w:sz w:val="20"/>
          <w:szCs w:val="20"/>
          <w:color w:val="auto"/>
        </w:rPr>
      </w:pPr>
      <w:r>
        <w:rPr>
          <w:rFonts w:ascii="Times New Roman" w:cs="Times New Roman" w:eastAsia="Times New Roman" w:hAnsi="Times New Roman"/>
          <w:sz w:val="21"/>
          <w:szCs w:val="21"/>
          <w:color w:val="auto"/>
        </w:rPr>
        <w:t xml:space="preserve">12.4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Any notice or filing required or permitted to be delivered to the Committee under this Plan shall be delivered in writing, in person, or through such electronic means (such as secure facsimile)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18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BLACK HILLS CORPORATION</w:t>
      </w:r>
    </w:p>
    <w:p>
      <w:pPr>
        <w:spacing w:after="0" w:line="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P.O. BOX 1400</w:t>
      </w:r>
    </w:p>
    <w:p>
      <w:pPr>
        <w:jc w:val="center"/>
        <w:ind w:left="740"/>
        <w:spacing w:after="0" w:line="230" w:lineRule="auto"/>
        <w:rPr>
          <w:sz w:val="20"/>
          <w:szCs w:val="20"/>
          <w:color w:val="auto"/>
        </w:rPr>
      </w:pPr>
      <w:r>
        <w:rPr>
          <w:rFonts w:ascii="Times New Roman" w:cs="Times New Roman" w:eastAsia="Times New Roman" w:hAnsi="Times New Roman"/>
          <w:sz w:val="22"/>
          <w:szCs w:val="22"/>
          <w:b w:val="1"/>
          <w:bCs w:val="1"/>
          <w:color w:val="auto"/>
        </w:rPr>
        <w:t>RAPID CITY, SD 57709</w:t>
      </w:r>
    </w:p>
    <w:p>
      <w:pPr>
        <w:spacing w:after="0" w:line="1"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ATTN: HUMAN RESOURCES/RETIREMENT SERVICES</w:t>
      </w:r>
    </w:p>
    <w:p>
      <w:pPr>
        <w:spacing w:after="0" w:line="209" w:lineRule="exact"/>
        <w:rPr>
          <w:sz w:val="20"/>
          <w:szCs w:val="20"/>
          <w:color w:val="auto"/>
        </w:rPr>
      </w:pPr>
    </w:p>
    <w:p>
      <w:pPr>
        <w:ind w:left="760" w:right="220"/>
        <w:spacing w:after="0" w:line="258" w:lineRule="auto"/>
        <w:rPr>
          <w:sz w:val="20"/>
          <w:szCs w:val="20"/>
          <w:color w:val="auto"/>
        </w:rPr>
      </w:pPr>
      <w:r>
        <w:rPr>
          <w:rFonts w:ascii="Times New Roman" w:cs="Times New Roman" w:eastAsia="Times New Roman" w:hAnsi="Times New Roman"/>
          <w:sz w:val="22"/>
          <w:szCs w:val="22"/>
          <w:color w:val="auto"/>
        </w:rPr>
        <w:t>Any notice or filing required or permitted to be given to a Participant under this Plan shall be sufficient if in writing or hand-delivered, or sent by mail to the last known address of the Participant.</w:t>
      </w:r>
    </w:p>
    <w:p>
      <w:pPr>
        <w:spacing w:after="0" w:line="185" w:lineRule="exact"/>
        <w:rPr>
          <w:sz w:val="20"/>
          <w:szCs w:val="20"/>
          <w:color w:val="auto"/>
        </w:rPr>
      </w:pPr>
    </w:p>
    <w:p>
      <w:pPr>
        <w:ind w:left="760" w:right="300" w:hanging="748"/>
        <w:spacing w:after="0" w:line="258"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headings of Sections are included solely for convenience of reference, and if there is any conflict between such headings and the text of this Plan, the text shall control.</w:t>
      </w:r>
    </w:p>
    <w:p>
      <w:pPr>
        <w:spacing w:after="0" w:line="185" w:lineRule="exact"/>
        <w:rPr>
          <w:sz w:val="20"/>
          <w:szCs w:val="20"/>
          <w:color w:val="auto"/>
        </w:rPr>
      </w:pPr>
    </w:p>
    <w:p>
      <w:pPr>
        <w:ind w:left="760" w:right="160" w:hanging="748"/>
        <w:spacing w:after="0" w:line="241"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Invalid or Unenforceable Provisions.</w:t>
      </w:r>
      <w:r>
        <w:rPr>
          <w:rFonts w:ascii="Times New Roman" w:cs="Times New Roman" w:eastAsia="Times New Roman" w:hAnsi="Times New Roman"/>
          <w:sz w:val="22"/>
          <w:szCs w:val="22"/>
          <w:color w:val="auto"/>
        </w:rPr>
        <w:t xml:space="preserve"> If any provision of this Plan shall be held invalid or unenforceable, such invalidity or unenforceability shall not affect any other provisions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 w:right="379" w:bottom="1440" w:gutter="0" w:footer="0" w:header="0"/>
        </w:sectPr>
      </w:pPr>
    </w:p>
    <w:bookmarkStart w:id="141" w:name="page142"/>
    <w:bookmarkEnd w:id="141"/>
    <w:p>
      <w:pPr>
        <w:ind w:right="820"/>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9" w:lineRule="exact"/>
        <w:rPr>
          <w:sz w:val="20"/>
          <w:szCs w:val="20"/>
          <w:color w:val="auto"/>
        </w:rPr>
      </w:pPr>
    </w:p>
    <w:p>
      <w:pPr>
        <w:ind w:left="760" w:right="440"/>
        <w:spacing w:after="0" w:line="244" w:lineRule="auto"/>
        <w:rPr>
          <w:sz w:val="20"/>
          <w:szCs w:val="20"/>
          <w:color w:val="auto"/>
        </w:rPr>
      </w:pPr>
      <w:r>
        <w:rPr>
          <w:rFonts w:ascii="Times New Roman" w:cs="Times New Roman" w:eastAsia="Times New Roman" w:hAnsi="Times New Roman"/>
          <w:sz w:val="22"/>
          <w:szCs w:val="22"/>
          <w:color w:val="auto"/>
        </w:rPr>
        <w:t>hereof and the Committee may elect in its sole discretion to construe such invalid or unenforceable provisions in a manner that conforms to applicable law or as if such provisions, to the extent invalid or unenforceable, had not been included.</w:t>
      </w:r>
    </w:p>
    <w:p>
      <w:pPr>
        <w:spacing w:after="0" w:line="200" w:lineRule="exact"/>
        <w:rPr>
          <w:sz w:val="20"/>
          <w:szCs w:val="20"/>
          <w:color w:val="auto"/>
        </w:rPr>
      </w:pPr>
    </w:p>
    <w:p>
      <w:pPr>
        <w:ind w:left="760" w:right="100" w:hanging="748"/>
        <w:spacing w:after="0" w:line="234"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u w:val="single" w:color="auto"/>
          <w:color w:val="auto"/>
        </w:rPr>
        <w:t>Lost Participants or Beneficiaries.</w:t>
      </w:r>
      <w:r>
        <w:rPr>
          <w:rFonts w:ascii="Times New Roman" w:cs="Times New Roman" w:eastAsia="Times New Roman" w:hAnsi="Times New Roman"/>
          <w:sz w:val="22"/>
          <w:szCs w:val="22"/>
          <w:color w:val="auto"/>
        </w:rPr>
        <w:t xml:space="preserve"> Any Participant or Beneficiary who is entitled to a benefit from the Plan has the duty to 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 If the Committee is unable to locate the Participant or Beneficiary after five years of the date payment is scheduled to be made, provided that a Participant’s Account shall not be credited with Earnings following the first anniversary of such date on which payment is to be made and further provided, however, that such benefit shall be reinstated, without further adjustment for interest, if a valid claim is made by or on behalf of the Participant or Beneficiary for all or part of the forfeited benefit.</w:t>
      </w:r>
    </w:p>
    <w:p>
      <w:pPr>
        <w:spacing w:after="0" w:line="206" w:lineRule="exact"/>
        <w:rPr>
          <w:sz w:val="20"/>
          <w:szCs w:val="20"/>
          <w:color w:val="auto"/>
        </w:rPr>
      </w:pPr>
    </w:p>
    <w:p>
      <w:pPr>
        <w:ind w:left="760" w:right="100" w:hanging="748"/>
        <w:spacing w:after="0" w:line="238"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u w:val="single" w:color="auto"/>
          <w:color w:val="auto"/>
        </w:rPr>
        <w:t>Facility of Payment to a Minor.</w:t>
      </w:r>
      <w:r>
        <w:rPr>
          <w:rFonts w:ascii="Times New Roman" w:cs="Times New Roman" w:eastAsia="Times New Roman" w:hAnsi="Times New Roman"/>
          <w:sz w:val="22"/>
          <w:szCs w:val="22"/>
          <w:color w:val="auto"/>
        </w:rPr>
        <w:t xml:space="preserve"> 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spacing w:after="0" w:line="204" w:lineRule="exact"/>
        <w:rPr>
          <w:sz w:val="20"/>
          <w:szCs w:val="20"/>
          <w:color w:val="auto"/>
        </w:rPr>
      </w:pPr>
    </w:p>
    <w:p>
      <w:pPr>
        <w:ind w:left="760" w:right="100" w:hanging="748"/>
        <w:spacing w:after="0" w:line="258"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To the extent not preempted by ERISA, the laws of the State of South Dakota shall govern the construction and administration of the Plan.</w:t>
      </w:r>
    </w:p>
    <w:p>
      <w:pPr>
        <w:spacing w:after="0" w:line="185" w:lineRule="exact"/>
        <w:rPr>
          <w:sz w:val="20"/>
          <w:szCs w:val="20"/>
          <w:color w:val="auto"/>
        </w:rPr>
      </w:pPr>
    </w:p>
    <w:p>
      <w:pPr>
        <w:ind w:left="760" w:hanging="748"/>
        <w:spacing w:after="0" w:line="235" w:lineRule="auto"/>
        <w:tabs>
          <w:tab w:leader="none" w:pos="74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2"/>
          <w:szCs w:val="22"/>
          <w:u w:val="single" w:color="auto"/>
          <w:color w:val="auto"/>
        </w:rPr>
        <w:t>Compliance With Code Section 409A; No Guarantee</w:t>
      </w:r>
      <w:r>
        <w:rPr>
          <w:rFonts w:ascii="Times New Roman" w:cs="Times New Roman" w:eastAsia="Times New Roman" w:hAnsi="Times New Roman"/>
          <w:sz w:val="22"/>
          <w:szCs w:val="22"/>
          <w:color w:val="auto"/>
        </w:rPr>
        <w:t>. This Plan is intended to be administered in compliance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Code Section 409A and each provision of the Plan shall be interpreted consistent with Code Section 409A. Although the Company intends for the Plan to comply with Code Section 409A, the tax treatment of benefits under the Plan is not warranted or guaranteed, and neither the Company, any other Employer, the Committee, nor the Board of Directors (nor any of their delegates) shall be held liable for any taxes, interest, penalties or other monetary amounts that may be owed by any Participant, Beneficiary or other taxpayer claiming benefits hereunder. No Employer shall have any legal obligation to a Participant with respect to taxes imposed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42" w:name="page143"/>
    <w:bookmarkEnd w:id="142"/>
    <w:p>
      <w:pPr>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WITNESS WHEREOF, the undersigned executed this Plan on this ___ day of __________________,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 Hills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 (Print 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_________________________ (Title)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 (Signature)</w:t>
      </w:r>
    </w:p>
    <w:p>
      <w:pPr>
        <w:spacing w:after="0" w:line="2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98" w:right="1159" w:bottom="1440" w:gutter="0" w:footer="0" w:header="0"/>
        </w:sectPr>
      </w:pPr>
    </w:p>
    <w:bookmarkStart w:id="143" w:name="page144"/>
    <w:bookmarkEnd w:id="143"/>
    <w:p>
      <w:pPr>
        <w:spacing w:after="0" w:line="273" w:lineRule="auto"/>
        <w:rPr>
          <w:sz w:val="20"/>
          <w:szCs w:val="20"/>
          <w:color w:val="auto"/>
        </w:rPr>
      </w:pPr>
      <w:r>
        <w:rPr>
          <w:rFonts w:ascii="Times New Roman" w:cs="Times New Roman" w:eastAsia="Times New Roman" w:hAnsi="Times New Roman"/>
          <w:sz w:val="32"/>
          <w:szCs w:val="32"/>
          <w:color w:val="auto"/>
        </w:rPr>
        <w:t>Black Hills Corporation Amended &amp; Restated Post-2018 Nonqualified Deferred Compensation Plan</w:t>
      </w:r>
    </w:p>
    <w:p>
      <w:pPr>
        <w:spacing w:after="0" w:line="392"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22"/>
          <w:szCs w:val="22"/>
          <w:color w:val="auto"/>
        </w:rPr>
        <w:t>Schedule A</w:t>
      </w:r>
    </w:p>
    <w:p>
      <w:pPr>
        <w:spacing w:after="0" w:line="23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Participating Employers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Corporation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Service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98" w:right="1159" w:bottom="1440" w:gutter="0" w:footer="0" w:header="0"/>
        </w:sectPr>
      </w:pPr>
    </w:p>
    <w:bookmarkStart w:id="144" w:name="page145"/>
    <w:bookmarkEnd w:id="144"/>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Schedule 1 – Group 1</w:t>
      </w:r>
    </w:p>
    <w:p>
      <w:pPr>
        <w:spacing w:after="0" w:line="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Participants Eligible for Supplemental Target Contributions</w:t>
      </w:r>
    </w:p>
    <w:p>
      <w:pPr>
        <w:spacing w:after="0" w:line="213" w:lineRule="exact"/>
        <w:rPr>
          <w:sz w:val="20"/>
          <w:szCs w:val="20"/>
          <w:color w:val="auto"/>
        </w:rPr>
      </w:pPr>
    </w:p>
    <w:tbl>
      <w:tblPr>
        <w:tblLayout w:type="fixed"/>
        <w:tblInd w:w="1630" w:type="dxa"/>
        <w:tblCellMar>
          <w:top w:w="0" w:type="dxa"/>
          <w:left w:w="0" w:type="dxa"/>
          <w:bottom w:w="0" w:type="dxa"/>
          <w:right w:w="0" w:type="dxa"/>
        </w:tblCellMar>
      </w:tblPr>
      <w:tr>
        <w:trPr>
          <w:trHeight w:val="303"/>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w:t>
            </w:r>
          </w:p>
        </w:tc>
        <w:tc>
          <w:tcPr>
            <w:tcW w:w="374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Percentage of Total Compensation</w:t>
            </w:r>
          </w:p>
        </w:tc>
      </w:tr>
      <w:tr>
        <w:trPr>
          <w:trHeight w:val="247"/>
        </w:trPr>
        <w:tc>
          <w:tcPr>
            <w:tcW w:w="3800" w:type="dxa"/>
            <w:vAlign w:val="bottom"/>
            <w:tcBorders>
              <w:left w:val="single" w:sz="8" w:color="auto"/>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Linn Evans</w:t>
            </w:r>
          </w:p>
        </w:tc>
        <w:tc>
          <w:tcPr>
            <w:tcW w:w="37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20.00%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Brian Iverson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Erik Keller</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Rich Kinzley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17.50%</w:t>
            </w:r>
          </w:p>
        </w:tc>
      </w:tr>
      <w:tr>
        <w:trPr>
          <w:trHeight w:val="264"/>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Amy Koenig</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Jennifer Landis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Mark Lux</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Marne Jones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r>
        <w:trPr>
          <w:trHeight w:val="26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Kimberly Nooney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8.00%</w:t>
            </w:r>
          </w:p>
        </w:tc>
      </w:tr>
    </w:tbl>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Effective April 25, 2022, the class of Group 1 Participants is closed and limited to the individuals listed in the table above. In no event will any new individual be designated as a Group 1 Participant after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4" w:right="4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252095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Amended and Restated 2015 Omnibus Incentive Plan</w:t>
      </w:r>
    </w:p>
    <w:p>
      <w:pPr>
        <w:spacing w:after="0" w:line="36"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Black Hills Corporation</w:t>
      </w:r>
    </w:p>
    <w:p>
      <w:pPr>
        <w:spacing w:after="0" w:line="202" w:lineRule="exact"/>
        <w:rPr>
          <w:sz w:val="20"/>
          <w:szCs w:val="20"/>
          <w:color w:val="auto"/>
        </w:rPr>
      </w:pPr>
    </w:p>
    <w:p>
      <w:pPr>
        <w:ind w:left="2580"/>
        <w:spacing w:after="0"/>
        <w:rPr>
          <w:sz w:val="20"/>
          <w:szCs w:val="20"/>
          <w:color w:val="auto"/>
        </w:rPr>
      </w:pPr>
      <w:r>
        <w:rPr>
          <w:rFonts w:ascii="Arial" w:cs="Arial" w:eastAsia="Arial" w:hAnsi="Arial"/>
          <w:sz w:val="25"/>
          <w:szCs w:val="25"/>
          <w:color w:val="auto"/>
        </w:rPr>
        <w:t>(as amended and restated January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6"/>
                <w:szCs w:val="16"/>
                <w:color w:val="auto"/>
              </w:rPr>
              <w:t>ARTICLE 1</w:t>
            </w:r>
          </w:p>
        </w:tc>
        <w:tc>
          <w:tcPr>
            <w:tcW w:w="7760" w:type="dxa"/>
            <w:vAlign w:val="bottom"/>
          </w:tcPr>
          <w:p>
            <w:pPr>
              <w:ind w:left="560"/>
              <w:spacing w:after="0"/>
              <w:rPr>
                <w:sz w:val="20"/>
                <w:szCs w:val="20"/>
                <w:color w:val="auto"/>
              </w:rPr>
            </w:pPr>
            <w:r>
              <w:rPr>
                <w:rFonts w:ascii="Arial" w:cs="Arial" w:eastAsia="Arial" w:hAnsi="Arial"/>
                <w:sz w:val="16"/>
                <w:szCs w:val="16"/>
                <w:color w:val="auto"/>
              </w:rPr>
              <w:t>ESTABLISHMENT, PURPOSE, AND DURATION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2</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2</w:t>
            </w:r>
          </w:p>
        </w:tc>
        <w:tc>
          <w:tcPr>
            <w:tcW w:w="7760" w:type="dxa"/>
            <w:vAlign w:val="bottom"/>
          </w:tcPr>
          <w:p>
            <w:pPr>
              <w:ind w:left="560"/>
              <w:spacing w:after="0"/>
              <w:rPr>
                <w:sz w:val="20"/>
                <w:szCs w:val="20"/>
                <w:color w:val="auto"/>
              </w:rPr>
            </w:pPr>
            <w:r>
              <w:rPr>
                <w:rFonts w:ascii="Arial" w:cs="Arial" w:eastAsia="Arial" w:hAnsi="Arial"/>
                <w:sz w:val="16"/>
                <w:szCs w:val="16"/>
                <w:color w:val="auto"/>
              </w:rPr>
              <w:t>DEFINITIONS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2</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3</w:t>
            </w:r>
          </w:p>
        </w:tc>
        <w:tc>
          <w:tcPr>
            <w:tcW w:w="7760" w:type="dxa"/>
            <w:vAlign w:val="bottom"/>
          </w:tcPr>
          <w:p>
            <w:pPr>
              <w:ind w:left="560"/>
              <w:spacing w:after="0"/>
              <w:rPr>
                <w:sz w:val="20"/>
                <w:szCs w:val="20"/>
                <w:color w:val="auto"/>
              </w:rPr>
            </w:pPr>
            <w:r>
              <w:rPr>
                <w:rFonts w:ascii="Arial" w:cs="Arial" w:eastAsia="Arial" w:hAnsi="Arial"/>
                <w:sz w:val="16"/>
                <w:szCs w:val="16"/>
                <w:color w:val="auto"/>
              </w:rPr>
              <w:t>ADMINISTRATION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6</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4</w:t>
            </w:r>
          </w:p>
        </w:tc>
        <w:tc>
          <w:tcPr>
            <w:tcW w:w="7760" w:type="dxa"/>
            <w:vAlign w:val="bottom"/>
          </w:tcPr>
          <w:p>
            <w:pPr>
              <w:ind w:left="560"/>
              <w:spacing w:after="0"/>
              <w:rPr>
                <w:sz w:val="20"/>
                <w:szCs w:val="20"/>
                <w:color w:val="auto"/>
              </w:rPr>
            </w:pPr>
            <w:r>
              <w:rPr>
                <w:rFonts w:ascii="Arial" w:cs="Arial" w:eastAsia="Arial" w:hAnsi="Arial"/>
                <w:sz w:val="16"/>
                <w:szCs w:val="16"/>
                <w:color w:val="auto"/>
              </w:rPr>
              <w:t>SHARES SUBJECT TO THIS PLAN AND MAXIMUM AWARDS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6</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5</w:t>
            </w:r>
          </w:p>
        </w:tc>
        <w:tc>
          <w:tcPr>
            <w:tcW w:w="7760" w:type="dxa"/>
            <w:vAlign w:val="bottom"/>
          </w:tcPr>
          <w:p>
            <w:pPr>
              <w:ind w:left="560"/>
              <w:spacing w:after="0"/>
              <w:rPr>
                <w:sz w:val="20"/>
                <w:szCs w:val="20"/>
                <w:color w:val="auto"/>
              </w:rPr>
            </w:pPr>
            <w:r>
              <w:rPr>
                <w:rFonts w:ascii="Arial" w:cs="Arial" w:eastAsia="Arial" w:hAnsi="Arial"/>
                <w:sz w:val="16"/>
                <w:szCs w:val="16"/>
                <w:color w:val="auto"/>
              </w:rPr>
              <w:t>ELIGIBILITY AND PARTICIPATION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8</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6</w:t>
            </w:r>
          </w:p>
        </w:tc>
        <w:tc>
          <w:tcPr>
            <w:tcW w:w="7760" w:type="dxa"/>
            <w:vAlign w:val="bottom"/>
          </w:tcPr>
          <w:p>
            <w:pPr>
              <w:ind w:left="560"/>
              <w:spacing w:after="0"/>
              <w:rPr>
                <w:sz w:val="20"/>
                <w:szCs w:val="20"/>
                <w:color w:val="auto"/>
              </w:rPr>
            </w:pPr>
            <w:r>
              <w:rPr>
                <w:rFonts w:ascii="Arial" w:cs="Arial" w:eastAsia="Arial" w:hAnsi="Arial"/>
                <w:sz w:val="16"/>
                <w:szCs w:val="16"/>
                <w:color w:val="auto"/>
              </w:rPr>
              <w:t>STOCK OPTIONS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8</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7</w:t>
            </w:r>
          </w:p>
        </w:tc>
        <w:tc>
          <w:tcPr>
            <w:tcW w:w="7760" w:type="dxa"/>
            <w:vAlign w:val="bottom"/>
          </w:tcPr>
          <w:p>
            <w:pPr>
              <w:ind w:left="560"/>
              <w:spacing w:after="0"/>
              <w:rPr>
                <w:sz w:val="20"/>
                <w:szCs w:val="20"/>
                <w:color w:val="auto"/>
              </w:rPr>
            </w:pPr>
            <w:r>
              <w:rPr>
                <w:rFonts w:ascii="Arial" w:cs="Arial" w:eastAsia="Arial" w:hAnsi="Arial"/>
                <w:sz w:val="16"/>
                <w:szCs w:val="16"/>
                <w:color w:val="auto"/>
              </w:rPr>
              <w:t>STOCK APPRECIATION RIGHTS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9</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8</w:t>
            </w:r>
          </w:p>
        </w:tc>
        <w:tc>
          <w:tcPr>
            <w:tcW w:w="7760" w:type="dxa"/>
            <w:vAlign w:val="bottom"/>
          </w:tcPr>
          <w:p>
            <w:pPr>
              <w:ind w:left="560"/>
              <w:spacing w:after="0"/>
              <w:rPr>
                <w:sz w:val="20"/>
                <w:szCs w:val="20"/>
                <w:color w:val="auto"/>
              </w:rPr>
            </w:pPr>
            <w:r>
              <w:rPr>
                <w:rFonts w:ascii="Arial" w:cs="Arial" w:eastAsia="Arial" w:hAnsi="Arial"/>
                <w:sz w:val="16"/>
                <w:szCs w:val="16"/>
                <w:color w:val="auto"/>
              </w:rPr>
              <w:t>RESTRICTED STOCK AND RESTRICTED STOCK UNITS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10</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9</w:t>
            </w:r>
          </w:p>
        </w:tc>
        <w:tc>
          <w:tcPr>
            <w:tcW w:w="7760" w:type="dxa"/>
            <w:vAlign w:val="bottom"/>
          </w:tcPr>
          <w:p>
            <w:pPr>
              <w:ind w:left="560"/>
              <w:spacing w:after="0"/>
              <w:rPr>
                <w:sz w:val="20"/>
                <w:szCs w:val="20"/>
                <w:color w:val="auto"/>
              </w:rPr>
            </w:pPr>
            <w:r>
              <w:rPr>
                <w:rFonts w:ascii="Arial" w:cs="Arial" w:eastAsia="Arial" w:hAnsi="Arial"/>
                <w:sz w:val="16"/>
                <w:szCs w:val="16"/>
                <w:color w:val="auto"/>
              </w:rPr>
              <w:t>PERFORMANCE UNITS, PERFORMANCE SHARES AND CASH-BASED AWARDS</w:t>
            </w:r>
          </w:p>
        </w:tc>
        <w:tc>
          <w:tcPr>
            <w:tcW w:w="1320" w:type="dxa"/>
            <w:vAlign w:val="bottom"/>
          </w:tcPr>
          <w:p>
            <w:pPr>
              <w:jc w:val="center"/>
              <w:ind w:left="1039"/>
              <w:spacing w:after="0"/>
              <w:rPr>
                <w:sz w:val="20"/>
                <w:szCs w:val="20"/>
                <w:color w:val="auto"/>
              </w:rPr>
            </w:pPr>
            <w:r>
              <w:rPr>
                <w:rFonts w:ascii="Arial" w:cs="Arial" w:eastAsia="Arial" w:hAnsi="Arial"/>
                <w:sz w:val="16"/>
                <w:szCs w:val="16"/>
                <w:color w:val="auto"/>
                <w:w w:val="89"/>
              </w:rPr>
              <w:t>11</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10</w:t>
            </w:r>
          </w:p>
        </w:tc>
        <w:tc>
          <w:tcPr>
            <w:tcW w:w="7760" w:type="dxa"/>
            <w:vAlign w:val="bottom"/>
          </w:tcPr>
          <w:p>
            <w:pPr>
              <w:ind w:left="560"/>
              <w:spacing w:after="0"/>
              <w:rPr>
                <w:sz w:val="20"/>
                <w:szCs w:val="20"/>
                <w:color w:val="auto"/>
              </w:rPr>
            </w:pPr>
            <w:r>
              <w:rPr>
                <w:rFonts w:ascii="Arial" w:cs="Arial" w:eastAsia="Arial" w:hAnsi="Arial"/>
                <w:sz w:val="16"/>
                <w:szCs w:val="16"/>
                <w:color w:val="auto"/>
              </w:rPr>
              <w:t>OTHER STOCK-BASED AWARDS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12</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11</w:t>
            </w:r>
          </w:p>
        </w:tc>
        <w:tc>
          <w:tcPr>
            <w:tcW w:w="7760" w:type="dxa"/>
            <w:vAlign w:val="bottom"/>
          </w:tcPr>
          <w:p>
            <w:pPr>
              <w:ind w:left="560"/>
              <w:spacing w:after="0"/>
              <w:rPr>
                <w:sz w:val="20"/>
                <w:szCs w:val="20"/>
                <w:color w:val="auto"/>
              </w:rPr>
            </w:pPr>
            <w:r>
              <w:rPr>
                <w:rFonts w:ascii="Arial" w:cs="Arial" w:eastAsia="Arial" w:hAnsi="Arial"/>
                <w:sz w:val="16"/>
                <w:szCs w:val="16"/>
                <w:color w:val="auto"/>
              </w:rPr>
              <w:t>TRANSFERABILITY OF AWARDS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12</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12</w:t>
            </w:r>
          </w:p>
        </w:tc>
        <w:tc>
          <w:tcPr>
            <w:tcW w:w="7760" w:type="dxa"/>
            <w:vAlign w:val="bottom"/>
          </w:tcPr>
          <w:p>
            <w:pPr>
              <w:ind w:left="560"/>
              <w:spacing w:after="0"/>
              <w:rPr>
                <w:sz w:val="20"/>
                <w:szCs w:val="20"/>
                <w:color w:val="auto"/>
              </w:rPr>
            </w:pPr>
            <w:r>
              <w:rPr>
                <w:rFonts w:ascii="Arial" w:cs="Arial" w:eastAsia="Arial" w:hAnsi="Arial"/>
                <w:sz w:val="16"/>
                <w:szCs w:val="16"/>
                <w:color w:val="auto"/>
              </w:rPr>
              <w:t>PERFORMANCE AWARDS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12</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13</w:t>
            </w:r>
          </w:p>
        </w:tc>
        <w:tc>
          <w:tcPr>
            <w:tcW w:w="7760" w:type="dxa"/>
            <w:vAlign w:val="bottom"/>
          </w:tcPr>
          <w:p>
            <w:pPr>
              <w:ind w:left="560"/>
              <w:spacing w:after="0"/>
              <w:rPr>
                <w:sz w:val="20"/>
                <w:szCs w:val="20"/>
                <w:color w:val="auto"/>
              </w:rPr>
            </w:pPr>
            <w:r>
              <w:rPr>
                <w:rFonts w:ascii="Arial" w:cs="Arial" w:eastAsia="Arial" w:hAnsi="Arial"/>
                <w:sz w:val="16"/>
                <w:szCs w:val="16"/>
                <w:color w:val="auto"/>
              </w:rPr>
              <w:t>NONEMPLOYEE DIRECTOR AWARDS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14</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14</w:t>
            </w:r>
          </w:p>
        </w:tc>
        <w:tc>
          <w:tcPr>
            <w:tcW w:w="7760" w:type="dxa"/>
            <w:vAlign w:val="bottom"/>
          </w:tcPr>
          <w:p>
            <w:pPr>
              <w:ind w:left="560"/>
              <w:spacing w:after="0"/>
              <w:rPr>
                <w:sz w:val="20"/>
                <w:szCs w:val="20"/>
                <w:color w:val="auto"/>
              </w:rPr>
            </w:pPr>
            <w:r>
              <w:rPr>
                <w:rFonts w:ascii="Arial" w:cs="Arial" w:eastAsia="Arial" w:hAnsi="Arial"/>
                <w:sz w:val="16"/>
                <w:szCs w:val="16"/>
                <w:color w:val="auto"/>
              </w:rPr>
              <w:t>DIVIDENDS AND DIVIDEND EQUIVALENTS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14</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15</w:t>
            </w:r>
          </w:p>
        </w:tc>
        <w:tc>
          <w:tcPr>
            <w:tcW w:w="7760" w:type="dxa"/>
            <w:vAlign w:val="bottom"/>
          </w:tcPr>
          <w:p>
            <w:pPr>
              <w:ind w:left="560"/>
              <w:spacing w:after="0"/>
              <w:rPr>
                <w:sz w:val="20"/>
                <w:szCs w:val="20"/>
                <w:color w:val="auto"/>
              </w:rPr>
            </w:pPr>
            <w:r>
              <w:rPr>
                <w:rFonts w:ascii="Arial" w:cs="Arial" w:eastAsia="Arial" w:hAnsi="Arial"/>
                <w:sz w:val="16"/>
                <w:szCs w:val="16"/>
                <w:color w:val="auto"/>
              </w:rPr>
              <w:t>BENEFICIARY DESIGNATION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14</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16</w:t>
            </w:r>
          </w:p>
        </w:tc>
        <w:tc>
          <w:tcPr>
            <w:tcW w:w="7760" w:type="dxa"/>
            <w:vAlign w:val="bottom"/>
          </w:tcPr>
          <w:p>
            <w:pPr>
              <w:ind w:left="560"/>
              <w:spacing w:after="0"/>
              <w:rPr>
                <w:sz w:val="20"/>
                <w:szCs w:val="20"/>
                <w:color w:val="auto"/>
              </w:rPr>
            </w:pPr>
            <w:r>
              <w:rPr>
                <w:rFonts w:ascii="Arial" w:cs="Arial" w:eastAsia="Arial" w:hAnsi="Arial"/>
                <w:sz w:val="16"/>
                <w:szCs w:val="16"/>
                <w:color w:val="auto"/>
              </w:rPr>
              <w:t>RIGHTS OF PARTICIPANTS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14</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17</w:t>
            </w:r>
          </w:p>
        </w:tc>
        <w:tc>
          <w:tcPr>
            <w:tcW w:w="7760" w:type="dxa"/>
            <w:vAlign w:val="bottom"/>
          </w:tcPr>
          <w:p>
            <w:pPr>
              <w:ind w:left="560"/>
              <w:spacing w:after="0"/>
              <w:rPr>
                <w:sz w:val="20"/>
                <w:szCs w:val="20"/>
                <w:color w:val="auto"/>
              </w:rPr>
            </w:pPr>
            <w:r>
              <w:rPr>
                <w:rFonts w:ascii="Arial" w:cs="Arial" w:eastAsia="Arial" w:hAnsi="Arial"/>
                <w:sz w:val="16"/>
                <w:szCs w:val="16"/>
                <w:color w:val="auto"/>
              </w:rPr>
              <w:t>CHANGE IN CONTROL; CORPORATE TRANSACTION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15</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18</w:t>
            </w:r>
          </w:p>
        </w:tc>
        <w:tc>
          <w:tcPr>
            <w:tcW w:w="7760" w:type="dxa"/>
            <w:vAlign w:val="bottom"/>
          </w:tcPr>
          <w:p>
            <w:pPr>
              <w:ind w:left="560"/>
              <w:spacing w:after="0"/>
              <w:rPr>
                <w:sz w:val="20"/>
                <w:szCs w:val="20"/>
                <w:color w:val="auto"/>
              </w:rPr>
            </w:pPr>
            <w:r>
              <w:rPr>
                <w:rFonts w:ascii="Arial" w:cs="Arial" w:eastAsia="Arial" w:hAnsi="Arial"/>
                <w:sz w:val="16"/>
                <w:szCs w:val="16"/>
                <w:color w:val="auto"/>
              </w:rPr>
              <w:t>AMENDMENT, MODIFICATION, SUSPENSION, AND TERMINATION</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15</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19</w:t>
            </w:r>
          </w:p>
        </w:tc>
        <w:tc>
          <w:tcPr>
            <w:tcW w:w="7760" w:type="dxa"/>
            <w:vAlign w:val="bottom"/>
          </w:tcPr>
          <w:p>
            <w:pPr>
              <w:ind w:left="560"/>
              <w:spacing w:after="0"/>
              <w:rPr>
                <w:sz w:val="20"/>
                <w:szCs w:val="20"/>
                <w:color w:val="auto"/>
              </w:rPr>
            </w:pPr>
            <w:r>
              <w:rPr>
                <w:rFonts w:ascii="Arial" w:cs="Arial" w:eastAsia="Arial" w:hAnsi="Arial"/>
                <w:sz w:val="16"/>
                <w:szCs w:val="16"/>
                <w:color w:val="auto"/>
              </w:rPr>
              <w:t>WITHHOLDING</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16</w:t>
            </w:r>
          </w:p>
        </w:tc>
      </w:tr>
      <w:tr>
        <w:trPr>
          <w:trHeight w:val="310"/>
        </w:trPr>
        <w:tc>
          <w:tcPr>
            <w:tcW w:w="1480" w:type="dxa"/>
            <w:vAlign w:val="bottom"/>
          </w:tcPr>
          <w:p>
            <w:pPr>
              <w:spacing w:after="0"/>
              <w:rPr>
                <w:sz w:val="20"/>
                <w:szCs w:val="20"/>
                <w:color w:val="auto"/>
              </w:rPr>
            </w:pPr>
            <w:r>
              <w:rPr>
                <w:rFonts w:ascii="Arial" w:cs="Arial" w:eastAsia="Arial" w:hAnsi="Arial"/>
                <w:sz w:val="16"/>
                <w:szCs w:val="16"/>
                <w:color w:val="auto"/>
              </w:rPr>
              <w:t>ARTICLE 20</w:t>
            </w:r>
          </w:p>
        </w:tc>
        <w:tc>
          <w:tcPr>
            <w:tcW w:w="7760" w:type="dxa"/>
            <w:vAlign w:val="bottom"/>
          </w:tcPr>
          <w:p>
            <w:pPr>
              <w:ind w:left="560"/>
              <w:spacing w:after="0"/>
              <w:rPr>
                <w:sz w:val="20"/>
                <w:szCs w:val="20"/>
                <w:color w:val="auto"/>
              </w:rPr>
            </w:pPr>
            <w:r>
              <w:rPr>
                <w:rFonts w:ascii="Arial" w:cs="Arial" w:eastAsia="Arial" w:hAnsi="Arial"/>
                <w:sz w:val="16"/>
                <w:szCs w:val="16"/>
                <w:color w:val="auto"/>
              </w:rPr>
              <w:t>SUCCESSORS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16</w:t>
            </w:r>
          </w:p>
        </w:tc>
      </w:tr>
      <w:tr>
        <w:trPr>
          <w:trHeight w:val="311"/>
        </w:trPr>
        <w:tc>
          <w:tcPr>
            <w:tcW w:w="1480" w:type="dxa"/>
            <w:vAlign w:val="bottom"/>
          </w:tcPr>
          <w:p>
            <w:pPr>
              <w:spacing w:after="0"/>
              <w:rPr>
                <w:sz w:val="20"/>
                <w:szCs w:val="20"/>
                <w:color w:val="auto"/>
              </w:rPr>
            </w:pPr>
            <w:r>
              <w:rPr>
                <w:rFonts w:ascii="Arial" w:cs="Arial" w:eastAsia="Arial" w:hAnsi="Arial"/>
                <w:sz w:val="16"/>
                <w:szCs w:val="16"/>
                <w:color w:val="auto"/>
              </w:rPr>
              <w:t>ARTICLE 21</w:t>
            </w:r>
          </w:p>
        </w:tc>
        <w:tc>
          <w:tcPr>
            <w:tcW w:w="7760" w:type="dxa"/>
            <w:vAlign w:val="bottom"/>
          </w:tcPr>
          <w:p>
            <w:pPr>
              <w:ind w:left="560"/>
              <w:spacing w:after="0"/>
              <w:rPr>
                <w:sz w:val="20"/>
                <w:szCs w:val="20"/>
                <w:color w:val="auto"/>
              </w:rPr>
            </w:pPr>
            <w:r>
              <w:rPr>
                <w:rFonts w:ascii="Arial" w:cs="Arial" w:eastAsia="Arial" w:hAnsi="Arial"/>
                <w:sz w:val="16"/>
                <w:szCs w:val="16"/>
                <w:color w:val="auto"/>
              </w:rPr>
              <w:t>GENERAL PROVISIONS</w:t>
            </w:r>
          </w:p>
        </w:tc>
        <w:tc>
          <w:tcPr>
            <w:tcW w:w="1320" w:type="dxa"/>
            <w:vAlign w:val="bottom"/>
          </w:tcPr>
          <w:p>
            <w:pPr>
              <w:jc w:val="center"/>
              <w:ind w:left="1059"/>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226695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31"/>
          <w:szCs w:val="31"/>
          <w:b w:val="1"/>
          <w:bCs w:val="1"/>
          <w:color w:val="auto"/>
        </w:rPr>
        <w:t>Black Hills 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Amended and Restated 2015 Omnibus Incentive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Purpose, and Duration</w:t>
      </w:r>
    </w:p>
    <w:p>
      <w:pPr>
        <w:spacing w:after="0" w:line="212"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Black Hills Corporation, a South Dakota corporation (hereinafter referred to as the “Company”),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an incentive compensation plan known as the Black Hills Corporation 2015 Omnibus Incentive Plan effective April 28, 2015 (the “Original Effective Date”), as amended and restated on January 24, 2022, which is hereby further amended and restated as set forth in this document and effective as of January 24, 2023 (the “Restatement Effective Date”) (hereinafter referred to as the “Plan”).</w:t>
      </w:r>
    </w:p>
    <w:p>
      <w:pPr>
        <w:spacing w:after="0" w:line="174" w:lineRule="exact"/>
        <w:rPr>
          <w:sz w:val="20"/>
          <w:szCs w:val="20"/>
          <w:color w:val="auto"/>
        </w:rPr>
      </w:pPr>
    </w:p>
    <w:p>
      <w:pPr>
        <w:ind w:right="580" w:firstLine="464"/>
        <w:spacing w:after="0" w:line="271"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Other Stock-Based Awards.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This Plan shall remain in effect as provided in Section 1.3 hereof.</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b w:val="1"/>
          <w:bCs w:val="1"/>
          <w:color w:val="auto"/>
        </w:rPr>
        <w:t xml:space="preserve">1.2 Purpose of this Plan. </w:t>
      </w:r>
      <w:r>
        <w:rPr>
          <w:rFonts w:ascii="Arial" w:cs="Arial" w:eastAsia="Arial" w:hAnsi="Arial"/>
          <w:sz w:val="18"/>
          <w:szCs w:val="18"/>
          <w:color w:val="auto"/>
        </w:rPr>
        <w:t>The purpose of this Plan is to provide a means whereby Employees and Directors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of the Company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185"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b w:val="1"/>
          <w:bCs w:val="1"/>
          <w:color w:val="auto"/>
        </w:rPr>
        <w:t xml:space="preserve">1.3 Duration of this Plan. </w:t>
      </w:r>
      <w:r>
        <w:rPr>
          <w:rFonts w:ascii="Arial" w:cs="Arial" w:eastAsia="Arial" w:hAnsi="Arial"/>
          <w:sz w:val="18"/>
          <w:szCs w:val="18"/>
          <w:color w:val="auto"/>
        </w:rPr>
        <w:t>Unless sooner terminated as provided herein, this Plan shall terminate April 26, 2032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which is ten (10) years after shareholder approval of the most recent material amendment of this Plan. After this Plan is terminated, no Awards may be granted but Awards previously granted shall remain outstanding in accordance with their applicable terms and conditions and this Plan’s terms and conditions. Notwithstanding the foregoing, no Incentive Stock Options may be granted more than ten (10) years after the earlier of (a) adoption of this Plan by the Board, or (b) the Expiration Date.</w:t>
      </w:r>
    </w:p>
    <w:p>
      <w:pPr>
        <w:spacing w:after="0" w:line="176"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 xml:space="preserve">Prior Plan. </w:t>
      </w:r>
      <w:r>
        <w:rPr>
          <w:rFonts w:ascii="Arial" w:cs="Arial" w:eastAsia="Arial" w:hAnsi="Arial"/>
          <w:sz w:val="17"/>
          <w:szCs w:val="17"/>
          <w:color w:val="auto"/>
        </w:rPr>
        <w:t>No further grants shall be made under the Prior Plan from and after the Original Effective Date of this Plan.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12" w:lineRule="exact"/>
        <w:rPr>
          <w:sz w:val="20"/>
          <w:szCs w:val="20"/>
          <w:color w:val="auto"/>
        </w:rPr>
      </w:pPr>
    </w:p>
    <w:p>
      <w:pPr>
        <w:ind w:right="300" w:firstLine="749"/>
        <w:spacing w:after="0" w:line="271"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54" w:lineRule="exact"/>
        <w:rPr>
          <w:sz w:val="20"/>
          <w:szCs w:val="20"/>
          <w:color w:val="auto"/>
        </w:rPr>
      </w:pPr>
    </w:p>
    <w:p>
      <w:pPr>
        <w:jc w:val="both"/>
        <w:ind w:right="80" w:firstLine="749"/>
        <w:spacing w:after="0" w:line="253" w:lineRule="auto"/>
        <w:rPr>
          <w:sz w:val="20"/>
          <w:szCs w:val="20"/>
          <w:color w:val="auto"/>
        </w:rPr>
      </w:pPr>
      <w:r>
        <w:rPr>
          <w:rFonts w:ascii="Arial" w:cs="Arial" w:eastAsia="Arial" w:hAnsi="Arial"/>
          <w:sz w:val="18"/>
          <w:szCs w:val="18"/>
          <w:b w:val="1"/>
          <w:bCs w:val="1"/>
          <w:color w:val="auto"/>
        </w:rPr>
        <w:t xml:space="preserve">2.1 “Affiliate” </w:t>
      </w:r>
      <w:r>
        <w:rPr>
          <w:rFonts w:ascii="Arial" w:cs="Arial" w:eastAsia="Arial" w:hAnsi="Arial"/>
          <w:sz w:val="18"/>
          <w:szCs w:val="18"/>
          <w:color w:val="auto"/>
        </w:rPr>
        <w:t>shall mean any corporation or other entity (including, but not limited to, a partnership or a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affiliated with the Company through stock or equity ownership or otherwise, and is designated as an Affiliate for purposes of this Plan by the Committee.</w:t>
      </w:r>
    </w:p>
    <w:p>
      <w:pPr>
        <w:spacing w:after="0" w:line="16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“Annual Award Limit” </w:t>
      </w:r>
      <w:r>
        <w:rPr>
          <w:rFonts w:ascii="Arial" w:cs="Arial" w:eastAsia="Arial" w:hAnsi="Arial"/>
          <w:sz w:val="17"/>
          <w:szCs w:val="17"/>
          <w:color w:val="auto"/>
        </w:rPr>
        <w:t>or</w:t>
      </w:r>
      <w:r>
        <w:rPr>
          <w:rFonts w:ascii="Arial" w:cs="Arial" w:eastAsia="Arial" w:hAnsi="Arial"/>
          <w:sz w:val="17"/>
          <w:szCs w:val="17"/>
          <w:b w:val="1"/>
          <w:bCs w:val="1"/>
          <w:color w:val="auto"/>
        </w:rPr>
        <w:t xml:space="preserve"> “Annual Award Limits” </w:t>
      </w:r>
      <w:r>
        <w:rPr>
          <w:rFonts w:ascii="Arial" w:cs="Arial" w:eastAsia="Arial" w:hAnsi="Arial"/>
          <w:sz w:val="17"/>
          <w:szCs w:val="17"/>
          <w:color w:val="auto"/>
        </w:rPr>
        <w:t>have the meaning set forth in Section 4.3.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ind w:right="300" w:firstLine="749"/>
        <w:spacing w:after="0" w:line="252" w:lineRule="auto"/>
        <w:rPr>
          <w:sz w:val="20"/>
          <w:szCs w:val="20"/>
          <w:color w:val="auto"/>
        </w:rPr>
      </w:pPr>
      <w:r>
        <w:rPr>
          <w:rFonts w:ascii="Arial" w:cs="Arial" w:eastAsia="Arial" w:hAnsi="Arial"/>
          <w:sz w:val="18"/>
          <w:szCs w:val="18"/>
          <w:b w:val="1"/>
          <w:bCs w:val="1"/>
          <w:color w:val="auto"/>
        </w:rPr>
        <w:t xml:space="preserve">2.3 “Award” </w:t>
      </w:r>
      <w:r>
        <w:rPr>
          <w:rFonts w:ascii="Arial" w:cs="Arial" w:eastAsia="Arial" w:hAnsi="Arial"/>
          <w:sz w:val="18"/>
          <w:szCs w:val="18"/>
          <w:color w:val="auto"/>
        </w:rPr>
        <w:t>means, individually or collectively, a grant under this Plan of Nonqualified Stock Options,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SARs, Restricted Stock, Restricted Stock Units, Performance Shares, Performance Units, Cash-Based Awards, or Other Stock-Based Awards, in each case subject to the terms of this Plan.</w:t>
      </w:r>
    </w:p>
    <w:p>
      <w:pPr>
        <w:spacing w:after="0" w:line="171"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b w:val="1"/>
          <w:bCs w:val="1"/>
          <w:color w:val="auto"/>
        </w:rPr>
        <w:t xml:space="preserve">2.4 “Award Agreement” </w:t>
      </w:r>
      <w:r>
        <w:rPr>
          <w:rFonts w:ascii="Arial" w:cs="Arial" w:eastAsia="Arial" w:hAnsi="Arial"/>
          <w:sz w:val="18"/>
          <w:szCs w:val="18"/>
          <w:color w:val="auto"/>
        </w:rPr>
        <w:t>means either (i) an agreement entered into by the Company and a Participant setting forth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applicable to an Award granted under this Plan, or (ii)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76"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b w:val="1"/>
          <w:bCs w:val="1"/>
          <w:color w:val="auto"/>
        </w:rPr>
        <w:t xml:space="preserve">2.5 “Beneficial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shall have the meaning ascribed to such term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5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or</w:t>
      </w:r>
      <w:r>
        <w:rPr>
          <w:rFonts w:ascii="Arial" w:cs="Arial" w:eastAsia="Arial" w:hAnsi="Arial"/>
          <w:sz w:val="17"/>
          <w:szCs w:val="17"/>
          <w:b w:val="1"/>
          <w:bCs w:val="1"/>
          <w:color w:val="auto"/>
        </w:rPr>
        <w:t xml:space="preserve"> “Board of Directors” </w:t>
      </w:r>
      <w:r>
        <w:rPr>
          <w:rFonts w:ascii="Arial" w:cs="Arial" w:eastAsia="Arial" w:hAnsi="Arial"/>
          <w:sz w:val="17"/>
          <w:szCs w:val="17"/>
          <w:color w:val="auto"/>
        </w:rPr>
        <w:t>means the Board of Directors of the Company.</w:t>
      </w:r>
    </w:p>
    <w:p>
      <w:pPr>
        <w:spacing w:after="0" w:line="212"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 xml:space="preserve">“Cash-Based Awards” </w:t>
      </w:r>
      <w:r>
        <w:rPr>
          <w:rFonts w:ascii="Arial" w:cs="Arial" w:eastAsia="Arial" w:hAnsi="Arial"/>
          <w:sz w:val="17"/>
          <w:szCs w:val="17"/>
          <w:color w:val="auto"/>
        </w:rPr>
        <w:t>means an Award granted to a Participant as described in Article 9 herein.</w:t>
      </w:r>
    </w:p>
    <w:p>
      <w:pPr>
        <w:spacing w:after="0" w:line="212"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 xml:space="preserve">“Cause” </w:t>
      </w:r>
      <w:r>
        <w:rPr>
          <w:rFonts w:ascii="Arial" w:cs="Arial" w:eastAsia="Arial" w:hAnsi="Arial"/>
          <w:sz w:val="17"/>
          <w:szCs w:val="17"/>
          <w:color w:val="auto"/>
        </w:rPr>
        <w:t>means, unless otherwise provided in an Award Agreement, any of the following:</w:t>
      </w:r>
    </w:p>
    <w:p>
      <w:pPr>
        <w:spacing w:after="0" w:line="212" w:lineRule="exact"/>
        <w:rPr>
          <w:sz w:val="20"/>
          <w:szCs w:val="20"/>
          <w:color w:val="auto"/>
        </w:rPr>
      </w:pPr>
    </w:p>
    <w:p>
      <w:pPr>
        <w:ind w:right="40" w:firstLine="1505"/>
        <w:spacing w:after="0" w:line="271" w:lineRule="auto"/>
        <w:tabs>
          <w:tab w:leader="none" w:pos="18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Participant’s violation of his or her material duties to the Company or any of its Affiliates, which continues after written notice from the Company or any Affiliate to cure such violation;</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Participant’s failure to follow the lawful written directives of the Company in any material respect;</w:t>
      </w:r>
    </w:p>
    <w:p>
      <w:pPr>
        <w:spacing w:after="0" w:line="211" w:lineRule="exact"/>
        <w:rPr>
          <w:rFonts w:ascii="Arial" w:cs="Arial" w:eastAsia="Arial" w:hAnsi="Arial"/>
          <w:sz w:val="18"/>
          <w:szCs w:val="18"/>
          <w:color w:val="auto"/>
        </w:rPr>
      </w:pPr>
    </w:p>
    <w:p>
      <w:pPr>
        <w:ind w:right="300" w:firstLine="1505"/>
        <w:spacing w:after="0" w:line="244" w:lineRule="auto"/>
        <w:tabs>
          <w:tab w:leader="none" w:pos="18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Participant’s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 Affiliates, or securing or attempting to secure any personal profit in connection with any transaction entered into on behalf of the Company or any of its Affiliates;</w:t>
      </w:r>
    </w:p>
    <w:p>
      <w:pPr>
        <w:spacing w:after="0" w:line="176" w:lineRule="exact"/>
        <w:rPr>
          <w:rFonts w:ascii="Arial" w:cs="Arial" w:eastAsia="Arial" w:hAnsi="Arial"/>
          <w:sz w:val="18"/>
          <w:szCs w:val="18"/>
          <w:color w:val="auto"/>
        </w:rPr>
      </w:pPr>
    </w:p>
    <w:p>
      <w:pPr>
        <w:ind w:right="400" w:firstLine="1505"/>
        <w:spacing w:after="0" w:line="271" w:lineRule="auto"/>
        <w:tabs>
          <w:tab w:leader="none" w:pos="18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153" w:lineRule="exact"/>
        <w:rPr>
          <w:rFonts w:ascii="Arial" w:cs="Arial" w:eastAsia="Arial" w:hAnsi="Arial"/>
          <w:sz w:val="18"/>
          <w:szCs w:val="18"/>
          <w:color w:val="auto"/>
        </w:rPr>
      </w:pPr>
    </w:p>
    <w:p>
      <w:pPr>
        <w:ind w:right="600" w:firstLine="1505"/>
        <w:spacing w:after="0" w:line="271" w:lineRule="auto"/>
        <w:tabs>
          <w:tab w:leader="none" w:pos="18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Conviction (or plea of guilty or nolo contendere) of the Participant of any felony offense that is demonstratively injurious to the Company; or</w:t>
      </w:r>
    </w:p>
    <w:p>
      <w:pPr>
        <w:spacing w:after="0" w:line="153" w:lineRule="exact"/>
        <w:rPr>
          <w:rFonts w:ascii="Arial" w:cs="Arial" w:eastAsia="Arial" w:hAnsi="Arial"/>
          <w:sz w:val="18"/>
          <w:szCs w:val="18"/>
          <w:color w:val="auto"/>
        </w:rPr>
      </w:pPr>
    </w:p>
    <w:p>
      <w:pPr>
        <w:ind w:right="320" w:firstLine="1505"/>
        <w:spacing w:after="0" w:line="271" w:lineRule="auto"/>
        <w:tabs>
          <w:tab w:leader="none" w:pos="189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Intentional engagement in any activity which would constitute or cause a breach of duty of loyalty, or any fiduciary duty to the Company or any of its Affiliates.</w:t>
      </w:r>
    </w:p>
    <w:p>
      <w:pPr>
        <w:spacing w:after="0" w:line="15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Notwithstanding the foregoing, if the Participant is a party to a then-effective written severance or employment agreement with the Company providing a definition of “cause,”, then that definition shall apply.</w:t>
      </w:r>
    </w:p>
    <w:p>
      <w:pPr>
        <w:spacing w:after="0" w:line="154"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or</w:t>
      </w:r>
      <w:r>
        <w:rPr>
          <w:rFonts w:ascii="Arial" w:cs="Arial" w:eastAsia="Arial" w:hAnsi="Arial"/>
          <w:sz w:val="17"/>
          <w:szCs w:val="17"/>
          <w:b w:val="1"/>
          <w:bCs w:val="1"/>
          <w:color w:val="auto"/>
        </w:rPr>
        <w:t xml:space="preserve"> “Change of Control” </w:t>
      </w:r>
      <w:r>
        <w:rPr>
          <w:rFonts w:ascii="Arial" w:cs="Arial" w:eastAsia="Arial" w:hAnsi="Arial"/>
          <w:sz w:val="17"/>
          <w:szCs w:val="17"/>
          <w:color w:val="auto"/>
        </w:rPr>
        <w:t>maybe used interchangeably and shall mean, unless provided otherwise in 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Award Agreement, any of the following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ind w:right="260" w:firstLine="1505"/>
        <w:spacing w:after="0" w:line="243" w:lineRule="auto"/>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Plan,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subsections (c)(i), (ii) and (iii);</w:t>
      </w:r>
    </w:p>
    <w:p>
      <w:pPr>
        <w:spacing w:after="0" w:line="179" w:lineRule="exact"/>
        <w:rPr>
          <w:rFonts w:ascii="Arial" w:cs="Arial" w:eastAsia="Arial" w:hAnsi="Arial"/>
          <w:sz w:val="18"/>
          <w:szCs w:val="18"/>
          <w:color w:val="auto"/>
        </w:rPr>
      </w:pPr>
    </w:p>
    <w:p>
      <w:pPr>
        <w:ind w:right="140" w:firstLine="1505"/>
        <w:spacing w:after="0"/>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Individuals who, as of December 31, 2014</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including by reason of any agreement intended to avoid or settle any actual or threatened proxy contest;</w:t>
      </w:r>
    </w:p>
    <w:p>
      <w:pPr>
        <w:spacing w:after="0" w:line="184" w:lineRule="exact"/>
        <w:rPr>
          <w:rFonts w:ascii="Arial" w:cs="Arial" w:eastAsia="Arial" w:hAnsi="Arial"/>
          <w:sz w:val="18"/>
          <w:szCs w:val="18"/>
          <w:color w:val="auto"/>
        </w:rPr>
      </w:pPr>
    </w:p>
    <w:p>
      <w:pPr>
        <w:ind w:right="60" w:firstLine="1505"/>
        <w:spacing w:after="0" w:line="238" w:lineRule="auto"/>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Consummation, following shareholder approval, of a reorganization, merger, or consolidation of the Company, or a sale or other disposition of all or substantially all of the assets of the Company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Arial" w:cs="Arial" w:eastAsia="Arial" w:hAnsi="Arial"/>
          <w:sz w:val="18"/>
          <w:szCs w:val="18"/>
          <w:b w:val="1"/>
          <w:bCs w:val="1"/>
          <w:color w:val="auto"/>
        </w:rPr>
        <w:t>Successor Entity</w:t>
      </w:r>
      <w:r>
        <w:rPr>
          <w:rFonts w:ascii="Arial" w:cs="Arial" w:eastAsia="Arial" w:hAnsi="Arial"/>
          <w:sz w:val="18"/>
          <w:szCs w:val="18"/>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180" w:lineRule="exact"/>
        <w:rPr>
          <w:rFonts w:ascii="Arial" w:cs="Arial" w:eastAsia="Arial" w:hAnsi="Arial"/>
          <w:sz w:val="18"/>
          <w:szCs w:val="18"/>
          <w:color w:val="auto"/>
        </w:rPr>
      </w:pPr>
    </w:p>
    <w:p>
      <w:pPr>
        <w:ind w:right="640" w:firstLine="1505"/>
        <w:spacing w:after="0" w:line="271" w:lineRule="auto"/>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except pursuant to a Business Combination that complies with subsections (c)(i), (ii), and (iii) above.</w:t>
      </w:r>
    </w:p>
    <w:p>
      <w:pPr>
        <w:spacing w:after="0" w:line="153" w:lineRule="exact"/>
        <w:rPr>
          <w:rFonts w:ascii="Arial" w:cs="Arial" w:eastAsia="Arial" w:hAnsi="Arial"/>
          <w:sz w:val="18"/>
          <w:szCs w:val="18"/>
          <w:color w:val="auto"/>
        </w:rPr>
      </w:pPr>
    </w:p>
    <w:p>
      <w:pPr>
        <w:ind w:right="180" w:firstLine="1505"/>
        <w:spacing w:after="0"/>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Change in Control shall not be deemed to occur solely because any Person (the “</w:t>
      </w:r>
      <w:r>
        <w:rPr>
          <w:rFonts w:ascii="Arial" w:cs="Arial" w:eastAsia="Arial" w:hAnsi="Arial"/>
          <w:sz w:val="18"/>
          <w:szCs w:val="18"/>
          <w:b w:val="1"/>
          <w:bCs w:val="1"/>
          <w:color w:val="auto"/>
        </w:rPr>
        <w:t>Subject Person</w:t>
      </w:r>
      <w:r>
        <w:rPr>
          <w:rFonts w:ascii="Arial" w:cs="Arial" w:eastAsia="Arial" w:hAnsi="Arial"/>
          <w:sz w:val="18"/>
          <w:szCs w:val="18"/>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84" w:lineRule="exact"/>
        <w:rPr>
          <w:rFonts w:ascii="Arial" w:cs="Arial" w:eastAsia="Arial" w:hAnsi="Arial"/>
          <w:sz w:val="18"/>
          <w:szCs w:val="18"/>
          <w:color w:val="auto"/>
        </w:rPr>
      </w:pPr>
    </w:p>
    <w:p>
      <w:pPr>
        <w:ind w:right="580" w:firstLine="1505"/>
        <w:spacing w:after="0" w:line="253" w:lineRule="auto"/>
        <w:tabs>
          <w:tab w:leader="none" w:pos="18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749"/>
        <w:spacing w:after="0" w:line="246" w:lineRule="auto"/>
        <w:rPr>
          <w:sz w:val="20"/>
          <w:szCs w:val="20"/>
          <w:color w:val="auto"/>
        </w:rPr>
      </w:pPr>
      <w:r>
        <w:rPr>
          <w:rFonts w:ascii="Arial" w:cs="Arial" w:eastAsia="Arial" w:hAnsi="Arial"/>
          <w:sz w:val="18"/>
          <w:szCs w:val="18"/>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2.8 unless the event would also constitute a change in ownership or effective control of, or a change in the ownership of a substantial portion of the assets of, the Company under Code Section 409A.</w:t>
      </w:r>
    </w:p>
    <w:p>
      <w:pPr>
        <w:spacing w:after="0" w:line="176"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b w:val="1"/>
          <w:bCs w:val="1"/>
          <w:color w:val="auto"/>
        </w:rPr>
        <w:t xml:space="preserve">2.10 “Code” </w:t>
      </w:r>
      <w:r>
        <w:rPr>
          <w:rFonts w:ascii="Arial" w:cs="Arial" w:eastAsia="Arial" w:hAnsi="Arial"/>
          <w:sz w:val="18"/>
          <w:szCs w:val="18"/>
          <w:color w:val="auto"/>
        </w:rPr>
        <w:t>means the U.S. Internal Revenue Code of 1986, as amended from time to time. For purposes of this Plan,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sections of the Code shall be deemed to include references to any applicable regulations thereunder and any successor or similar provision.</w:t>
      </w:r>
    </w:p>
    <w:p>
      <w:pPr>
        <w:spacing w:after="0" w:line="169" w:lineRule="exact"/>
        <w:rPr>
          <w:sz w:val="20"/>
          <w:szCs w:val="20"/>
          <w:color w:val="auto"/>
        </w:rPr>
      </w:pPr>
    </w:p>
    <w:p>
      <w:pPr>
        <w:ind w:right="40" w:firstLine="749"/>
        <w:spacing w:after="0"/>
        <w:rPr>
          <w:sz w:val="20"/>
          <w:szCs w:val="20"/>
          <w:color w:val="auto"/>
        </w:rPr>
      </w:pPr>
      <w:r>
        <w:rPr>
          <w:rFonts w:ascii="Arial" w:cs="Arial" w:eastAsia="Arial" w:hAnsi="Arial"/>
          <w:sz w:val="18"/>
          <w:szCs w:val="18"/>
          <w:b w:val="1"/>
          <w:bCs w:val="1"/>
          <w:color w:val="auto"/>
        </w:rPr>
        <w:t xml:space="preserve">2.11 “Committee” </w:t>
      </w:r>
      <w:r>
        <w:rPr>
          <w:rFonts w:ascii="Arial" w:cs="Arial" w:eastAsia="Arial" w:hAnsi="Arial"/>
          <w:sz w:val="18"/>
          <w:szCs w:val="18"/>
          <w:color w:val="auto"/>
        </w:rPr>
        <w:t>means the Compensation Committee of the Board or a subcommittee thereof,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Board to administer this Plan. The members of the Committee shall be appointed from time to time by and shall serve at the discretion of the Board. All members of the Committee shall be independent in accordance with any applicable standards and/or regulations adopted by the New York Stock Exchange (or, if not listed on such exchange, on any other national securities exchange on which the Shares are listed). If the Committee does not exist or cannot function for any reason, the Board may take any action under the Plan that would otherwise be the responsibility of the Committee. With respect to any decision relating to an Insider, the Committee shall consist of two or more Directors who are disinterested within the meaning of Rule 16b-3.</w:t>
      </w:r>
    </w:p>
    <w:p>
      <w:pPr>
        <w:spacing w:after="0" w:line="185"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b w:val="1"/>
          <w:bCs w:val="1"/>
          <w:color w:val="auto"/>
        </w:rPr>
        <w:t xml:space="preserve">2.12 “Company” </w:t>
      </w:r>
      <w:r>
        <w:rPr>
          <w:rFonts w:ascii="Arial" w:cs="Arial" w:eastAsia="Arial" w:hAnsi="Arial"/>
          <w:sz w:val="18"/>
          <w:szCs w:val="18"/>
          <w:color w:val="auto"/>
        </w:rPr>
        <w:t>means Black Hills Corporation, a South Dakota corporation, and any successor thereto as provided in Article 21</w:t>
      </w:r>
      <w:r>
        <w:rPr>
          <w:rFonts w:ascii="Arial" w:cs="Arial" w:eastAsia="Arial" w:hAnsi="Arial"/>
          <w:sz w:val="18"/>
          <w:szCs w:val="18"/>
          <w:b w:val="1"/>
          <w:bCs w:val="1"/>
          <w:color w:val="auto"/>
        </w:rPr>
        <w:t xml:space="preserve"> </w:t>
      </w:r>
      <w:r>
        <w:rPr>
          <w:rFonts w:ascii="Arial" w:cs="Arial" w:eastAsia="Arial" w:hAnsi="Arial"/>
          <w:sz w:val="18"/>
          <w:szCs w:val="18"/>
          <w:color w:val="auto"/>
        </w:rPr>
        <w:t>herein; provided, however, that in the event the Company reincorporates to another jurisdiction, all references to the term “Company” shall refer to the Company in such new jurisdiction.</w:t>
      </w:r>
    </w:p>
    <w:p>
      <w:pPr>
        <w:spacing w:after="0" w:line="169"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b w:val="1"/>
          <w:bCs w:val="1"/>
          <w:color w:val="auto"/>
        </w:rPr>
        <w:t xml:space="preserve">2.13 “Corporate Transaction” </w:t>
      </w:r>
      <w:r>
        <w:rPr>
          <w:rFonts w:ascii="Arial" w:cs="Arial" w:eastAsia="Arial" w:hAnsi="Arial"/>
          <w:sz w:val="18"/>
          <w:szCs w:val="18"/>
          <w:color w:val="auto"/>
        </w:rPr>
        <w:t>means (i) a sale or other disposition of all or substantially all of the assets of the Company,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share exchange or similar transaction involving the Company, regardless of whether the Company is the surviving entity.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2.14 “Director” </w:t>
      </w:r>
      <w:r>
        <w:rPr>
          <w:rFonts w:ascii="Arial" w:cs="Arial" w:eastAsia="Arial" w:hAnsi="Arial"/>
          <w:sz w:val="18"/>
          <w:szCs w:val="18"/>
          <w:color w:val="auto"/>
        </w:rPr>
        <w:t>means any individual who is a member of the Board of Directors of the Company.</w:t>
      </w:r>
    </w:p>
    <w:p>
      <w:pPr>
        <w:spacing w:after="0" w:line="212" w:lineRule="exact"/>
        <w:rPr>
          <w:sz w:val="20"/>
          <w:szCs w:val="20"/>
          <w:color w:val="auto"/>
        </w:rPr>
      </w:pPr>
    </w:p>
    <w:p>
      <w:pPr>
        <w:ind w:right="40" w:firstLine="749"/>
        <w:spacing w:after="0" w:line="242" w:lineRule="auto"/>
        <w:rPr>
          <w:sz w:val="20"/>
          <w:szCs w:val="20"/>
          <w:color w:val="auto"/>
        </w:rPr>
      </w:pPr>
      <w:r>
        <w:rPr>
          <w:rFonts w:ascii="Arial" w:cs="Arial" w:eastAsia="Arial" w:hAnsi="Arial"/>
          <w:sz w:val="18"/>
          <w:szCs w:val="18"/>
          <w:b w:val="1"/>
          <w:bCs w:val="1"/>
          <w:color w:val="auto"/>
        </w:rPr>
        <w:t xml:space="preserve">2.15 “Employee” </w:t>
      </w:r>
      <w:r>
        <w:rPr>
          <w:rFonts w:ascii="Arial" w:cs="Arial" w:eastAsia="Arial" w:hAnsi="Arial"/>
          <w:sz w:val="18"/>
          <w:szCs w:val="18"/>
          <w:color w:val="auto"/>
        </w:rPr>
        <w:t>means any person designated as an employee of the Company, its Affiliates, and/or its Subsidiaries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2.16 “Exchange Act” </w:t>
      </w:r>
      <w:r>
        <w:rPr>
          <w:rFonts w:ascii="Arial" w:cs="Arial" w:eastAsia="Arial" w:hAnsi="Arial"/>
          <w:sz w:val="18"/>
          <w:szCs w:val="18"/>
          <w:color w:val="auto"/>
        </w:rPr>
        <w:t>means the Securities Exchange Act of 1934, as amended from time to time, or any successor act thereto.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2.17 “Expiration Date” </w:t>
      </w:r>
      <w:r>
        <w:rPr>
          <w:rFonts w:ascii="Arial" w:cs="Arial" w:eastAsia="Arial" w:hAnsi="Arial"/>
          <w:sz w:val="18"/>
          <w:szCs w:val="18"/>
          <w:color w:val="auto"/>
        </w:rPr>
        <w:t>has the meaning set forth in Section 1.3.</w:t>
      </w:r>
    </w:p>
    <w:p>
      <w:pPr>
        <w:spacing w:after="0" w:line="212" w:lineRule="exact"/>
        <w:rPr>
          <w:sz w:val="20"/>
          <w:szCs w:val="20"/>
          <w:color w:val="auto"/>
        </w:rPr>
      </w:pPr>
    </w:p>
    <w:p>
      <w:pPr>
        <w:jc w:val="both"/>
        <w:ind w:right="120" w:firstLine="749"/>
        <w:spacing w:after="0" w:line="301" w:lineRule="auto"/>
        <w:rPr>
          <w:sz w:val="20"/>
          <w:szCs w:val="20"/>
          <w:color w:val="auto"/>
        </w:rPr>
      </w:pPr>
      <w:r>
        <w:rPr>
          <w:rFonts w:ascii="Arial" w:cs="Arial" w:eastAsia="Arial" w:hAnsi="Arial"/>
          <w:sz w:val="17"/>
          <w:szCs w:val="17"/>
          <w:b w:val="1"/>
          <w:bCs w:val="1"/>
          <w:color w:val="auto"/>
        </w:rPr>
        <w:t xml:space="preserve">2.18 “Fair Market Value” </w:t>
      </w:r>
      <w:r>
        <w:rPr>
          <w:rFonts w:ascii="Arial" w:cs="Arial" w:eastAsia="Arial" w:hAnsi="Arial"/>
          <w:sz w:val="17"/>
          <w:szCs w:val="17"/>
          <w:color w:val="auto"/>
        </w:rPr>
        <w:t>or</w:t>
      </w:r>
      <w:r>
        <w:rPr>
          <w:rFonts w:ascii="Arial" w:cs="Arial" w:eastAsia="Arial" w:hAnsi="Arial"/>
          <w:sz w:val="17"/>
          <w:szCs w:val="17"/>
          <w:b w:val="1"/>
          <w:bCs w:val="1"/>
          <w:color w:val="auto"/>
        </w:rPr>
        <w:t xml:space="preserve"> “FMV” </w:t>
      </w:r>
      <w:r>
        <w:rPr>
          <w:rFonts w:ascii="Arial" w:cs="Arial" w:eastAsia="Arial" w:hAnsi="Arial"/>
          <w:sz w:val="17"/>
          <w:szCs w:val="17"/>
          <w:color w:val="auto"/>
        </w:rPr>
        <w:t>shall be determined on the basis of the closing sale price on the principal securities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on which the Shares are traded or, if there is no such sale on the relevant date, then on the last previous day on which a sale was reported.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2.19 “Freestanding SAR” </w:t>
      </w:r>
      <w:r>
        <w:rPr>
          <w:rFonts w:ascii="Arial" w:cs="Arial" w:eastAsia="Arial" w:hAnsi="Arial"/>
          <w:sz w:val="18"/>
          <w:szCs w:val="18"/>
          <w:color w:val="auto"/>
        </w:rPr>
        <w:t>means an SAR that is granted independently of any Options, as described in Article 7.</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b w:val="1"/>
          <w:bCs w:val="1"/>
          <w:color w:val="auto"/>
        </w:rPr>
        <w:t xml:space="preserve">2.20 “Full Value Award” </w:t>
      </w:r>
      <w:r>
        <w:rPr>
          <w:rFonts w:ascii="Arial" w:cs="Arial" w:eastAsia="Arial" w:hAnsi="Arial"/>
          <w:sz w:val="17"/>
          <w:szCs w:val="17"/>
          <w:color w:val="auto"/>
        </w:rPr>
        <w:t>means an Award other than in the form of an ISO, NQSO, or SAR, and which is settled by the issuance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right="640" w:firstLine="749"/>
        <w:spacing w:after="0" w:line="300" w:lineRule="auto"/>
        <w:rPr>
          <w:sz w:val="20"/>
          <w:szCs w:val="20"/>
          <w:color w:val="auto"/>
        </w:rPr>
      </w:pPr>
      <w:r>
        <w:rPr>
          <w:rFonts w:ascii="Arial" w:cs="Arial" w:eastAsia="Arial" w:hAnsi="Arial"/>
          <w:sz w:val="17"/>
          <w:szCs w:val="17"/>
          <w:b w:val="1"/>
          <w:bCs w:val="1"/>
          <w:color w:val="auto"/>
        </w:rPr>
        <w:t xml:space="preserve">2.21 “Good Reason” </w:t>
      </w:r>
      <w:r>
        <w:rPr>
          <w:rFonts w:ascii="Arial" w:cs="Arial" w:eastAsia="Arial" w:hAnsi="Arial"/>
          <w:sz w:val="17"/>
          <w:szCs w:val="17"/>
          <w:color w:val="auto"/>
        </w:rPr>
        <w:t>means, unless otherwise provided in an Award Agreement, the resignation of the Participant from</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the Company and its Affiliates due to any of the events or conditions described below, without Participant’s consent:</w:t>
      </w:r>
    </w:p>
    <w:p>
      <w:pPr>
        <w:spacing w:after="0" w:line="131" w:lineRule="exact"/>
        <w:rPr>
          <w:sz w:val="20"/>
          <w:szCs w:val="20"/>
          <w:color w:val="auto"/>
        </w:rPr>
      </w:pPr>
    </w:p>
    <w:p>
      <w:pPr>
        <w:ind w:left="1160" w:hanging="403"/>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material reduction of the Participant’s authority, duties, or responsibilities;</w:t>
      </w:r>
    </w:p>
    <w:p>
      <w:pPr>
        <w:spacing w:after="0" w:line="211" w:lineRule="exact"/>
        <w:rPr>
          <w:rFonts w:ascii="Arial" w:cs="Arial" w:eastAsia="Arial" w:hAnsi="Arial"/>
          <w:sz w:val="18"/>
          <w:szCs w:val="18"/>
          <w:color w:val="auto"/>
        </w:rPr>
      </w:pPr>
    </w:p>
    <w:p>
      <w:pPr>
        <w:ind w:right="540" w:firstLine="757"/>
        <w:spacing w:after="0" w:line="271" w:lineRule="auto"/>
        <w:tabs>
          <w:tab w:leader="none" w:pos="11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 annual incentive target, excluding a temporary reduction in salary applicable to all similarly situated employees;</w:t>
      </w:r>
    </w:p>
    <w:p>
      <w:pPr>
        <w:spacing w:after="0" w:line="154" w:lineRule="exact"/>
        <w:rPr>
          <w:sz w:val="20"/>
          <w:szCs w:val="20"/>
          <w:color w:val="auto"/>
        </w:rPr>
      </w:pPr>
    </w:p>
    <w:p>
      <w:pPr>
        <w:ind w:right="380" w:firstLine="757"/>
        <w:spacing w:after="0" w:line="253" w:lineRule="auto"/>
        <w:tabs>
          <w:tab w:leader="none" w:pos="11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requiring the Participant to be based outside a 50-mile radius from Participant’s usual and normal place of work, except for reasonably required travel on the Company’s business (provided that this clause (iv) shall not apply to the Participant’s relocation to remote work or back to the office from remote work).</w:t>
      </w:r>
    </w:p>
    <w:p>
      <w:pPr>
        <w:spacing w:after="0" w:line="169"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color w:val="auto"/>
        </w:rPr>
        <w:t>In order to effectuate a termination for Good Reason, (A) the Participant must, within thirty (30) days after the initial existence of the condition, deliver written notice to the Company stating the grounds for Good Reason, (B) the condition is not remedied by the Company within 30 days after its receipt of such notice, and (C) the Participant resigns from employment effective within ninety (90) days after initially giving written notice of the condition to the Company. Notwithstanding the foregoing, if the Participant is a party to a then-effective written severance or employment agreement with the Company providing a definition of “good reason,” then that definition, and any related requirements, shall apply.</w:t>
      </w:r>
    </w:p>
    <w:p>
      <w:pPr>
        <w:spacing w:after="0" w:line="179" w:lineRule="exact"/>
        <w:rPr>
          <w:sz w:val="20"/>
          <w:szCs w:val="20"/>
          <w:color w:val="auto"/>
        </w:rPr>
      </w:pPr>
    </w:p>
    <w:p>
      <w:pPr>
        <w:ind w:right="440" w:firstLine="749"/>
        <w:spacing w:after="0" w:line="271" w:lineRule="auto"/>
        <w:rPr>
          <w:sz w:val="20"/>
          <w:szCs w:val="20"/>
          <w:color w:val="auto"/>
        </w:rPr>
      </w:pPr>
      <w:r>
        <w:rPr>
          <w:rFonts w:ascii="Arial" w:cs="Arial" w:eastAsia="Arial" w:hAnsi="Arial"/>
          <w:sz w:val="18"/>
          <w:szCs w:val="18"/>
          <w:b w:val="1"/>
          <w:bCs w:val="1"/>
          <w:color w:val="auto"/>
        </w:rPr>
        <w:t xml:space="preserve">2.22 “Grant Price” </w:t>
      </w:r>
      <w:r>
        <w:rPr>
          <w:rFonts w:ascii="Arial" w:cs="Arial" w:eastAsia="Arial" w:hAnsi="Arial"/>
          <w:sz w:val="18"/>
          <w:szCs w:val="18"/>
          <w:color w:val="auto"/>
        </w:rPr>
        <w:t>means the price established at the time of grant of a SAR pursuant to Article 7, used to determine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payment due upon exercise of the SAR.</w:t>
      </w:r>
    </w:p>
    <w:p>
      <w:pPr>
        <w:spacing w:after="0" w:line="154"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b w:val="1"/>
          <w:bCs w:val="1"/>
          <w:color w:val="auto"/>
        </w:rPr>
        <w:t xml:space="preserve">2.23 “Incentive Stock Option” or “ISO” </w:t>
      </w:r>
      <w:r>
        <w:rPr>
          <w:rFonts w:ascii="Arial" w:cs="Arial" w:eastAsia="Arial" w:hAnsi="Arial"/>
          <w:sz w:val="18"/>
          <w:szCs w:val="18"/>
          <w:color w:val="auto"/>
        </w:rPr>
        <w:t>means an Option to purchase Shares granted under Article 6 to an Employee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and that is intended to meet the requirements of Code Section 422, or any successor provision.</w:t>
      </w:r>
    </w:p>
    <w:p>
      <w:pPr>
        <w:spacing w:after="0" w:line="154" w:lineRule="exact"/>
        <w:rPr>
          <w:sz w:val="20"/>
          <w:szCs w:val="20"/>
          <w:color w:val="auto"/>
        </w:rPr>
      </w:pPr>
    </w:p>
    <w:p>
      <w:pPr>
        <w:ind w:right="320" w:firstLine="749"/>
        <w:spacing w:after="0" w:line="253" w:lineRule="auto"/>
        <w:rPr>
          <w:sz w:val="20"/>
          <w:szCs w:val="20"/>
          <w:color w:val="auto"/>
        </w:rPr>
      </w:pPr>
      <w:r>
        <w:rPr>
          <w:rFonts w:ascii="Arial" w:cs="Arial" w:eastAsia="Arial" w:hAnsi="Arial"/>
          <w:sz w:val="18"/>
          <w:szCs w:val="18"/>
          <w:b w:val="1"/>
          <w:bCs w:val="1"/>
          <w:color w:val="auto"/>
        </w:rPr>
        <w:t xml:space="preserve">2.24 “Insider” </w:t>
      </w:r>
      <w:r>
        <w:rPr>
          <w:rFonts w:ascii="Arial" w:cs="Arial" w:eastAsia="Arial" w:hAnsi="Arial"/>
          <w:sz w:val="18"/>
          <w:szCs w:val="18"/>
          <w:color w:val="auto"/>
        </w:rPr>
        <w:t>shall mean an individual who is, on the relevant date, an officer, or Director of the Company, or a more than ten</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(10%) Beneficial Owner of any class of the Company’s equity securities that is registered pursuant to Section 12 of the Exchange Act, as determined by the Board in accordance with Section 16 of the Exchange Act.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2.25 “Nonemployee Director” </w:t>
      </w:r>
      <w:r>
        <w:rPr>
          <w:rFonts w:ascii="Arial" w:cs="Arial" w:eastAsia="Arial" w:hAnsi="Arial"/>
          <w:sz w:val="18"/>
          <w:szCs w:val="18"/>
          <w:color w:val="auto"/>
        </w:rPr>
        <w:t>means a Director who is not an Employee.</w:t>
      </w:r>
    </w:p>
    <w:p>
      <w:pPr>
        <w:spacing w:after="0" w:line="212"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b w:val="1"/>
          <w:bCs w:val="1"/>
          <w:color w:val="auto"/>
        </w:rPr>
        <w:t xml:space="preserve">2.26 “Nonemployee Director Award” </w:t>
      </w:r>
      <w:r>
        <w:rPr>
          <w:rFonts w:ascii="Arial" w:cs="Arial" w:eastAsia="Arial" w:hAnsi="Arial"/>
          <w:sz w:val="18"/>
          <w:szCs w:val="18"/>
          <w:color w:val="auto"/>
        </w:rPr>
        <w:t>means any NQSO, SAR, or Full Value Award granted, whether singly, in combination,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tandem, to a Participant who is a Nonemployee Director pursuant to such applicable terms, conditions, and limitations as the Board or Committee may establish in accordance with this Plan.</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2.27 “Nonqualified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that is not intended to meet the requirements of Code Section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422, or that otherwise does not meet such requirements.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2.28 “Option” </w:t>
      </w:r>
      <w:r>
        <w:rPr>
          <w:rFonts w:ascii="Arial" w:cs="Arial" w:eastAsia="Arial" w:hAnsi="Arial"/>
          <w:sz w:val="18"/>
          <w:szCs w:val="18"/>
          <w:color w:val="auto"/>
        </w:rPr>
        <w:t>means an Incentive Stock Option or a Nonqualified Stock Option, as described in Article 6.</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2.29 “Option Price” </w:t>
      </w:r>
      <w:r>
        <w:rPr>
          <w:rFonts w:ascii="Arial" w:cs="Arial" w:eastAsia="Arial" w:hAnsi="Arial"/>
          <w:sz w:val="18"/>
          <w:szCs w:val="18"/>
          <w:color w:val="auto"/>
        </w:rPr>
        <w:t>means the price at which a Share may be purchased by a Participant pursuant to an Option.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2.30 “Original Effective Date” </w:t>
      </w:r>
      <w:r>
        <w:rPr>
          <w:rFonts w:ascii="Arial" w:cs="Arial" w:eastAsia="Arial" w:hAnsi="Arial"/>
          <w:sz w:val="18"/>
          <w:szCs w:val="18"/>
          <w:color w:val="auto"/>
        </w:rPr>
        <w:t>has the meaning set forth in Section 1.1.</w:t>
      </w:r>
    </w:p>
    <w:p>
      <w:pPr>
        <w:spacing w:after="0" w:line="212" w:lineRule="exact"/>
        <w:rPr>
          <w:sz w:val="20"/>
          <w:szCs w:val="20"/>
          <w:color w:val="auto"/>
        </w:rPr>
      </w:pPr>
    </w:p>
    <w:p>
      <w:pPr>
        <w:ind w:right="340" w:firstLine="749"/>
        <w:spacing w:after="0" w:line="271" w:lineRule="auto"/>
        <w:rPr>
          <w:sz w:val="20"/>
          <w:szCs w:val="20"/>
          <w:color w:val="auto"/>
        </w:rPr>
      </w:pPr>
      <w:r>
        <w:rPr>
          <w:rFonts w:ascii="Arial" w:cs="Arial" w:eastAsia="Arial" w:hAnsi="Arial"/>
          <w:sz w:val="18"/>
          <w:szCs w:val="18"/>
          <w:b w:val="1"/>
          <w:bCs w:val="1"/>
          <w:color w:val="auto"/>
        </w:rPr>
        <w:t xml:space="preserve">2.31 “Other Stock-Based Award” </w:t>
      </w:r>
      <w:r>
        <w:rPr>
          <w:rFonts w:ascii="Arial" w:cs="Arial" w:eastAsia="Arial" w:hAnsi="Arial"/>
          <w:sz w:val="18"/>
          <w:szCs w:val="18"/>
          <w:color w:val="auto"/>
        </w:rPr>
        <w:t>means an equity-based or equity-related Award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10.</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left="760"/>
        <w:spacing w:after="0"/>
        <w:rPr>
          <w:sz w:val="20"/>
          <w:szCs w:val="20"/>
          <w:color w:val="auto"/>
        </w:rPr>
      </w:pPr>
      <w:r>
        <w:rPr>
          <w:rFonts w:ascii="Arial" w:cs="Arial" w:eastAsia="Arial" w:hAnsi="Arial"/>
          <w:sz w:val="18"/>
          <w:szCs w:val="18"/>
          <w:b w:val="1"/>
          <w:bCs w:val="1"/>
          <w:color w:val="auto"/>
        </w:rPr>
        <w:t xml:space="preserve">2.32 “Participant” </w:t>
      </w:r>
      <w:r>
        <w:rPr>
          <w:rFonts w:ascii="Arial" w:cs="Arial" w:eastAsia="Arial" w:hAnsi="Arial"/>
          <w:sz w:val="18"/>
          <w:szCs w:val="18"/>
          <w:color w:val="auto"/>
        </w:rPr>
        <w:t>means any eligible individual as set forth in Article 5 to whom an Award is granted.</w:t>
      </w:r>
    </w:p>
    <w:p>
      <w:pPr>
        <w:spacing w:after="0" w:line="211" w:lineRule="exact"/>
        <w:rPr>
          <w:sz w:val="20"/>
          <w:szCs w:val="20"/>
          <w:color w:val="auto"/>
        </w:rPr>
      </w:pPr>
    </w:p>
    <w:p>
      <w:pPr>
        <w:jc w:val="both"/>
        <w:ind w:right="120" w:firstLine="749"/>
        <w:spacing w:after="0" w:line="253" w:lineRule="auto"/>
        <w:rPr>
          <w:sz w:val="20"/>
          <w:szCs w:val="20"/>
          <w:color w:val="auto"/>
        </w:rPr>
      </w:pPr>
      <w:r>
        <w:rPr>
          <w:rFonts w:ascii="Arial" w:cs="Arial" w:eastAsia="Arial" w:hAnsi="Arial"/>
          <w:sz w:val="18"/>
          <w:szCs w:val="18"/>
          <w:b w:val="1"/>
          <w:bCs w:val="1"/>
          <w:color w:val="auto"/>
        </w:rPr>
        <w:t xml:space="preserve">2.33 “Performance-Based Compensation” </w:t>
      </w:r>
      <w:r>
        <w:rPr>
          <w:rFonts w:ascii="Arial" w:cs="Arial" w:eastAsia="Arial" w:hAnsi="Arial"/>
          <w:sz w:val="18"/>
          <w:szCs w:val="18"/>
          <w:color w:val="auto"/>
        </w:rPr>
        <w:t>means any Award for which the vesting, or value of which at the time it is payable,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a function of achievement of performance goals, including any such Cash-Based Award, Performance Share or Performance Unit.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2.34 “Performance Measures” </w:t>
      </w:r>
      <w:r>
        <w:rPr>
          <w:rFonts w:ascii="Arial" w:cs="Arial" w:eastAsia="Arial" w:hAnsi="Arial"/>
          <w:sz w:val="18"/>
          <w:szCs w:val="18"/>
          <w:color w:val="auto"/>
        </w:rPr>
        <w:t>means measures as described in Article 12 on which the performance goals are based.</w:t>
      </w:r>
    </w:p>
    <w:p>
      <w:pPr>
        <w:spacing w:after="0" w:line="212" w:lineRule="exact"/>
        <w:rPr>
          <w:sz w:val="20"/>
          <w:szCs w:val="20"/>
          <w:color w:val="auto"/>
        </w:rPr>
      </w:pPr>
    </w:p>
    <w:p>
      <w:pPr>
        <w:ind w:right="220" w:firstLine="749"/>
        <w:spacing w:after="0" w:line="271" w:lineRule="auto"/>
        <w:rPr>
          <w:sz w:val="20"/>
          <w:szCs w:val="20"/>
          <w:color w:val="auto"/>
        </w:rPr>
      </w:pPr>
      <w:r>
        <w:rPr>
          <w:rFonts w:ascii="Arial" w:cs="Arial" w:eastAsia="Arial" w:hAnsi="Arial"/>
          <w:sz w:val="18"/>
          <w:szCs w:val="18"/>
          <w:b w:val="1"/>
          <w:bCs w:val="1"/>
          <w:color w:val="auto"/>
        </w:rPr>
        <w:t xml:space="preserve">2.35 “Performance Period” </w:t>
      </w:r>
      <w:r>
        <w:rPr>
          <w:rFonts w:ascii="Arial" w:cs="Arial" w:eastAsia="Arial" w:hAnsi="Arial"/>
          <w:sz w:val="18"/>
          <w:szCs w:val="18"/>
          <w:color w:val="auto"/>
        </w:rPr>
        <w:t>means the period of time during which the performance goals must be met in order to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degree of payout and/or vesting with respect to an Award.</w:t>
      </w:r>
    </w:p>
    <w:p>
      <w:pPr>
        <w:spacing w:after="0" w:line="154" w:lineRule="exact"/>
        <w:rPr>
          <w:sz w:val="20"/>
          <w:szCs w:val="20"/>
          <w:color w:val="auto"/>
        </w:rPr>
      </w:pPr>
    </w:p>
    <w:p>
      <w:pPr>
        <w:jc w:val="both"/>
        <w:ind w:right="180" w:firstLine="749"/>
        <w:spacing w:after="0" w:line="253" w:lineRule="auto"/>
        <w:rPr>
          <w:sz w:val="20"/>
          <w:szCs w:val="20"/>
          <w:color w:val="auto"/>
        </w:rPr>
      </w:pPr>
      <w:r>
        <w:rPr>
          <w:rFonts w:ascii="Arial" w:cs="Arial" w:eastAsia="Arial" w:hAnsi="Arial"/>
          <w:sz w:val="18"/>
          <w:szCs w:val="18"/>
          <w:b w:val="1"/>
          <w:bCs w:val="1"/>
          <w:color w:val="auto"/>
        </w:rPr>
        <w:t xml:space="preserve">2.36 “Performance Share” </w:t>
      </w:r>
      <w:r>
        <w:rPr>
          <w:rFonts w:ascii="Arial" w:cs="Arial" w:eastAsia="Arial" w:hAnsi="Arial"/>
          <w:sz w:val="18"/>
          <w:szCs w:val="18"/>
          <w:color w:val="auto"/>
        </w:rPr>
        <w:t>means an Award under Article 9 herein and subject to the terms of this Plan, denominated in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which at the time it is payable is determined as a function of the extent to which corresponding performance criteria have been achieved.</w:t>
      </w:r>
    </w:p>
    <w:p>
      <w:pPr>
        <w:spacing w:after="0" w:line="169" w:lineRule="exact"/>
        <w:rPr>
          <w:sz w:val="20"/>
          <w:szCs w:val="20"/>
          <w:color w:val="auto"/>
        </w:rPr>
      </w:pPr>
    </w:p>
    <w:p>
      <w:pPr>
        <w:ind w:right="200" w:firstLine="749"/>
        <w:spacing w:after="0" w:line="253" w:lineRule="auto"/>
        <w:rPr>
          <w:sz w:val="20"/>
          <w:szCs w:val="20"/>
          <w:color w:val="auto"/>
        </w:rPr>
      </w:pPr>
      <w:r>
        <w:rPr>
          <w:rFonts w:ascii="Arial" w:cs="Arial" w:eastAsia="Arial" w:hAnsi="Arial"/>
          <w:sz w:val="18"/>
          <w:szCs w:val="18"/>
          <w:b w:val="1"/>
          <w:bCs w:val="1"/>
          <w:color w:val="auto"/>
        </w:rPr>
        <w:t xml:space="preserve">2.37 “Performance Unit” </w:t>
      </w:r>
      <w:r>
        <w:rPr>
          <w:rFonts w:ascii="Arial" w:cs="Arial" w:eastAsia="Arial" w:hAnsi="Arial"/>
          <w:sz w:val="18"/>
          <w:szCs w:val="18"/>
          <w:color w:val="auto"/>
        </w:rPr>
        <w:t>means an Award under Article 9 herein and subject to the terms of this Plan, denominated in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which at the time it is payable is determined as a function of the extent to which corresponding performance criteria have been achieved.</w:t>
      </w:r>
    </w:p>
    <w:p>
      <w:pPr>
        <w:spacing w:after="0" w:line="169" w:lineRule="exact"/>
        <w:rPr>
          <w:sz w:val="20"/>
          <w:szCs w:val="20"/>
          <w:color w:val="auto"/>
        </w:rPr>
      </w:pPr>
    </w:p>
    <w:p>
      <w:pPr>
        <w:ind w:right="100" w:firstLine="749"/>
        <w:spacing w:after="0" w:line="253" w:lineRule="auto"/>
        <w:rPr>
          <w:sz w:val="20"/>
          <w:szCs w:val="20"/>
          <w:color w:val="auto"/>
        </w:rPr>
      </w:pPr>
      <w:r>
        <w:rPr>
          <w:rFonts w:ascii="Arial" w:cs="Arial" w:eastAsia="Arial" w:hAnsi="Arial"/>
          <w:sz w:val="18"/>
          <w:szCs w:val="18"/>
          <w:b w:val="1"/>
          <w:bCs w:val="1"/>
          <w:color w:val="auto"/>
        </w:rPr>
        <w:t xml:space="preserve">2.38 “Period of Restriction” </w:t>
      </w:r>
      <w:r>
        <w:rPr>
          <w:rFonts w:ascii="Arial" w:cs="Arial" w:eastAsia="Arial" w:hAnsi="Arial"/>
          <w:sz w:val="18"/>
          <w:szCs w:val="18"/>
          <w:color w:val="auto"/>
        </w:rPr>
        <w:t>means the period when Restricted Stock or Restricted Stock Units are subject to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(based on the passage of time, the achievement of performance goals, or upon the occurrence of other events as determined by the Committee, in its discretion), as provided in Article 8.</w:t>
      </w:r>
    </w:p>
    <w:p>
      <w:pPr>
        <w:spacing w:after="0" w:line="169" w:lineRule="exact"/>
        <w:rPr>
          <w:sz w:val="20"/>
          <w:szCs w:val="20"/>
          <w:color w:val="auto"/>
        </w:rPr>
      </w:pPr>
    </w:p>
    <w:p>
      <w:pPr>
        <w:ind w:right="340" w:firstLine="749"/>
        <w:spacing w:after="0" w:line="271" w:lineRule="auto"/>
        <w:rPr>
          <w:sz w:val="20"/>
          <w:szCs w:val="20"/>
          <w:color w:val="auto"/>
        </w:rPr>
      </w:pPr>
      <w:r>
        <w:rPr>
          <w:rFonts w:ascii="Arial" w:cs="Arial" w:eastAsia="Arial" w:hAnsi="Arial"/>
          <w:sz w:val="18"/>
          <w:szCs w:val="18"/>
          <w:b w:val="1"/>
          <w:bCs w:val="1"/>
          <w:color w:val="auto"/>
        </w:rPr>
        <w:t xml:space="preserve">2.39 “Person” </w:t>
      </w:r>
      <w:r>
        <w:rPr>
          <w:rFonts w:ascii="Arial" w:cs="Arial" w:eastAsia="Arial" w:hAnsi="Arial"/>
          <w:sz w:val="18"/>
          <w:szCs w:val="18"/>
          <w:color w:val="auto"/>
        </w:rPr>
        <w:t>shall have the meaning ascribed to such term in Section 3(a)(9) of the Exchange Act and used in Sections 13(d)</w:t>
      </w:r>
      <w:r>
        <w:rPr>
          <w:rFonts w:ascii="Arial" w:cs="Arial" w:eastAsia="Arial" w:hAnsi="Arial"/>
          <w:sz w:val="18"/>
          <w:szCs w:val="18"/>
          <w:b w:val="1"/>
          <w:bCs w:val="1"/>
          <w:color w:val="auto"/>
        </w:rPr>
        <w:t xml:space="preserve"> </w:t>
      </w:r>
      <w:r>
        <w:rPr>
          <w:rFonts w:ascii="Arial" w:cs="Arial" w:eastAsia="Arial" w:hAnsi="Arial"/>
          <w:sz w:val="18"/>
          <w:szCs w:val="18"/>
          <w:color w:val="auto"/>
        </w:rPr>
        <w:t>and 14(d) thereof, including a “group” as defined in Section 13(d) thereof.</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2.40 “Plan” </w:t>
      </w:r>
      <w:r>
        <w:rPr>
          <w:rFonts w:ascii="Arial" w:cs="Arial" w:eastAsia="Arial" w:hAnsi="Arial"/>
          <w:sz w:val="18"/>
          <w:szCs w:val="18"/>
          <w:color w:val="auto"/>
        </w:rPr>
        <w:t>means the Black Hills Corporation Amended and Restated 2015 Omnibus Incentive Plan.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2.41 “Plan Year” </w:t>
      </w:r>
      <w:r>
        <w:rPr>
          <w:rFonts w:ascii="Arial" w:cs="Arial" w:eastAsia="Arial" w:hAnsi="Arial"/>
          <w:sz w:val="18"/>
          <w:szCs w:val="18"/>
          <w:color w:val="auto"/>
        </w:rPr>
        <w:t>means the calendar year.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2.42 “Prior Plan” </w:t>
      </w:r>
      <w:r>
        <w:rPr>
          <w:rFonts w:ascii="Arial" w:cs="Arial" w:eastAsia="Arial" w:hAnsi="Arial"/>
          <w:sz w:val="18"/>
          <w:szCs w:val="18"/>
          <w:color w:val="auto"/>
        </w:rPr>
        <w:t>means the Black Hills Corporation 2005 Omnibus Incentive Compensation Plan dated May 25, 2005.</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2.43 “Restatement Effective Date” </w:t>
      </w:r>
      <w:r>
        <w:rPr>
          <w:rFonts w:ascii="Arial" w:cs="Arial" w:eastAsia="Arial" w:hAnsi="Arial"/>
          <w:sz w:val="18"/>
          <w:szCs w:val="18"/>
          <w:color w:val="auto"/>
        </w:rPr>
        <w:t>has the meaning set forth in Section 1.1.</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2.44 “Restricted Stock” </w:t>
      </w:r>
      <w:r>
        <w:rPr>
          <w:rFonts w:ascii="Arial" w:cs="Arial" w:eastAsia="Arial" w:hAnsi="Arial"/>
          <w:sz w:val="18"/>
          <w:szCs w:val="18"/>
          <w:color w:val="auto"/>
        </w:rPr>
        <w:t>means an Award granted to a Participant pursuant to Article 8.</w:t>
      </w:r>
    </w:p>
    <w:p>
      <w:pPr>
        <w:spacing w:after="0" w:line="212" w:lineRule="exact"/>
        <w:rPr>
          <w:sz w:val="20"/>
          <w:szCs w:val="20"/>
          <w:color w:val="auto"/>
        </w:rPr>
      </w:pPr>
    </w:p>
    <w:p>
      <w:pPr>
        <w:ind w:right="660" w:firstLine="749"/>
        <w:spacing w:after="0" w:line="271" w:lineRule="auto"/>
        <w:rPr>
          <w:sz w:val="20"/>
          <w:szCs w:val="20"/>
          <w:color w:val="auto"/>
        </w:rPr>
      </w:pPr>
      <w:r>
        <w:rPr>
          <w:rFonts w:ascii="Arial" w:cs="Arial" w:eastAsia="Arial" w:hAnsi="Arial"/>
          <w:sz w:val="18"/>
          <w:szCs w:val="18"/>
          <w:b w:val="1"/>
          <w:bCs w:val="1"/>
          <w:color w:val="auto"/>
        </w:rPr>
        <w:t xml:space="preserve">2.45 “Restricted Stock Unit” </w:t>
      </w:r>
      <w:r>
        <w:rPr>
          <w:rFonts w:ascii="Arial" w:cs="Arial" w:eastAsia="Arial" w:hAnsi="Arial"/>
          <w:sz w:val="18"/>
          <w:szCs w:val="18"/>
          <w:color w:val="auto"/>
        </w:rPr>
        <w:t>means an Award granted to a Participant pursuant to Article 8, except no Shares are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to the Participant on the date of grant.</w:t>
      </w:r>
    </w:p>
    <w:p>
      <w:pPr>
        <w:spacing w:after="0" w:line="154"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b w:val="1"/>
          <w:bCs w:val="1"/>
          <w:color w:val="auto"/>
        </w:rPr>
        <w:t xml:space="preserve">2.46 “Service-Provider” </w:t>
      </w:r>
      <w:r>
        <w:rPr>
          <w:rFonts w:ascii="Arial" w:cs="Arial" w:eastAsia="Arial" w:hAnsi="Arial"/>
          <w:sz w:val="18"/>
          <w:szCs w:val="18"/>
          <w:color w:val="auto"/>
        </w:rPr>
        <w:t>means an Employee, a Nonemployee Director, or any natural person who is a consultant or advisor, or is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a consultant or advisor retained by the Company or any Affiliate and/or Subsidiary, and who provides services (other than in connection with (i) a capital-raising transaction or (ii) promoting or maintaining a market in Company securities) to the Company or any Affiliate and/or Subsidiary.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2.47 “Share” </w:t>
      </w:r>
      <w:r>
        <w:rPr>
          <w:rFonts w:ascii="Arial" w:cs="Arial" w:eastAsia="Arial" w:hAnsi="Arial"/>
          <w:sz w:val="18"/>
          <w:szCs w:val="18"/>
          <w:color w:val="auto"/>
        </w:rPr>
        <w:t>means a Share of common stock of the Company, $1.00 par value per Share.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2.48 “Stock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designated as a SAR, pursuant to the terms of Article 7 herein.</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right="540" w:firstLine="749"/>
        <w:spacing w:after="0" w:line="270" w:lineRule="auto"/>
        <w:rPr>
          <w:sz w:val="20"/>
          <w:szCs w:val="20"/>
          <w:color w:val="auto"/>
        </w:rPr>
      </w:pPr>
      <w:r>
        <w:rPr>
          <w:rFonts w:ascii="Arial" w:cs="Arial" w:eastAsia="Arial" w:hAnsi="Arial"/>
          <w:sz w:val="18"/>
          <w:szCs w:val="18"/>
          <w:b w:val="1"/>
          <w:bCs w:val="1"/>
          <w:color w:val="auto"/>
        </w:rPr>
        <w:t xml:space="preserve">2.49 “Subsidiary” </w:t>
      </w:r>
      <w:r>
        <w:rPr>
          <w:rFonts w:ascii="Arial" w:cs="Arial" w:eastAsia="Arial" w:hAnsi="Arial"/>
          <w:sz w:val="18"/>
          <w:szCs w:val="18"/>
          <w:color w:val="auto"/>
        </w:rPr>
        <w:t>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 proprietary interest of more than fifty percent (50%) by reason of stock ownership or otherwise.</w:t>
      </w:r>
    </w:p>
    <w:p>
      <w:pPr>
        <w:spacing w:after="0" w:line="155"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b w:val="1"/>
          <w:bCs w:val="1"/>
          <w:color w:val="auto"/>
        </w:rPr>
        <w:t xml:space="preserve">2.50 “Substitute Awards” </w:t>
      </w:r>
      <w:r>
        <w:rPr>
          <w:rFonts w:ascii="Arial" w:cs="Arial" w:eastAsia="Arial" w:hAnsi="Arial"/>
          <w:sz w:val="18"/>
          <w:szCs w:val="18"/>
          <w:color w:val="auto"/>
        </w:rPr>
        <w:t>means an Award granted upon the assumption of, or in substitution or exchange for,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176"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b w:val="1"/>
          <w:bCs w:val="1"/>
          <w:color w:val="auto"/>
        </w:rPr>
        <w:t xml:space="preserve">2.51 “Tandem SAR” </w:t>
      </w:r>
      <w:r>
        <w:rPr>
          <w:rFonts w:ascii="Arial" w:cs="Arial" w:eastAsia="Arial" w:hAnsi="Arial"/>
          <w:sz w:val="18"/>
          <w:szCs w:val="18"/>
          <w:color w:val="auto"/>
        </w:rPr>
        <w:t>means a SAR that is granted in connection with a related Option pursuant to Article 7 herein, the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require forfeiture of the right to purchase a Share under the related Option (and when a Share is purchased under the Option, the Tandem SAR shall similarly be canceled).</w:t>
      </w:r>
    </w:p>
    <w:p>
      <w:pPr>
        <w:spacing w:after="0" w:line="169"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b w:val="1"/>
          <w:bCs w:val="1"/>
          <w:color w:val="auto"/>
        </w:rPr>
        <w:t xml:space="preserve">2.52 “Units” </w:t>
      </w:r>
      <w:r>
        <w:rPr>
          <w:rFonts w:ascii="Arial" w:cs="Arial" w:eastAsia="Arial" w:hAnsi="Arial"/>
          <w:sz w:val="18"/>
          <w:szCs w:val="18"/>
          <w:color w:val="auto"/>
        </w:rPr>
        <w:t>means a unit of measurement equivalent to one share of Common Stock, with none of the attendant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of such share, (including among the rights which the holder of a Unit does not have are the right to vote such share and the right to receive dividends thereon), except to the extent otherwise specifically provided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21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b w:val="1"/>
          <w:bCs w:val="1"/>
          <w:color w:val="auto"/>
        </w:rPr>
        <w:t xml:space="preserve">3.1 General. </w:t>
      </w:r>
      <w:r>
        <w:rPr>
          <w:rFonts w:ascii="Arial" w:cs="Arial" w:eastAsia="Arial" w:hAnsi="Arial"/>
          <w:sz w:val="18"/>
          <w:szCs w:val="18"/>
          <w:color w:val="auto"/>
        </w:rPr>
        <w:t>The Committee shall be responsible for administering this Plan, subject to this Article 3 and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w:t>
      </w:r>
    </w:p>
    <w:p>
      <w:pPr>
        <w:spacing w:after="0" w:line="176" w:lineRule="exact"/>
        <w:rPr>
          <w:sz w:val="20"/>
          <w:szCs w:val="20"/>
          <w:color w:val="auto"/>
        </w:rPr>
      </w:pPr>
    </w:p>
    <w:p>
      <w:pPr>
        <w:ind w:right="160" w:firstLine="749"/>
        <w:spacing w:after="0"/>
        <w:rPr>
          <w:sz w:val="20"/>
          <w:szCs w:val="20"/>
          <w:color w:val="auto"/>
        </w:rPr>
      </w:pPr>
      <w:r>
        <w:rPr>
          <w:rFonts w:ascii="Arial" w:cs="Arial" w:eastAsia="Arial" w:hAnsi="Arial"/>
          <w:sz w:val="18"/>
          <w:szCs w:val="18"/>
          <w:b w:val="1"/>
          <w:bCs w:val="1"/>
          <w:color w:val="auto"/>
        </w:rPr>
        <w:t xml:space="preserve">3.2 Authority of the Committee. </w:t>
      </w:r>
      <w:r>
        <w:rPr>
          <w:rFonts w:ascii="Arial" w:cs="Arial" w:eastAsia="Arial" w:hAnsi="Arial"/>
          <w:sz w:val="18"/>
          <w:szCs w:val="18"/>
          <w:color w:val="auto"/>
        </w:rPr>
        <w:t>The Committee shall have full and exclusive discretionary power to interpret the terms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intent of this Plan and any Award Agreement or other agreement or document ancillary to or in connection with 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granting Awards as an alternative to or as the form of payment for grants or rights earned or due under compensation plans or arrangements of the Company, and, subject to Article 17,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180"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b w:val="1"/>
          <w:bCs w:val="1"/>
          <w:color w:val="auto"/>
        </w:rPr>
        <w:t xml:space="preserve">3.3 Delegation. </w:t>
      </w:r>
      <w:r>
        <w:rPr>
          <w:rFonts w:ascii="Arial" w:cs="Arial" w:eastAsia="Arial" w:hAnsi="Arial"/>
          <w:sz w:val="18"/>
          <w:szCs w:val="18"/>
          <w:color w:val="auto"/>
        </w:rPr>
        <w:t>The Committee may delegate to one or more of its members or to one or more officers of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or other Service-Providers to be recipients of Awards; and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Article 4 Shares Subject to this Plan and Maximum Awards</w:t>
      </w:r>
    </w:p>
    <w:p>
      <w:pPr>
        <w:spacing w:after="0" w:line="211"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Number of Shares Available for Awards.</w:t>
      </w:r>
    </w:p>
    <w:p>
      <w:pPr>
        <w:spacing w:after="0" w:line="212" w:lineRule="exact"/>
        <w:rPr>
          <w:sz w:val="20"/>
          <w:szCs w:val="20"/>
          <w:color w:val="auto"/>
        </w:rPr>
      </w:pPr>
    </w:p>
    <w:p>
      <w:pPr>
        <w:jc w:val="both"/>
        <w:ind w:right="20" w:firstLine="1505"/>
        <w:spacing w:after="0" w:line="253" w:lineRule="auto"/>
        <w:tabs>
          <w:tab w:leader="none" w:pos="189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Maximum Shares Available Under the Plan. </w:t>
      </w:r>
      <w:r>
        <w:rPr>
          <w:rFonts w:ascii="Arial" w:cs="Arial" w:eastAsia="Arial" w:hAnsi="Arial"/>
          <w:sz w:val="18"/>
          <w:szCs w:val="18"/>
          <w:color w:val="auto"/>
        </w:rPr>
        <w:t>Subject to adjustment as provided in Section 4.3 herein, the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available for issuance to Participants under this Plan is 2,900,000. The Shares to be delivered under the Plan may consist, in whole or in part, of authorized, but unissued Shares or treasury stock not reserved for any other purpose.</w:t>
      </w:r>
    </w:p>
    <w:p>
      <w:pPr>
        <w:spacing w:after="0" w:line="168" w:lineRule="exact"/>
        <w:rPr>
          <w:rFonts w:ascii="Arial" w:cs="Arial" w:eastAsia="Arial" w:hAnsi="Arial"/>
          <w:sz w:val="18"/>
          <w:szCs w:val="18"/>
          <w:color w:val="auto"/>
        </w:rPr>
      </w:pPr>
    </w:p>
    <w:p>
      <w:pPr>
        <w:ind w:right="460" w:firstLine="1505"/>
        <w:spacing w:after="0" w:line="271" w:lineRule="auto"/>
        <w:tabs>
          <w:tab w:leader="none" w:pos="189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Limit on ISOs. </w:t>
      </w:r>
      <w:r>
        <w:rPr>
          <w:rFonts w:ascii="Arial" w:cs="Arial" w:eastAsia="Arial" w:hAnsi="Arial"/>
          <w:sz w:val="18"/>
          <w:szCs w:val="18"/>
          <w:color w:val="auto"/>
        </w:rPr>
        <w:t>Subject to the limit set forth in Section 4.1(a) on the number of Shares that may be issued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under this Plan, the maximum number of Shares that may be issued pursuant to ISOs shall be 2,900,000 Shares.</w:t>
      </w:r>
    </w:p>
    <w:p>
      <w:pPr>
        <w:spacing w:after="0" w:line="153" w:lineRule="exact"/>
        <w:rPr>
          <w:rFonts w:ascii="Arial" w:cs="Arial" w:eastAsia="Arial" w:hAnsi="Arial"/>
          <w:sz w:val="18"/>
          <w:szCs w:val="18"/>
          <w:color w:val="auto"/>
        </w:rPr>
      </w:pPr>
    </w:p>
    <w:p>
      <w:pPr>
        <w:ind w:right="180" w:firstLine="1505"/>
        <w:spacing w:after="0" w:line="247" w:lineRule="auto"/>
        <w:tabs>
          <w:tab w:leader="none" w:pos="189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Limit on Non-Employee Director Compensation. </w:t>
      </w:r>
      <w:r>
        <w:rPr>
          <w:rFonts w:ascii="Arial" w:cs="Arial" w:eastAsia="Arial" w:hAnsi="Arial"/>
          <w:sz w:val="18"/>
          <w:szCs w:val="18"/>
          <w:color w:val="auto"/>
        </w:rPr>
        <w:t>Subject to adjustment in Section 4.3 and subject to the limit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4.1(a) on the number of Shares that may be issued in the aggregate under the Plan, no Nonemployee Director may be granted Awards having a grant date fair value (as determined in accordance with generally accepted accounting principles applicable in the United States) in excess of $500,000 in any Plan Year.</w:t>
      </w:r>
    </w:p>
    <w:p>
      <w:pPr>
        <w:spacing w:after="0" w:line="173" w:lineRule="exact"/>
        <w:rPr>
          <w:rFonts w:ascii="Arial" w:cs="Arial" w:eastAsia="Arial" w:hAnsi="Arial"/>
          <w:sz w:val="18"/>
          <w:szCs w:val="18"/>
          <w:color w:val="auto"/>
        </w:rPr>
      </w:pPr>
    </w:p>
    <w:p>
      <w:pPr>
        <w:ind w:firstLine="1505"/>
        <w:spacing w:after="0" w:line="237" w:lineRule="auto"/>
        <w:tabs>
          <w:tab w:leader="none" w:pos="189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Minimum Vesting Period. </w:t>
      </w:r>
      <w:r>
        <w:rPr>
          <w:rFonts w:ascii="Arial" w:cs="Arial" w:eastAsia="Arial" w:hAnsi="Arial"/>
          <w:sz w:val="18"/>
          <w:szCs w:val="18"/>
          <w:color w:val="auto"/>
        </w:rPr>
        <w:t>Awards that vest solely on the satisfaction by the Participant of service-based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shall be subject to a vesting period of not less than one year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Substitute Award that does not reduce the vesting period of the award being replaced, (ii) Awards made in payment of or exchange for other compensation already earned and payable, and (iii) outstanding, exercised and settled Awards involving an aggregate number of Shares not in excess of 5% of the Plan’s share reserved specified in Section 4.1(a). For purposes of Awards to Nonemployee Directors, a vesting period will be deemed to be one year if it runs from the date of one annual meeting of the Company’s shareholders to the date of the next annual meeting of the Company’s shareholders, provided that such vesting period may not be less than 50 weeks after grant. This Section 4.1(d) shall not restrict the right of the Committee to provide in an Award Agreement that such minimum vesting restrictions may lapse or be waived upon a Change in Control or a Participant’s termination of service due to death, Disability, or retirement. Furthermore, this Section shall not restrict the right of the Committee to provide for the acceleration or continuation of the vesting or exercisability of an Award upon termination of service, including, without limitation, due to death, Disability, retirement or a termination without cause.</w:t>
      </w:r>
    </w:p>
    <w:p>
      <w:pPr>
        <w:spacing w:after="0" w:line="189"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Share Counting.</w:t>
      </w:r>
    </w:p>
    <w:p>
      <w:pPr>
        <w:spacing w:after="0" w:line="212" w:lineRule="exact"/>
        <w:rPr>
          <w:sz w:val="20"/>
          <w:szCs w:val="20"/>
          <w:color w:val="auto"/>
        </w:rPr>
      </w:pPr>
    </w:p>
    <w:p>
      <w:pPr>
        <w:ind w:right="260" w:firstLine="1505"/>
        <w:spacing w:after="0" w:line="271" w:lineRule="auto"/>
        <w:tabs>
          <w:tab w:leader="none" w:pos="18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 Award (or any award outstanding under the Prior Plan after February 28, 2015) terminates, expires, or lapses for any reason, the number of Shares subject to such Award shall again become available for the grant under the Plan.</w:t>
      </w:r>
    </w:p>
    <w:p>
      <w:pPr>
        <w:spacing w:after="0" w:line="153" w:lineRule="exact"/>
        <w:rPr>
          <w:rFonts w:ascii="Arial" w:cs="Arial" w:eastAsia="Arial" w:hAnsi="Arial"/>
          <w:sz w:val="18"/>
          <w:szCs w:val="18"/>
          <w:color w:val="auto"/>
        </w:rPr>
      </w:pPr>
    </w:p>
    <w:p>
      <w:pPr>
        <w:ind w:right="60" w:firstLine="1505"/>
        <w:spacing w:after="0" w:line="271" w:lineRule="auto"/>
        <w:tabs>
          <w:tab w:leader="none" w:pos="18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an Award is settled in cash, the Shares used to measure the value of the award, if any, shall not reduce the Shares available for grant under the Plan.</w:t>
      </w:r>
    </w:p>
    <w:p>
      <w:pPr>
        <w:spacing w:after="0" w:line="153" w:lineRule="exact"/>
        <w:rPr>
          <w:rFonts w:ascii="Arial" w:cs="Arial" w:eastAsia="Arial" w:hAnsi="Arial"/>
          <w:sz w:val="18"/>
          <w:szCs w:val="18"/>
          <w:color w:val="auto"/>
        </w:rPr>
      </w:pPr>
    </w:p>
    <w:p>
      <w:pPr>
        <w:ind w:right="20" w:firstLine="1505"/>
        <w:spacing w:after="0" w:line="253" w:lineRule="auto"/>
        <w:tabs>
          <w:tab w:leader="none" w:pos="18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exercise of a stock-settled SAR or broker-assisted “cashless” exercise of a stock option (or a portion thereof) shall reduce the Shares available for grant by the entire number of Shares subject to the Award (or applicable portion thereof), even though a smaller number of Shares will be issued upon such an exercise.</w:t>
      </w:r>
    </w:p>
    <w:p>
      <w:pPr>
        <w:spacing w:after="0" w:line="168" w:lineRule="exact"/>
        <w:rPr>
          <w:rFonts w:ascii="Arial" w:cs="Arial" w:eastAsia="Arial" w:hAnsi="Arial"/>
          <w:sz w:val="18"/>
          <w:szCs w:val="18"/>
          <w:color w:val="auto"/>
        </w:rPr>
      </w:pPr>
    </w:p>
    <w:p>
      <w:pPr>
        <w:ind w:right="320" w:firstLine="1505"/>
        <w:spacing w:after="0" w:line="271" w:lineRule="auto"/>
        <w:tabs>
          <w:tab w:leader="none" w:pos="18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Dividend equivalents paid in stock shall reduce the number of Shares available for grant by the number of Shares used to satisfy such dividend equivalent.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ind w:right="20" w:firstLine="1505"/>
        <w:spacing w:after="0" w:line="270" w:lineRule="auto"/>
        <w:tabs>
          <w:tab w:leader="none" w:pos="18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tendered or withheld to pay the exercise price of an Option or tendered or withheld to satisfy a tax withholding obligation arising in connection with an Award shall not again become available for grant under the Plan.</w:t>
      </w:r>
    </w:p>
    <w:p>
      <w:pPr>
        <w:spacing w:after="0" w:line="154" w:lineRule="exact"/>
        <w:rPr>
          <w:rFonts w:ascii="Arial" w:cs="Arial" w:eastAsia="Arial" w:hAnsi="Arial"/>
          <w:sz w:val="18"/>
          <w:szCs w:val="18"/>
          <w:color w:val="auto"/>
        </w:rPr>
      </w:pPr>
    </w:p>
    <w:p>
      <w:pPr>
        <w:ind w:right="80" w:firstLine="1505"/>
        <w:spacing w:after="0" w:line="271" w:lineRule="auto"/>
        <w:tabs>
          <w:tab w:leader="none" w:pos="189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purchased on the open market with cash proceeds generated by the exercise of an Option shall not increase or replenish the number of Shares available for grant under the Plan.</w:t>
      </w:r>
    </w:p>
    <w:p>
      <w:pPr>
        <w:spacing w:after="0" w:line="153" w:lineRule="exact"/>
        <w:rPr>
          <w:rFonts w:ascii="Arial" w:cs="Arial" w:eastAsia="Arial" w:hAnsi="Arial"/>
          <w:sz w:val="18"/>
          <w:szCs w:val="18"/>
          <w:color w:val="auto"/>
        </w:rPr>
      </w:pPr>
    </w:p>
    <w:p>
      <w:pPr>
        <w:ind w:left="1900" w:hanging="395"/>
        <w:spacing w:after="0"/>
        <w:tabs>
          <w:tab w:leader="none" w:pos="1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Shares subject to Substitute Awards shall not be counted against the Shares available for grant under the Plan.</w:t>
      </w:r>
    </w:p>
    <w:p>
      <w:pPr>
        <w:spacing w:after="0" w:line="212"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b w:val="1"/>
          <w:bCs w:val="1"/>
          <w:color w:val="auto"/>
        </w:rPr>
        <w:t xml:space="preserve">4.3 Adjustments in Authorized Shares. </w:t>
      </w:r>
      <w:r>
        <w:rPr>
          <w:rFonts w:ascii="Arial" w:cs="Arial" w:eastAsia="Arial" w:hAnsi="Arial"/>
          <w:sz w:val="18"/>
          <w:szCs w:val="18"/>
          <w:color w:val="auto"/>
        </w:rPr>
        <w:t>In the event of any corporate event or transaction (including, but not limited to,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Shares of the Company or the capitalization of the Company) such as a merger, 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the Annual Award Limits, and other value determinations applicable to outstanding Awards.</w:t>
      </w:r>
    </w:p>
    <w:p>
      <w:pPr>
        <w:spacing w:after="0" w:line="183"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Subject to the provisions of Article 17,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ISO rules under Code Section 422, where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225"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 xml:space="preserve">Eligibility. </w:t>
      </w:r>
      <w:r>
        <w:rPr>
          <w:rFonts w:ascii="Arial" w:cs="Arial" w:eastAsia="Arial" w:hAnsi="Arial"/>
          <w:sz w:val="17"/>
          <w:szCs w:val="17"/>
          <w:color w:val="auto"/>
        </w:rPr>
        <w:t>Individuals eligible to participate in this Plan include all Service-Providers.</w:t>
      </w:r>
    </w:p>
    <w:p>
      <w:pPr>
        <w:spacing w:after="0" w:line="212" w:lineRule="exact"/>
        <w:rPr>
          <w:sz w:val="20"/>
          <w:szCs w:val="20"/>
          <w:color w:val="auto"/>
        </w:rPr>
      </w:pPr>
    </w:p>
    <w:p>
      <w:pPr>
        <w:ind w:right="380" w:firstLine="749"/>
        <w:spacing w:after="0" w:line="253"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provisions of this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those individuals to whom Awards shall be granted and shall determine, in its sole discretion, the nature of, any and all terms permissible by law, and the amount of each Award.</w:t>
      </w:r>
    </w:p>
    <w:p>
      <w:pPr>
        <w:spacing w:after="0" w:line="169" w:lineRule="exact"/>
        <w:rPr>
          <w:sz w:val="20"/>
          <w:szCs w:val="20"/>
          <w:color w:val="auto"/>
        </w:rPr>
      </w:pPr>
    </w:p>
    <w:p>
      <w:pPr>
        <w:ind w:right="20" w:firstLine="400"/>
        <w:spacing w:after="0" w:line="242" w:lineRule="auto"/>
        <w:rPr>
          <w:sz w:val="20"/>
          <w:szCs w:val="20"/>
          <w:color w:val="auto"/>
        </w:rPr>
      </w:pPr>
      <w:r>
        <w:rPr>
          <w:rFonts w:ascii="Arial" w:cs="Arial" w:eastAsia="Arial" w:hAnsi="Arial"/>
          <w:sz w:val="18"/>
          <w:szCs w:val="18"/>
          <w:b w:val="1"/>
          <w:bCs w:val="1"/>
          <w:color w:val="auto"/>
        </w:rPr>
        <w:t xml:space="preserve">5.3 Status as Service-Provider. </w:t>
      </w:r>
      <w:r>
        <w:rPr>
          <w:rFonts w:ascii="Arial" w:cs="Arial" w:eastAsia="Arial" w:hAnsi="Arial"/>
          <w:sz w:val="18"/>
          <w:szCs w:val="18"/>
          <w:color w:val="auto"/>
        </w:rPr>
        <w:t>A Service-Provider’s service shall be deemed to have terminated either upon an actual cessation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services to the Company or any Affiliate and/or Subsidiary or upon the entity to which the Service-Provider provides services ceasing to be an Affiliate and/or Subsidiary. Except as otherwise provided in this Plan or any Award Agreement, status as a Service-Provider shall not be deemed terminated for purposes of determining continued vesting or other rights in Awards in the case of (i) any approved leave of absence; (ii) transfers among the Company and any Affiliates and/or Subsidiaries in any Service-Provider capacity; or (iii) any change in status so long as the individual remains in the service of the Company or any Affiliate and/or Subsidiary in any Service-Provider capacity.</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Article 6 Stock Options</w:t>
      </w:r>
    </w:p>
    <w:p>
      <w:pPr>
        <w:spacing w:after="0" w:line="211"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this Plan, Options may be granted to Participants in such number,</w:t>
      </w:r>
      <w:r>
        <w:rPr>
          <w:rFonts w:ascii="Arial" w:cs="Arial" w:eastAsia="Arial" w:hAnsi="Arial"/>
          <w:sz w:val="18"/>
          <w:szCs w:val="18"/>
          <w:b w:val="1"/>
          <w:bCs w:val="1"/>
          <w:color w:val="auto"/>
        </w:rPr>
        <w:t xml:space="preserve"> </w:t>
      </w:r>
      <w:r>
        <w:rPr>
          <w:rFonts w:ascii="Arial" w:cs="Arial" w:eastAsia="Arial" w:hAnsi="Arial"/>
          <w:sz w:val="18"/>
          <w:szCs w:val="18"/>
          <w:color w:val="auto"/>
        </w:rPr>
        <w:t>and upon such terms, and at any time and from time to time as shall be determined by the Committee, in its sole discretion; provided that ISOs may be granted only to eligible Employees of the Company or of any parent or subsidiary corporation (as permitted under Code Section 422). However, a Service-Provider may only be granted Options to the extent the Affiliate and/or Subsidiary is part of the Company’s consolidated group for United States federal tax purposes.</w:t>
      </w:r>
    </w:p>
    <w:p>
      <w:pPr>
        <w:spacing w:after="0" w:line="176" w:lineRule="exact"/>
        <w:rPr>
          <w:sz w:val="20"/>
          <w:szCs w:val="20"/>
          <w:color w:val="auto"/>
        </w:rPr>
      </w:pPr>
    </w:p>
    <w:p>
      <w:pPr>
        <w:ind w:right="240" w:firstLine="749"/>
        <w:spacing w:after="0" w:line="247"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Option grant shall be evidenced by an Award Agreement that shall specify the Option Price, the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 NQSO.</w:t>
      </w:r>
    </w:p>
    <w:p>
      <w:pPr>
        <w:spacing w:after="0" w:line="174" w:lineRule="exact"/>
        <w:rPr>
          <w:sz w:val="20"/>
          <w:szCs w:val="20"/>
          <w:color w:val="auto"/>
        </w:rPr>
      </w:pPr>
    </w:p>
    <w:p>
      <w:pPr>
        <w:ind w:right="80" w:firstLine="749"/>
        <w:spacing w:after="0" w:line="247"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under this Plan shall be determined by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and shall be specified in the Award Agreement; provided, however, the Option Price on the date of grant must be at least equal to one hundred percent (100%) of the FMV of the Shares on the date of grant, except in the case of Substitute Awards (to the extent consistent with Code Section 409A and, in the case of ISOs, Code Section 424).</w:t>
      </w:r>
    </w:p>
    <w:p>
      <w:pPr>
        <w:spacing w:after="0" w:line="17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b w:val="1"/>
          <w:bCs w:val="1"/>
          <w:color w:val="auto"/>
        </w:rPr>
        <w:t xml:space="preserve">6.4 Term of Options. </w:t>
      </w:r>
      <w:r>
        <w:rPr>
          <w:rFonts w:ascii="Arial" w:cs="Arial" w:eastAsia="Arial" w:hAnsi="Arial"/>
          <w:sz w:val="18"/>
          <w:szCs w:val="18"/>
          <w:color w:val="auto"/>
        </w:rPr>
        <w:t>Each Option granted to a Participant shall expire at such time as the Committee shall determine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of grant; provided, however, no Option shall be exercisable later than the tenth (10th) anniversary date of its grant. Notwithstanding the foregoing, the Committee may provide in the terms of a NQSO (either at grant or by subsequent modification) that, to the extent consistent with Code Section 409A, in the event that on the last business day of the term of a NQSO (i) the exercise of the NQSO is prohibited by applicable law or (ii) Shares may not be purchased or sold by certain Employees or Non-Employee Directors of the Company due to the “black-out period” of a Company policy or a “lock-up” agreement undertaken in connection with an issuance of securities by the Company, the term of the NQSO shall be extended for a period of not more than thirty (30) days following the end of the legal prohibition, black-out period or lock-up agreement. Notwithstanding the foregoing, for NQSOs granted to Participants outside the United States, the Committee has the authority to grant NQSOs that have a term greater than ten (10) years.</w:t>
      </w:r>
    </w:p>
    <w:p>
      <w:pPr>
        <w:spacing w:after="0" w:line="183" w:lineRule="exact"/>
        <w:rPr>
          <w:sz w:val="20"/>
          <w:szCs w:val="20"/>
          <w:color w:val="auto"/>
        </w:rPr>
      </w:pPr>
    </w:p>
    <w:p>
      <w:pPr>
        <w:ind w:right="400" w:firstLine="749"/>
        <w:spacing w:after="0" w:line="253" w:lineRule="auto"/>
        <w:rPr>
          <w:sz w:val="20"/>
          <w:szCs w:val="20"/>
          <w:color w:val="auto"/>
        </w:rPr>
      </w:pPr>
      <w:r>
        <w:rPr>
          <w:rFonts w:ascii="Arial" w:cs="Arial" w:eastAsia="Arial" w:hAnsi="Arial"/>
          <w:sz w:val="18"/>
          <w:szCs w:val="18"/>
          <w:b w:val="1"/>
          <w:bCs w:val="1"/>
          <w:color w:val="auto"/>
        </w:rPr>
        <w:t xml:space="preserve">6.5 Exercise of Options. </w:t>
      </w:r>
      <w:r>
        <w:rPr>
          <w:rFonts w:ascii="Arial" w:cs="Arial" w:eastAsia="Arial" w:hAnsi="Arial"/>
          <w:sz w:val="18"/>
          <w:szCs w:val="18"/>
          <w:color w:val="auto"/>
        </w:rPr>
        <w:t>Options granted under this Article 6 shall be exercisable at such times and be subject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conditions as the Committee shall in each instance approve, which terms and restrictions need not be the same for each grant or for each Participant.</w:t>
      </w:r>
    </w:p>
    <w:p>
      <w:pPr>
        <w:spacing w:after="0" w:line="169"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b w:val="1"/>
          <w:bCs w:val="1"/>
          <w:color w:val="auto"/>
        </w:rPr>
        <w:t xml:space="preserve">6.6 Payment. </w:t>
      </w:r>
      <w:r>
        <w:rPr>
          <w:rFonts w:ascii="Arial" w:cs="Arial" w:eastAsia="Arial" w:hAnsi="Arial"/>
          <w:sz w:val="18"/>
          <w:szCs w:val="18"/>
          <w:color w:val="auto"/>
        </w:rPr>
        <w:t>Options granted under this Article 6 shall be exercised by the delivery of a notice of exercise to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74"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A condition of the issuance of the Shares as to which an Option shall be exercised shall be the payment of the Option Price. The Option Price of any Option shall be payable to the Company in full either:</w:t>
      </w:r>
    </w:p>
    <w:p>
      <w:pPr>
        <w:spacing w:after="0" w:line="154" w:lineRule="exact"/>
        <w:rPr>
          <w:sz w:val="20"/>
          <w:szCs w:val="20"/>
          <w:color w:val="auto"/>
        </w:rPr>
      </w:pPr>
    </w:p>
    <w:p>
      <w:pPr>
        <w:ind w:left="1900" w:hanging="395"/>
        <w:spacing w:after="0"/>
        <w:tabs>
          <w:tab w:leader="none" w:pos="1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211" w:lineRule="exact"/>
        <w:rPr>
          <w:rFonts w:ascii="Arial" w:cs="Arial" w:eastAsia="Arial" w:hAnsi="Arial"/>
          <w:sz w:val="18"/>
          <w:szCs w:val="18"/>
          <w:color w:val="auto"/>
        </w:rPr>
      </w:pPr>
    </w:p>
    <w:p>
      <w:pPr>
        <w:ind w:right="80" w:firstLine="1505"/>
        <w:spacing w:after="0" w:line="253" w:lineRule="auto"/>
        <w:tabs>
          <w:tab w:leader="none" w:pos="189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 and are free and clear of any and all claims, pledges, liens and encumbrances, or any restrictions which would in any manner restrict the transfer of such shares;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ind w:left="1900" w:hanging="395"/>
        <w:spacing w:after="0"/>
        <w:tabs>
          <w:tab w:leader="none" w:pos="1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a combination of (a) and (b); or</w:t>
      </w:r>
    </w:p>
    <w:p>
      <w:pPr>
        <w:spacing w:after="0" w:line="210" w:lineRule="exact"/>
        <w:rPr>
          <w:rFonts w:ascii="Arial" w:cs="Arial" w:eastAsia="Arial" w:hAnsi="Arial"/>
          <w:sz w:val="18"/>
          <w:szCs w:val="18"/>
          <w:color w:val="auto"/>
        </w:rPr>
      </w:pPr>
    </w:p>
    <w:p>
      <w:pPr>
        <w:ind w:right="340" w:firstLine="1505"/>
        <w:spacing w:after="0" w:line="271" w:lineRule="auto"/>
        <w:tabs>
          <w:tab w:leader="none" w:pos="189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 including, without limitation, if the Committee so determines, a cashless (broker-assisted) exercise.</w:t>
      </w:r>
    </w:p>
    <w:p>
      <w:pPr>
        <w:spacing w:after="0" w:line="154" w:lineRule="exact"/>
        <w:rPr>
          <w:sz w:val="20"/>
          <w:szCs w:val="20"/>
          <w:color w:val="auto"/>
        </w:rPr>
      </w:pPr>
    </w:p>
    <w:p>
      <w:pPr>
        <w:jc w:val="both"/>
        <w:ind w:right="40" w:firstLine="749"/>
        <w:spacing w:after="0" w:line="253"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169" w:lineRule="exact"/>
        <w:rPr>
          <w:sz w:val="20"/>
          <w:szCs w:val="20"/>
          <w:color w:val="auto"/>
        </w:rPr>
      </w:pPr>
    </w:p>
    <w:p>
      <w:pPr>
        <w:ind w:right="480" w:firstLine="749"/>
        <w:spacing w:after="0" w:line="271" w:lineRule="auto"/>
        <w:rPr>
          <w:sz w:val="20"/>
          <w:szCs w:val="20"/>
          <w:color w:val="auto"/>
        </w:rPr>
      </w:pPr>
      <w:r>
        <w:rPr>
          <w:rFonts w:ascii="Arial" w:cs="Arial" w:eastAsia="Arial" w:hAnsi="Arial"/>
          <w:sz w:val="18"/>
          <w:szCs w:val="18"/>
          <w:color w:val="auto"/>
        </w:rPr>
        <w:t>Unless otherwise determined by the Committee, all payments under all of the methods indicated above shall be paid in United States dollars.</w:t>
      </w:r>
    </w:p>
    <w:p>
      <w:pPr>
        <w:spacing w:after="0" w:line="154"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 Shares acquired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74"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b w:val="1"/>
          <w:bCs w:val="1"/>
          <w:color w:val="auto"/>
        </w:rPr>
        <w:t>6.8 Termination of Service</w:t>
      </w:r>
      <w:r>
        <w:rPr>
          <w:rFonts w:ascii="Arial" w:cs="Arial" w:eastAsia="Arial" w:hAnsi="Arial"/>
          <w:sz w:val="18"/>
          <w:szCs w:val="18"/>
          <w:color w:val="auto"/>
        </w:rPr>
        <w:t>. Each Participant’s Award Agreement shall set forth the extent to which the Participant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Option following termination of the Participant’s employment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176"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b w:val="1"/>
          <w:bCs w:val="1"/>
          <w:color w:val="auto"/>
        </w:rPr>
        <w:t xml:space="preserve">6.9 Notification of Disqualifying Disposition. </w:t>
      </w:r>
      <w:r>
        <w:rPr>
          <w:rFonts w:ascii="Arial" w:cs="Arial" w:eastAsia="Arial" w:hAnsi="Arial"/>
          <w:sz w:val="18"/>
          <w:szCs w:val="18"/>
          <w:color w:val="auto"/>
        </w:rPr>
        <w:t>If any Participant shall make any disposition of Shares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ISO under the circumstances described in Code Section 421(b) (relating to certain disqualifying dispositions), such Participant shall notify the Company of such disposition within ten (10) days thereof.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Stock Appreciation Rights</w:t>
      </w:r>
    </w:p>
    <w:p>
      <w:pPr>
        <w:spacing w:after="0" w:line="212"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this Plan, SARs may be granted to Participants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as shall be determined by the Committee. The Committee may grant Freestanding SARs, Tandem SARs, or any combination of these forms of SARs. However, a Service-Provider may only be granted SARs to the extent the Affiliate and/or Subsidiary is part of the Company’s consolidated group for United States federal tax purposes.</w:t>
      </w:r>
    </w:p>
    <w:p>
      <w:pPr>
        <w:spacing w:after="0" w:line="174"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w:t>
      </w:r>
    </w:p>
    <w:p>
      <w:pPr>
        <w:spacing w:after="0" w:line="154" w:lineRule="exact"/>
        <w:rPr>
          <w:sz w:val="20"/>
          <w:szCs w:val="20"/>
          <w:color w:val="auto"/>
        </w:rPr>
      </w:pPr>
    </w:p>
    <w:p>
      <w:pPr>
        <w:ind w:right="80" w:firstLine="749"/>
        <w:spacing w:after="0" w:line="247" w:lineRule="auto"/>
        <w:rPr>
          <w:sz w:val="20"/>
          <w:szCs w:val="20"/>
          <w:color w:val="auto"/>
        </w:rPr>
      </w:pPr>
      <w:r>
        <w:rPr>
          <w:rFonts w:ascii="Arial" w:cs="Arial" w:eastAsia="Arial" w:hAnsi="Arial"/>
          <w:sz w:val="18"/>
          <w:szCs w:val="18"/>
          <w:color w:val="auto"/>
        </w:rPr>
        <w:t>The Grant Price for each grant of a Freestanding SAR shall be determined by the Committee and shall be specified in the Award Agreement; provided, however, the Grant Price on the date of grant must be at least equal to one hundred percent (100%) of the FMV of the Shares on the date of grant, except in the case of Substitute Awards (to the extent consistent with Code Section 409A and, in the case of ISOs, Code Section 424). The Grant Price of Tandem SARs shall be equal to the Option Price of the related Option.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ind w:right="100" w:firstLine="749"/>
        <w:spacing w:after="0" w:line="270"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Award shall be evidenced by an Award Agreement that shall specify the Grant Price, the term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and such other provisions as the Committee shall determine.</w:t>
      </w:r>
    </w:p>
    <w:p>
      <w:pPr>
        <w:spacing w:after="0" w:line="155" w:lineRule="exact"/>
        <w:rPr>
          <w:sz w:val="20"/>
          <w:szCs w:val="20"/>
          <w:color w:val="auto"/>
        </w:rPr>
      </w:pPr>
    </w:p>
    <w:p>
      <w:pPr>
        <w:ind w:right="280" w:firstLine="749"/>
        <w:spacing w:after="0" w:line="247" w:lineRule="auto"/>
        <w:rPr>
          <w:sz w:val="20"/>
          <w:szCs w:val="20"/>
          <w:color w:val="auto"/>
        </w:rPr>
      </w:pPr>
      <w:r>
        <w:rPr>
          <w:rFonts w:ascii="Arial" w:cs="Arial" w:eastAsia="Arial" w:hAnsi="Arial"/>
          <w:sz w:val="18"/>
          <w:szCs w:val="18"/>
          <w:b w:val="1"/>
          <w:bCs w:val="1"/>
          <w:color w:val="auto"/>
        </w:rPr>
        <w:t>7.3 Term of SAR</w:t>
      </w:r>
      <w:r>
        <w:rPr>
          <w:rFonts w:ascii="Arial" w:cs="Arial" w:eastAsia="Arial" w:hAnsi="Arial"/>
          <w:sz w:val="18"/>
          <w:szCs w:val="18"/>
          <w:color w:val="auto"/>
        </w:rPr>
        <w:t>. The term of a SAR granted under this Plan shall be determined by the Committee, in its sole discretion,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determined otherwise by the Committee and specified in the SAR Award Agreement, no SAR shall be exercisable later than the tenth (10th) anniversary date of its grant. Notwithstanding the foregoing, for SARs granted to Participants outside the United States, the Committee has the authority to grant SARs that have a term greater than ten (10) years.</w:t>
      </w:r>
    </w:p>
    <w:p>
      <w:pPr>
        <w:spacing w:after="0" w:line="174"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b w:val="1"/>
          <w:bCs w:val="1"/>
          <w:color w:val="auto"/>
        </w:rPr>
        <w:t xml:space="preserve">7.4 Exercise of Freestanding SARs. </w:t>
      </w:r>
      <w:r>
        <w:rPr>
          <w:rFonts w:ascii="Arial" w:cs="Arial" w:eastAsia="Arial" w:hAnsi="Arial"/>
          <w:sz w:val="18"/>
          <w:szCs w:val="18"/>
          <w:color w:val="auto"/>
        </w:rPr>
        <w:t>Freestanding SARs may be exercised upon whatever terms and conditions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imposes.</w:t>
      </w:r>
    </w:p>
    <w:p>
      <w:pPr>
        <w:spacing w:after="0" w:line="154" w:lineRule="exact"/>
        <w:rPr>
          <w:sz w:val="20"/>
          <w:szCs w:val="20"/>
          <w:color w:val="auto"/>
        </w:rPr>
      </w:pPr>
    </w:p>
    <w:p>
      <w:pPr>
        <w:jc w:val="both"/>
        <w:ind w:right="220" w:firstLine="749"/>
        <w:spacing w:after="0" w:line="253"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for all or part of the Shares subject to the related Option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surrender of the right to exercise the equivalent portion of the related Option. A Tandem SAR may be exercised only with respect to the Shares for which its related Option is then exercisable.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ISO:</w:t>
      </w:r>
    </w:p>
    <w:p>
      <w:pPr>
        <w:spacing w:after="0" w:line="14" w:lineRule="exact"/>
        <w:rPr>
          <w:sz w:val="20"/>
          <w:szCs w:val="20"/>
          <w:color w:val="auto"/>
        </w:rPr>
      </w:pPr>
    </w:p>
    <w:p>
      <w:pPr>
        <w:ind w:right="20" w:firstLine="8"/>
        <w:spacing w:after="0"/>
        <w:tabs>
          <w:tab w:leader="none" w:pos="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Tandem SAR will expire no later than the expiration of the underlying ISO; (b) the value of the payout with respect to the Tandem SAR may be for no more than one hundred percent (100%) of the excess of the Fair Market Value of the Shares subject to the underlying ISO at the time the Tandem SAR is exercised over the Option Price of the underlying ISO; and (c) the Tandem SAR may be exercised only when the Fair Market Value of the Shares subject to the ISO exceeds the Option Price of the ISO.</w:t>
      </w:r>
    </w:p>
    <w:p>
      <w:pPr>
        <w:spacing w:after="0" w:line="180" w:lineRule="exact"/>
        <w:rPr>
          <w:sz w:val="20"/>
          <w:szCs w:val="20"/>
          <w:color w:val="auto"/>
        </w:rPr>
      </w:pPr>
    </w:p>
    <w:p>
      <w:pPr>
        <w:ind w:left="760"/>
        <w:spacing w:after="0"/>
        <w:tabs>
          <w:tab w:leader="none" w:pos="11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 xml:space="preserve">Settlement of SAR Amount. </w:t>
      </w:r>
      <w:r>
        <w:rPr>
          <w:rFonts w:ascii="Arial" w:cs="Arial" w:eastAsia="Arial" w:hAnsi="Arial"/>
          <w:sz w:val="17"/>
          <w:szCs w:val="17"/>
          <w:color w:val="auto"/>
        </w:rPr>
        <w:t>Upon the exercise of an SAR, a Participant shall be entitled to receive payment from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 in an amount determined by multiplying:</w:t>
      </w:r>
    </w:p>
    <w:p>
      <w:pPr>
        <w:spacing w:after="0" w:line="194" w:lineRule="exact"/>
        <w:rPr>
          <w:sz w:val="20"/>
          <w:szCs w:val="20"/>
          <w:color w:val="auto"/>
        </w:rPr>
      </w:pPr>
    </w:p>
    <w:p>
      <w:pPr>
        <w:ind w:left="1900" w:hanging="395"/>
        <w:spacing w:after="0"/>
        <w:tabs>
          <w:tab w:leader="none" w:pos="1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payment upon SAR exercise shall be in Shares.</w:t>
      </w:r>
    </w:p>
    <w:p>
      <w:pPr>
        <w:spacing w:after="0" w:line="212"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b w:val="1"/>
          <w:bCs w:val="1"/>
          <w:color w:val="auto"/>
        </w:rPr>
        <w:t xml:space="preserve">7.7 Termination of Service. </w:t>
      </w:r>
      <w:r>
        <w:rPr>
          <w:rFonts w:ascii="Arial" w:cs="Arial" w:eastAsia="Arial" w:hAnsi="Arial"/>
          <w:sz w:val="18"/>
          <w:szCs w:val="18"/>
          <w:color w:val="auto"/>
        </w:rPr>
        <w:t>Each Award Agreement shall set forth the extent to which the Participant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SAR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176" w:lineRule="exact"/>
        <w:rPr>
          <w:sz w:val="20"/>
          <w:szCs w:val="20"/>
          <w:color w:val="auto"/>
        </w:rPr>
      </w:pPr>
    </w:p>
    <w:p>
      <w:pPr>
        <w:jc w:val="both"/>
        <w:ind w:right="520" w:firstLine="749"/>
        <w:spacing w:after="0" w:line="253" w:lineRule="auto"/>
        <w:rPr>
          <w:sz w:val="20"/>
          <w:szCs w:val="20"/>
          <w:color w:val="auto"/>
        </w:rPr>
      </w:pPr>
      <w:r>
        <w:rPr>
          <w:rFonts w:ascii="Arial" w:cs="Arial" w:eastAsia="Arial" w:hAnsi="Arial"/>
          <w:sz w:val="18"/>
          <w:szCs w:val="18"/>
          <w:b w:val="1"/>
          <w:bCs w:val="1"/>
          <w:color w:val="auto"/>
        </w:rPr>
        <w:t xml:space="preserve">7.8 Other Restrictions. </w:t>
      </w:r>
      <w:r>
        <w:rPr>
          <w:rFonts w:ascii="Arial" w:cs="Arial" w:eastAsia="Arial" w:hAnsi="Arial"/>
          <w:sz w:val="18"/>
          <w:szCs w:val="18"/>
          <w:color w:val="auto"/>
        </w:rPr>
        <w:t>The Committee shall impose such other conditions and/or restrictions on any Shares received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 SAR granted pursuant to this Plan as it may deem advisable or desirable. These restrictions may include, but shall not be limited to, a requirement that the Participant hold the Shares received upon exercise of a SAR for a specified period of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and Restricted Stock Units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b w:val="1"/>
          <w:bCs w:val="1"/>
          <w:color w:val="auto"/>
        </w:rPr>
        <w:t xml:space="preserve">8.1 Grant of Restricted Stock or Restricted Stock Units. </w:t>
      </w:r>
      <w:r>
        <w:rPr>
          <w:rFonts w:ascii="Arial" w:cs="Arial" w:eastAsia="Arial" w:hAnsi="Arial"/>
          <w:sz w:val="18"/>
          <w:szCs w:val="18"/>
          <w:color w:val="auto"/>
        </w:rPr>
        <w:t>Subject to the terms and provisions of this Plan, the Committee,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may grant Shares of Restricted Stock and/or Restricted Stock Units to Participants in such amounts as the Committee shall determine.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ind w:right="120" w:firstLine="749"/>
        <w:spacing w:after="0" w:line="252"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Restricted Stock and/or Restricted Stock Unit grant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an Award Agreement that shall specify the Period(s) of Restriction, the number of Shares of Restricted Stock or the number of Restricted Stock Units granted, and such other provisions as the Committee shall determine.</w:t>
      </w:r>
    </w:p>
    <w:p>
      <w:pPr>
        <w:spacing w:after="0" w:line="171" w:lineRule="exact"/>
        <w:rPr>
          <w:sz w:val="20"/>
          <w:szCs w:val="20"/>
          <w:color w:val="auto"/>
        </w:rPr>
      </w:pPr>
    </w:p>
    <w:p>
      <w:pPr>
        <w:ind w:right="40" w:firstLine="749"/>
        <w:spacing w:after="0"/>
        <w:rPr>
          <w:sz w:val="20"/>
          <w:szCs w:val="20"/>
          <w:color w:val="auto"/>
        </w:rPr>
      </w:pPr>
      <w:r>
        <w:rPr>
          <w:rFonts w:ascii="Arial" w:cs="Arial" w:eastAsia="Arial" w:hAnsi="Arial"/>
          <w:sz w:val="18"/>
          <w:szCs w:val="18"/>
          <w:b w:val="1"/>
          <w:bCs w:val="1"/>
          <w:color w:val="auto"/>
        </w:rPr>
        <w:t xml:space="preserve">8.3 Other Restrictions. </w:t>
      </w:r>
      <w:r>
        <w:rPr>
          <w:rFonts w:ascii="Arial" w:cs="Arial" w:eastAsia="Arial" w:hAnsi="Arial"/>
          <w:sz w:val="18"/>
          <w:szCs w:val="18"/>
          <w:color w:val="auto"/>
        </w:rPr>
        <w:t>The Committee shall impose such other conditions and/or restrictions on any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Restricted 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85" w:lineRule="exact"/>
        <w:rPr>
          <w:sz w:val="20"/>
          <w:szCs w:val="20"/>
          <w:color w:val="auto"/>
        </w:rPr>
      </w:pPr>
    </w:p>
    <w:p>
      <w:pPr>
        <w:ind w:right="340" w:firstLine="749"/>
        <w:spacing w:after="0" w:line="253" w:lineRule="auto"/>
        <w:rPr>
          <w:sz w:val="20"/>
          <w:szCs w:val="20"/>
          <w:color w:val="auto"/>
        </w:rPr>
      </w:pPr>
      <w:r>
        <w:rPr>
          <w:rFonts w:ascii="Arial" w:cs="Arial" w:eastAsia="Arial" w:hAnsi="Arial"/>
          <w:sz w:val="18"/>
          <w:szCs w:val="18"/>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169"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174" w:lineRule="exact"/>
        <w:rPr>
          <w:sz w:val="20"/>
          <w:szCs w:val="20"/>
          <w:color w:val="auto"/>
        </w:rPr>
      </w:pPr>
    </w:p>
    <w:p>
      <w:pPr>
        <w:ind w:right="360" w:firstLine="749"/>
        <w:spacing w:after="0" w:line="253" w:lineRule="auto"/>
        <w:rPr>
          <w:sz w:val="20"/>
          <w:szCs w:val="20"/>
          <w:color w:val="auto"/>
        </w:rPr>
      </w:pPr>
      <w:r>
        <w:rPr>
          <w:rFonts w:ascii="Arial" w:cs="Arial" w:eastAsia="Arial" w:hAnsi="Arial"/>
          <w:sz w:val="18"/>
          <w:szCs w:val="18"/>
          <w:b w:val="1"/>
          <w:bCs w:val="1"/>
          <w:color w:val="auto"/>
        </w:rPr>
        <w:t xml:space="preserve">8.4 Certificate Legend. </w:t>
      </w:r>
      <w:r>
        <w:rPr>
          <w:rFonts w:ascii="Arial" w:cs="Arial" w:eastAsia="Arial" w:hAnsi="Arial"/>
          <w:sz w:val="18"/>
          <w:szCs w:val="18"/>
          <w:color w:val="auto"/>
        </w:rPr>
        <w:t>In addition to any legends placed on certificates pursuant to Section 8.3, each certificate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granted pursuant to this Plan may bear a legend such as the following or as otherwise determined by the Committee in its sole discretion:</w:t>
      </w:r>
    </w:p>
    <w:p>
      <w:pPr>
        <w:spacing w:after="0" w:line="169"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The sale or transfer of Shares of stock represented by this certificate, whether voluntary, involuntary, or by operation of law, is subject to certain restrictions on transfer as set forth in this Plan and in the associated Award Agreement. A copy of this Plan and such Award Agreement may be obtained from Black Hills Corporation.</w:t>
      </w:r>
    </w:p>
    <w:p>
      <w:pPr>
        <w:spacing w:after="0" w:line="169" w:lineRule="exact"/>
        <w:rPr>
          <w:sz w:val="20"/>
          <w:szCs w:val="20"/>
          <w:color w:val="auto"/>
        </w:rPr>
      </w:pPr>
    </w:p>
    <w:p>
      <w:pPr>
        <w:ind w:right="60" w:firstLine="749"/>
        <w:spacing w:after="0" w:line="247" w:lineRule="auto"/>
        <w:rPr>
          <w:sz w:val="20"/>
          <w:szCs w:val="20"/>
          <w:color w:val="auto"/>
        </w:rPr>
      </w:pPr>
      <w:r>
        <w:rPr>
          <w:rFonts w:ascii="Arial" w:cs="Arial" w:eastAsia="Arial" w:hAnsi="Arial"/>
          <w:sz w:val="18"/>
          <w:szCs w:val="18"/>
          <w:b w:val="1"/>
          <w:bCs w:val="1"/>
          <w:color w:val="auto"/>
        </w:rPr>
        <w:t xml:space="preserve">8.5 Voting Rights. </w:t>
      </w:r>
      <w:r>
        <w:rPr>
          <w:rFonts w:ascii="Arial" w:cs="Arial" w:eastAsia="Arial" w:hAnsi="Arial"/>
          <w:sz w:val="18"/>
          <w:szCs w:val="18"/>
          <w:color w:val="auto"/>
        </w:rPr>
        <w:t>Unless otherwise determined by the Committee and set forth in a Participant’s Award Agreement,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174"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b w:val="1"/>
          <w:bCs w:val="1"/>
          <w:color w:val="auto"/>
        </w:rPr>
        <w:t xml:space="preserve">8.6 Termination of Service. </w:t>
      </w:r>
      <w:r>
        <w:rPr>
          <w:rFonts w:ascii="Arial" w:cs="Arial" w:eastAsia="Arial" w:hAnsi="Arial"/>
          <w:sz w:val="18"/>
          <w:szCs w:val="18"/>
          <w:color w:val="auto"/>
        </w:rPr>
        <w:t>Each Award Agreement shall set forth the extent to which the Participant shall have the right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and/or Restricted Stock Units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176" w:lineRule="exact"/>
        <w:rPr>
          <w:sz w:val="20"/>
          <w:szCs w:val="20"/>
          <w:color w:val="auto"/>
        </w:rPr>
      </w:pPr>
    </w:p>
    <w:p>
      <w:pPr>
        <w:ind w:right="220" w:firstLine="749"/>
        <w:spacing w:after="0" w:line="247" w:lineRule="auto"/>
        <w:rPr>
          <w:sz w:val="20"/>
          <w:szCs w:val="20"/>
          <w:color w:val="auto"/>
        </w:rPr>
      </w:pPr>
      <w:r>
        <w:rPr>
          <w:rFonts w:ascii="Arial" w:cs="Arial" w:eastAsia="Arial" w:hAnsi="Arial"/>
          <w:sz w:val="18"/>
          <w:szCs w:val="18"/>
          <w:b w:val="1"/>
          <w:bCs w:val="1"/>
          <w:color w:val="auto"/>
        </w:rPr>
        <w:t xml:space="preserve">8.7 Section 83(b) Election. </w:t>
      </w:r>
      <w:r>
        <w:rPr>
          <w:rFonts w:ascii="Arial" w:cs="Arial" w:eastAsia="Arial" w:hAnsi="Arial"/>
          <w:sz w:val="18"/>
          <w:szCs w:val="18"/>
          <w:color w:val="auto"/>
        </w:rPr>
        <w:t>The Committee may provide in an Award Agreement that the Award of Restricted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Article 9 Performance Units, Performance Shares and Cash-Based Awards</w:t>
      </w:r>
    </w:p>
    <w:p>
      <w:pPr>
        <w:spacing w:after="0" w:line="211" w:lineRule="exact"/>
        <w:rPr>
          <w:sz w:val="20"/>
          <w:szCs w:val="20"/>
          <w:color w:val="auto"/>
        </w:rPr>
      </w:pPr>
    </w:p>
    <w:p>
      <w:pPr>
        <w:jc w:val="both"/>
        <w:ind w:right="200" w:firstLine="749"/>
        <w:spacing w:after="0" w:line="253" w:lineRule="auto"/>
        <w:rPr>
          <w:sz w:val="20"/>
          <w:szCs w:val="20"/>
          <w:color w:val="auto"/>
        </w:rPr>
      </w:pPr>
      <w:r>
        <w:rPr>
          <w:rFonts w:ascii="Arial" w:cs="Arial" w:eastAsia="Arial" w:hAnsi="Arial"/>
          <w:sz w:val="18"/>
          <w:szCs w:val="18"/>
          <w:b w:val="1"/>
          <w:bCs w:val="1"/>
          <w:color w:val="auto"/>
        </w:rPr>
        <w:t xml:space="preserve">9.1 Grant of Performance Units, Performance Shares, and Cash-Based Awards. </w:t>
      </w:r>
      <w:r>
        <w:rPr>
          <w:rFonts w:ascii="Arial" w:cs="Arial" w:eastAsia="Arial" w:hAnsi="Arial"/>
          <w:sz w:val="18"/>
          <w:szCs w:val="18"/>
          <w:color w:val="auto"/>
        </w:rPr>
        <w:t>Subject to the terms and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Committee, at any time and from time to time, may grant Performance Units, Performance Shares, and/or Cash-Based Awards to Participants in such amounts and upon such terms as the Committee shall determine.</w:t>
      </w:r>
    </w:p>
    <w:p>
      <w:pPr>
        <w:spacing w:after="0" w:line="169"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b w:val="1"/>
          <w:bCs w:val="1"/>
          <w:color w:val="auto"/>
        </w:rPr>
        <w:t xml:space="preserve">9.2 Value of Performance Units, Performance Shares, and Cash-Based Awards. </w:t>
      </w:r>
      <w:r>
        <w:rPr>
          <w:rFonts w:ascii="Arial" w:cs="Arial" w:eastAsia="Arial" w:hAnsi="Arial"/>
          <w:sz w:val="18"/>
          <w:szCs w:val="18"/>
          <w:color w:val="auto"/>
        </w:rPr>
        <w:t>Each Performance Unit shall be expressed</w:t>
      </w:r>
      <w:r>
        <w:rPr>
          <w:rFonts w:ascii="Arial" w:cs="Arial" w:eastAsia="Arial" w:hAnsi="Arial"/>
          <w:sz w:val="18"/>
          <w:szCs w:val="18"/>
          <w:b w:val="1"/>
          <w:bCs w:val="1"/>
          <w:color w:val="auto"/>
        </w:rPr>
        <w:t xml:space="preserve"> </w:t>
      </w:r>
      <w:r>
        <w:rPr>
          <w:rFonts w:ascii="Arial" w:cs="Arial" w:eastAsia="Arial" w:hAnsi="Arial"/>
          <w:sz w:val="18"/>
          <w:szCs w:val="18"/>
          <w:color w:val="auto"/>
        </w:rPr>
        <w:t>as a number of Units based on Shares, each Performance Share shall be expressed as a number of Shares and each Cash-Based Award shall be expressed as a dollar value, in each case as determined by the Committee. The Committee shall set performance goals in its discretion which, depending on the extent to which they are met, will determine the value and/or number of Performance Units, Performance Shares or Cash-Based Awards that will be paid out to the Participant.</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Arial" w:cs="Arial" w:eastAsia="Arial" w:hAnsi="Arial"/>
          <w:sz w:val="17"/>
          <w:szCs w:val="17"/>
          <w:b w:val="1"/>
          <w:bCs w:val="1"/>
          <w:color w:val="auto"/>
        </w:rPr>
        <w:t xml:space="preserve">9.3 Earning of Performance Units, Performance Shares and Cash-Based Awards. </w:t>
      </w:r>
      <w:r>
        <w:rPr>
          <w:rFonts w:ascii="Arial" w:cs="Arial" w:eastAsia="Arial" w:hAnsi="Arial"/>
          <w:sz w:val="17"/>
          <w:szCs w:val="17"/>
          <w:color w:val="auto"/>
        </w:rPr>
        <w:t>Subject to the terms of this Plan,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Performance Period has ended, the holder of Performance Units, Performance Shares or Cash-Based Awards shall be entitled to receive payout on the value and number of Performance Units, Performance Shares or Cash-Based Awards earned by the Participant over the Performance Period, to be determined as a function of the extent to which the corresponding performance goals have been achieved.</w:t>
      </w:r>
    </w:p>
    <w:p>
      <w:pPr>
        <w:spacing w:after="0" w:line="159" w:lineRule="exact"/>
        <w:rPr>
          <w:sz w:val="20"/>
          <w:szCs w:val="20"/>
          <w:color w:val="auto"/>
        </w:rPr>
      </w:pPr>
    </w:p>
    <w:p>
      <w:pPr>
        <w:ind w:right="60" w:firstLine="749"/>
        <w:spacing w:after="0"/>
        <w:rPr>
          <w:sz w:val="20"/>
          <w:szCs w:val="20"/>
          <w:color w:val="auto"/>
        </w:rPr>
      </w:pPr>
      <w:r>
        <w:rPr>
          <w:rFonts w:ascii="Arial" w:cs="Arial" w:eastAsia="Arial" w:hAnsi="Arial"/>
          <w:sz w:val="18"/>
          <w:szCs w:val="18"/>
          <w:b w:val="1"/>
          <w:bCs w:val="1"/>
          <w:color w:val="auto"/>
        </w:rPr>
        <w:t xml:space="preserve">9.4 Form and Timing of Payment of Performance Units, Performance Shares, and Cash-Based Awards. </w:t>
      </w:r>
      <w:r>
        <w:rPr>
          <w:rFonts w:ascii="Arial" w:cs="Arial" w:eastAsia="Arial" w:hAnsi="Arial"/>
          <w:sz w:val="18"/>
          <w:szCs w:val="18"/>
          <w:color w:val="auto"/>
        </w:rPr>
        <w:t>Payment of earned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Performance Shares or Cash-Based Awards shall be as determined by the Committee and as evidenced in the Award Agreement. Subject to the terms of this Plan, the Committee, in its sole discretion, may pay earned Performance Units, Performance Shares or Cash-Based Awards in the form of cash or in Shares (or in a combination thereof) equal to the value of the earned Performance Units, Performance Shares, or Cash-Based Awards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180"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b w:val="1"/>
          <w:bCs w:val="1"/>
          <w:color w:val="auto"/>
        </w:rPr>
        <w:t xml:space="preserve">9.5 Termination of Service. </w:t>
      </w:r>
      <w:r>
        <w:rPr>
          <w:rFonts w:ascii="Arial" w:cs="Arial" w:eastAsia="Arial" w:hAnsi="Arial"/>
          <w:sz w:val="18"/>
          <w:szCs w:val="18"/>
          <w:color w:val="auto"/>
        </w:rPr>
        <w:t>Each Award Agreement shall set forth the extent to which the Participant shall have the right to retain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Performance Shares, and/or Cash-Based Awards following termination of the Participant’s employment with or provision of services to the Company, its Affiliates, and/or its Subsidiaries, as the case may be. Such provisions shall be determined in the sole discretion of the Committee, shall be included in the Award Agreement entered into with each Participant, need not be uniform among all Awards of Performance Units, Performance Shares, or Cash-Based Awards issued pursuant to this Plan, and may reflect distinctions based on the reasons for termination.</w:t>
      </w:r>
    </w:p>
    <w:p>
      <w:pPr>
        <w:spacing w:after="0" w:line="17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Other Stock-Based Awards</w:t>
      </w:r>
    </w:p>
    <w:p>
      <w:pPr>
        <w:spacing w:after="0" w:line="212"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b w:val="1"/>
          <w:bCs w:val="1"/>
          <w:color w:val="auto"/>
        </w:rPr>
        <w:t xml:space="preserve">10.1 Other Stock-Based Awards. </w:t>
      </w:r>
      <w:r>
        <w:rPr>
          <w:rFonts w:ascii="Arial" w:cs="Arial" w:eastAsia="Arial" w:hAnsi="Arial"/>
          <w:sz w:val="18"/>
          <w:szCs w:val="18"/>
          <w:color w:val="auto"/>
        </w:rPr>
        <w:t>The Committee may grant other types of equity-based or equity-related Awards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76" w:lineRule="exact"/>
        <w:rPr>
          <w:sz w:val="20"/>
          <w:szCs w:val="20"/>
          <w:color w:val="auto"/>
        </w:rPr>
      </w:pPr>
    </w:p>
    <w:p>
      <w:pPr>
        <w:ind w:right="120" w:firstLine="749"/>
        <w:spacing w:after="0" w:line="247" w:lineRule="auto"/>
        <w:rPr>
          <w:sz w:val="20"/>
          <w:szCs w:val="20"/>
          <w:color w:val="auto"/>
        </w:rPr>
      </w:pPr>
      <w:r>
        <w:rPr>
          <w:rFonts w:ascii="Arial" w:cs="Arial" w:eastAsia="Arial" w:hAnsi="Arial"/>
          <w:sz w:val="18"/>
          <w:szCs w:val="18"/>
          <w:b w:val="1"/>
          <w:bCs w:val="1"/>
          <w:color w:val="auto"/>
        </w:rPr>
        <w:t xml:space="preserve">10.2 Value of Other Stock-Based Awards. </w:t>
      </w:r>
      <w:r>
        <w:rPr>
          <w:rFonts w:ascii="Arial" w:cs="Arial" w:eastAsia="Arial" w:hAnsi="Arial"/>
          <w:sz w:val="18"/>
          <w:szCs w:val="18"/>
          <w:color w:val="auto"/>
        </w:rPr>
        <w:t>Each Other Stock-Based Award shall be expressed in terms of Shares or Units based</w:t>
      </w:r>
      <w:r>
        <w:rPr>
          <w:rFonts w:ascii="Arial" w:cs="Arial" w:eastAsia="Arial" w:hAnsi="Arial"/>
          <w:sz w:val="18"/>
          <w:szCs w:val="18"/>
          <w:b w:val="1"/>
          <w:bCs w:val="1"/>
          <w:color w:val="auto"/>
        </w:rPr>
        <w:t xml:space="preserve"> </w:t>
      </w:r>
      <w:r>
        <w:rPr>
          <w:rFonts w:ascii="Arial" w:cs="Arial" w:eastAsia="Arial" w:hAnsi="Arial"/>
          <w:sz w:val="18"/>
          <w:szCs w:val="18"/>
          <w:color w:val="auto"/>
        </w:rPr>
        <w:t>on Shares, as determined by the Committee. The Committee may establish performance goals in its discretion. If the Committee exercises its discretion to establish performance goals, the number and/or value of Other Stock-Based Awards that will be paid out to the Participant will depend on the extent to which the performance goals are met.</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ind w:right="420" w:firstLine="749"/>
        <w:spacing w:after="0" w:line="270" w:lineRule="auto"/>
        <w:rPr>
          <w:sz w:val="20"/>
          <w:szCs w:val="20"/>
          <w:color w:val="auto"/>
        </w:rPr>
      </w:pPr>
      <w:r>
        <w:rPr>
          <w:rFonts w:ascii="Arial" w:cs="Arial" w:eastAsia="Arial" w:hAnsi="Arial"/>
          <w:sz w:val="18"/>
          <w:szCs w:val="18"/>
          <w:b w:val="1"/>
          <w:bCs w:val="1"/>
          <w:color w:val="auto"/>
        </w:rPr>
        <w:t>10.3 Payment of Other Stock-Based Awards</w:t>
      </w:r>
      <w:r>
        <w:rPr>
          <w:rFonts w:ascii="Arial" w:cs="Arial" w:eastAsia="Arial" w:hAnsi="Arial"/>
          <w:sz w:val="18"/>
          <w:szCs w:val="18"/>
          <w:color w:val="auto"/>
        </w:rPr>
        <w:t>. Payment, if any, with respect to an Other Stock-Based Award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Award, in cash or Shares as the Committee determines.</w:t>
      </w:r>
    </w:p>
    <w:p>
      <w:pPr>
        <w:spacing w:after="0" w:line="155"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b w:val="1"/>
          <w:bCs w:val="1"/>
          <w:color w:val="auto"/>
        </w:rPr>
        <w:t xml:space="preserve">10.4 Termination of Service. </w:t>
      </w:r>
      <w:r>
        <w:rPr>
          <w:rFonts w:ascii="Arial" w:cs="Arial" w:eastAsia="Arial" w:hAnsi="Arial"/>
          <w:sz w:val="18"/>
          <w:szCs w:val="18"/>
          <w:color w:val="auto"/>
        </w:rPr>
        <w:t>The Committee shall determine the extent to which the Participant shall have the right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Stock-Based Awards following termination of the Participant’s employment with or provision of services to the Company, its Affiliates, and/or its Subsidiaries, as the case may be. Such provisions shall be determined in the sole discretion of the Committee, such provisions may be included in an Award Agreement entered into with each Participant, but need not be uniform among all Awards of Other Stock-Based Awards issued pursuant to this Plan, and may reflect distinctions based on the reasons for termination.</w:t>
      </w:r>
    </w:p>
    <w:p>
      <w:pPr>
        <w:spacing w:after="0" w:line="1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Transferability of Awards</w:t>
      </w:r>
    </w:p>
    <w:p>
      <w:pPr>
        <w:spacing w:after="0" w:line="212"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18"/>
          <w:szCs w:val="18"/>
          <w:color w:val="auto"/>
        </w:rPr>
        <w:t>Awards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Notwithstanding the foregoing, an Award may never be transferred for value (as defined in the General Instructions to Form S-8).</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Performance Awards</w:t>
      </w:r>
    </w:p>
    <w:p>
      <w:pPr>
        <w:spacing w:after="0" w:line="212"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12.1 Performance Measures</w:t>
      </w:r>
      <w:r>
        <w:rPr>
          <w:rFonts w:ascii="Arial" w:cs="Arial" w:eastAsia="Arial" w:hAnsi="Arial"/>
          <w:sz w:val="18"/>
          <w:szCs w:val="18"/>
          <w:b w:val="1"/>
          <w:bCs w:val="1"/>
          <w:color w:val="auto"/>
        </w:rPr>
        <w:t>.</w:t>
      </w:r>
      <w:r>
        <w:rPr>
          <w:rFonts w:ascii="Arial" w:cs="Arial" w:eastAsia="Arial" w:hAnsi="Arial"/>
          <w:sz w:val="18"/>
          <w:szCs w:val="18"/>
          <w:color w:val="auto"/>
        </w:rPr>
        <w:t xml:space="preserve"> For each Award of Performance-Based Compensation, the Committee shall, not later than 90 days after the beginning of each performance period, (i) designate all Participants for such performance period and (ii) establish the objective performance factors for each Participant for that performance period on the basis of one or more of the performance goals, the outcome of which is substantially uncertain at the time the Committee actually establishes the performance goal. The Committee shall have sole discretion to determine the applicable performance period, provided that in the case of a performance period less than 12 months, in no event shall a performance goal be considered to be pre-established if it is established after 25 percent of the performance period (as scheduled in good faith at the time the performance goal is established) has elapsed.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performance goals upon which the payment or vesting of an Award may be based on one or more of the following:</w:t>
      </w:r>
    </w:p>
    <w:p>
      <w:pPr>
        <w:spacing w:after="0" w:line="212" w:lineRule="exact"/>
        <w:rPr>
          <w:sz w:val="20"/>
          <w:szCs w:val="20"/>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93"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210"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Average cost to serve;</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Margins;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Internal rate of return or increase in net present value;</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Dividends paid;</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Economic value added or EVA® (net operating profit after tax minus the sum of capital multiplied by the cost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capital); and</w:t>
      </w:r>
    </w:p>
    <w:p>
      <w:pPr>
        <w:spacing w:after="0" w:line="194" w:lineRule="exact"/>
        <w:rPr>
          <w:sz w:val="20"/>
          <w:szCs w:val="20"/>
          <w:color w:val="auto"/>
        </w:rPr>
      </w:pPr>
    </w:p>
    <w:p>
      <w:pPr>
        <w:ind w:left="1900" w:hanging="395"/>
        <w:spacing w:after="0"/>
        <w:tabs>
          <w:tab w:leader="none" w:pos="1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other measure of performance as determined by the Committee.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Performance Measure(s) may be used to measure the performance of (i) the Company, Subsidiary, and/or Affiliate as a whole,</w:t>
      </w:r>
    </w:p>
    <w:p>
      <w:pPr>
        <w:spacing w:after="0" w:line="14" w:lineRule="exact"/>
        <w:rPr>
          <w:sz w:val="20"/>
          <w:szCs w:val="20"/>
          <w:color w:val="auto"/>
        </w:rPr>
      </w:pPr>
    </w:p>
    <w:p>
      <w:pPr>
        <w:ind w:right="80" w:firstLine="8"/>
        <w:spacing w:after="0" w:line="238" w:lineRule="auto"/>
        <w:tabs>
          <w:tab w:leader="none" w:pos="2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business unit of the Company, Subsidiary, and/or Affiliate, or (iii) the individual Participant, or any combination thereof, as the Committee may deem appropriate, or any of the Performance Measures expressed in absolute amounts or as compared to the performance of a group of comparator companies, or published or special index that the Committee, in its sole discretion, deems appropriate, or the Company may select Performance Measure (j) above as compared to various stock market indices. The Committee also has the authority to provide for accelerated vesting of any Award based on the achievement of performance goals pursuant to the Performance Measures specified in this Article 11.</w:t>
      </w:r>
    </w:p>
    <w:p>
      <w:pPr>
        <w:spacing w:after="0" w:line="181"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b w:val="1"/>
          <w:bCs w:val="1"/>
          <w:color w:val="auto"/>
        </w:rPr>
        <w:t xml:space="preserve">12.2 Evaluation of Performance. </w:t>
      </w:r>
      <w:r>
        <w:rPr>
          <w:rFonts w:ascii="Arial" w:cs="Arial" w:eastAsia="Arial" w:hAnsi="Arial"/>
          <w:sz w:val="18"/>
          <w:szCs w:val="18"/>
          <w:color w:val="auto"/>
        </w:rPr>
        <w:t>The Committee may provide in any such Award that any evaluation of performance may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or exclude any specified unusual or nonrecurring events that occur during a Performance Period, such as:</w:t>
      </w:r>
    </w:p>
    <w:p>
      <w:pPr>
        <w:spacing w:after="0" w:line="154" w:lineRule="exact"/>
        <w:rPr>
          <w:sz w:val="20"/>
          <w:szCs w:val="20"/>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provisions affecting reported results;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Extraordinary, nonrecurring, or other items that are not indicative of on-going operations;</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ind w:left="1900" w:hanging="395"/>
        <w:spacing w:after="0"/>
        <w:tabs>
          <w:tab w:leader="none" w:pos="1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Foreign exchange gains and losses.</w:t>
      </w:r>
    </w:p>
    <w:p>
      <w:pPr>
        <w:spacing w:after="0" w:line="211"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color w:val="auto"/>
        </w:rPr>
        <w:t>Following the close of each Performance Period and prior to payment of any amount to a Participant with respect to an Award, the Committee shall certify in writing as to the attainment of all factors (including the performance factors for a Participant) upon which any payments to a Participant for that performance period are to be based.</w:t>
      </w:r>
    </w:p>
    <w:p>
      <w:pPr>
        <w:spacing w:after="0" w:line="169"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b w:val="1"/>
          <w:bCs w:val="1"/>
          <w:color w:val="auto"/>
        </w:rPr>
        <w:t xml:space="preserve">12.3 Adjustment of Performance-Based Compensation Payments and Committee Discretion. </w:t>
      </w:r>
      <w:r>
        <w:rPr>
          <w:rFonts w:ascii="Arial" w:cs="Arial" w:eastAsia="Arial" w:hAnsi="Arial"/>
          <w:sz w:val="18"/>
          <w:szCs w:val="18"/>
          <w:color w:val="auto"/>
        </w:rPr>
        <w:t>The Committee may adjust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payments upward or downward, either on a formula or discretionary basis or any combination, as the Committee determines. In addition, the Committee shall have sole discretion to alter the Performance Measures.</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Nonemployee Director Awards</w:t>
      </w:r>
    </w:p>
    <w:p>
      <w:pPr>
        <w:spacing w:after="0" w:line="212"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Nonemployee Directors may only be granted Awards under the Plan in accordance with this Article 13 and which shall not be subject to management’s discretion. From time to time, the Board shall set the amount(s) and type(s) of equity awards that shall be granted to all Nonemployee Directors on a periodic, nondiscriminatory basis pursuant to the Plan, as well as any additional amount(s), if any, to be awarded, also on a periodic, nondiscriminatory basis. In determining Awards for any Nonemployee Directors, the Board may consider, among other things: the number of committees of the Board on which a Nonemployee Director serves, service of a Nonemployee Director as the chair of a Committee of the Board, service of a Nonemployee Director as Chairman of the Board, or the first selection or appointment of an individual to the Board as a Nonemployee Director. Subject to the limits set forth in Section 4.1(c) and the foregoing, the Board shall grant such Awards to Nonemployee Directors and any Nonemployee Chairman of the Board, and grant New Nonemployee Director Awards, as it shall from time to time determine.</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Dividends and Dividend Equivalents</w:t>
      </w:r>
    </w:p>
    <w:p>
      <w:pPr>
        <w:spacing w:after="0" w:line="21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Committee may grant dividends or dividend equivalents based on the dividends declared on Shares that are subject to any Award except for Options and SARs. The dividends or dividend equivalents may be credited as of the dividend payment dates, during the period between the date the Award is granted and the date the Award vests; provided, however, any dividend or dividend equivalent awarded in connection with an Award other than an Award of Restricted Stock, shall be subject to the same restrictions and risk of forfeiture as the Units, Shares or other Share equivalents to which such dividends or dividend equivalents relate and shall not be paid unless and until the Award is earned. The dividends or dividend equivalents may be subject to any additional limitations and/or restrictions determined by the Committee. Dividend equivalents shall be converted to cash or additional Shares by such formula and at such time as may be determined by the Committee.</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8"/>
          <w:szCs w:val="18"/>
          <w:b w:val="1"/>
          <w:bCs w:val="1"/>
          <w:color w:val="auto"/>
        </w:rPr>
        <w:t>Beneficiary Designation</w:t>
      </w:r>
    </w:p>
    <w:p>
      <w:pPr>
        <w:spacing w:after="0" w:line="212"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or exercised by the Participant’s executor, administrator, or legal representative.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tabs>
          <w:tab w:leader="none" w:pos="118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Rights of Participants</w:t>
      </w:r>
    </w:p>
    <w:p>
      <w:pPr>
        <w:spacing w:after="0" w:line="211"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b w:val="1"/>
          <w:bCs w:val="1"/>
          <w:color w:val="auto"/>
        </w:rPr>
        <w:t xml:space="preserve">16.1 Employment. </w:t>
      </w:r>
      <w:r>
        <w:rPr>
          <w:rFonts w:ascii="Arial" w:cs="Arial" w:eastAsia="Arial" w:hAnsi="Arial"/>
          <w:sz w:val="18"/>
          <w:szCs w:val="18"/>
          <w:color w:val="auto"/>
        </w:rPr>
        <w:t>Nothing in this Plan or an Award Agreement shall interfere with or limit in any way the right of the Company,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and/or its Subsidiaries, to terminate any Participant’s employment or service on the Board at any time or for any reason not prohibited by law, nor confer upon any Participant any right to continue his employment or service as a Director for any specified period of time.</w:t>
      </w:r>
    </w:p>
    <w:p>
      <w:pPr>
        <w:spacing w:after="0" w:line="174" w:lineRule="exact"/>
        <w:rPr>
          <w:sz w:val="20"/>
          <w:szCs w:val="20"/>
          <w:color w:val="auto"/>
        </w:rPr>
      </w:pPr>
    </w:p>
    <w:p>
      <w:pPr>
        <w:ind w:right="200" w:firstLine="749"/>
        <w:spacing w:after="0" w:line="247" w:lineRule="auto"/>
        <w:rPr>
          <w:sz w:val="20"/>
          <w:szCs w:val="20"/>
          <w:color w:val="auto"/>
        </w:rPr>
      </w:pPr>
      <w:r>
        <w:rPr>
          <w:rFonts w:ascii="Arial" w:cs="Arial" w:eastAsia="Arial" w:hAnsi="Arial"/>
          <w:sz w:val="18"/>
          <w:szCs w:val="18"/>
          <w:color w:val="auto"/>
        </w:rPr>
        <w:t>Neither an Award nor any benefits arising under this Plan shall constitute an employment contract with the Company, its Affiliates, and/or its Subsidiaries and, accordingly, subject to Articles 3 and 17, this Plan and the benefits hereunder may be terminated at any time in the sole and exclusive discretion of the Committee without giving rise to any liability on the part of the Company, its Affiliates, and/or its Subsidiaries.</w:t>
      </w:r>
    </w:p>
    <w:p>
      <w:pPr>
        <w:spacing w:after="0" w:line="174" w:lineRule="exact"/>
        <w:rPr>
          <w:sz w:val="20"/>
          <w:szCs w:val="20"/>
          <w:color w:val="auto"/>
        </w:rPr>
      </w:pPr>
    </w:p>
    <w:p>
      <w:pPr>
        <w:ind w:right="680" w:firstLine="749"/>
        <w:spacing w:after="0" w:line="271" w:lineRule="auto"/>
        <w:rPr>
          <w:sz w:val="20"/>
          <w:szCs w:val="20"/>
          <w:color w:val="auto"/>
        </w:rPr>
      </w:pPr>
      <w:r>
        <w:rPr>
          <w:rFonts w:ascii="Arial" w:cs="Arial" w:eastAsia="Arial" w:hAnsi="Arial"/>
          <w:sz w:val="18"/>
          <w:szCs w:val="18"/>
          <w:b w:val="1"/>
          <w:bCs w:val="1"/>
          <w:color w:val="auto"/>
        </w:rPr>
        <w:t xml:space="preserve">16.2 Participation. </w:t>
      </w:r>
      <w:r>
        <w:rPr>
          <w:rFonts w:ascii="Arial" w:cs="Arial" w:eastAsia="Arial" w:hAnsi="Arial"/>
          <w:sz w:val="18"/>
          <w:szCs w:val="18"/>
          <w:color w:val="auto"/>
        </w:rPr>
        <w:t>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54"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b w:val="1"/>
          <w:bCs w:val="1"/>
          <w:color w:val="auto"/>
        </w:rPr>
        <w:t>16.3 Rights as a Shareholder</w:t>
      </w:r>
      <w:r>
        <w:rPr>
          <w:rFonts w:ascii="Arial" w:cs="Arial" w:eastAsia="Arial" w:hAnsi="Arial"/>
          <w:sz w:val="18"/>
          <w:szCs w:val="18"/>
          <w:color w:val="auto"/>
        </w:rPr>
        <w:t>. Except as otherwise provided herein, a Participant shall have none of the rights of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Change in Control; Corporate Transaction</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b w:val="1"/>
          <w:bCs w:val="1"/>
          <w:color w:val="auto"/>
        </w:rPr>
        <w:t xml:space="preserve">17.1 Corporate Transaction. </w:t>
      </w:r>
      <w:r>
        <w:rPr>
          <w:rFonts w:ascii="Arial" w:cs="Arial" w:eastAsia="Arial" w:hAnsi="Arial"/>
          <w:sz w:val="18"/>
          <w:szCs w:val="18"/>
          <w:color w:val="auto"/>
        </w:rPr>
        <w:t>Unless otherwise provided in an applicable Award Agreement or another written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and the Company, the following provisions shall apply to outstanding Awards that were granted on or after the Restatement Effective Date in the event of a Change in Control that involves a Corporate Transaction.</w:t>
      </w:r>
    </w:p>
    <w:p>
      <w:pPr>
        <w:spacing w:after="0" w:line="169" w:lineRule="exact"/>
        <w:rPr>
          <w:sz w:val="20"/>
          <w:szCs w:val="20"/>
          <w:color w:val="auto"/>
        </w:rPr>
      </w:pPr>
    </w:p>
    <w:p>
      <w:pPr>
        <w:ind w:right="100" w:firstLine="1505"/>
        <w:spacing w:after="0" w:line="237" w:lineRule="auto"/>
        <w:tabs>
          <w:tab w:leader="none" w:pos="1897"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Continuation, Assumption or Replacement of Awards. </w:t>
      </w:r>
      <w:r>
        <w:rPr>
          <w:rFonts w:ascii="Arial" w:cs="Arial" w:eastAsia="Arial" w:hAnsi="Arial"/>
          <w:sz w:val="18"/>
          <w:szCs w:val="18"/>
          <w:color w:val="auto"/>
        </w:rPr>
        <w:t>In the event of a Corporate Transaction, the surviving or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entity (or its corporate parent) may continue, assume or replace Awards outstanding as of the date of the Change in Control (with such adjustments as may be required or permitted by Section 4.3), and such Awards or replacements therefor shall remain outstanding and be governed by their respective terms. A surviving or successor entity may elect to continue, assume or replace only some Awards or portions of Awards. For purposes of this Section 17.1(a), an Award shall be considered assumed or replaced if, in connection with the Change in Control and in a manner consistent with Code Section 409A (and Code Section 424 if the Award is an ISO), either (i) the contractual obligations represented by the Award are expressly assumed by the surviving or successor entity (or its corporate parent) with appropriate adjustments to the number and type of securities subject to the Award and any exercise price thereof that preserves the intrinsic value of the Award existing at the time of the Change in Control, or (ii) the Participant has received a comparable equity-based award that preserves the intrinsic value of the Award existing at the time of the Change in Control and contains terms and conditions that are substantially similar to those of the Award; provided that for a performance-based award, (i) such Awards will continue to be subject to any continuing service-based vesting requirements of the Awards through the end of the original Performance Period and (ii) the satisfaction of the performance-based vesting conditions will be determined by (A) assuming that the performance goals, other than for a relevant total shareholder return goal, are achieved at the target level as set forth in the Award Agreement, and (B) calculating the relevant total shareholder return goal achievement by deeming the date of the Change in Control to be the last day of the Performance Period as reference for determining the average closing price on the applicable stock exchange for the applicable number trading days immediately prior to the end of the Performance Period.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ind w:firstLine="1505"/>
        <w:spacing w:after="0" w:line="238" w:lineRule="auto"/>
        <w:tabs>
          <w:tab w:leader="none" w:pos="1897"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Acceleration. </w:t>
      </w:r>
      <w:r>
        <w:rPr>
          <w:rFonts w:ascii="Arial" w:cs="Arial" w:eastAsia="Arial" w:hAnsi="Arial"/>
          <w:sz w:val="18"/>
          <w:szCs w:val="18"/>
          <w:color w:val="auto"/>
        </w:rPr>
        <w:t>If and to the extent that outstanding Awards under the Plan are not continued, assumed or replaced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 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and (ii) all outstanding Full Value Awards shall fully vest immediately prior to the effective time of the Corporate Transaction (with vesting for a performance-based award determined by (A) assuming that the performance goals, other than for a relevant total shareholder return goal, are achieved at the target level as set forth in the Award Agreement, and (B) calculating the relevant total shareholder return goal achievement by deeming the date of the Change in Control to be the last day of the Performance Period as reference for determining the average closing price on the applicable stock exchange for the applicable number trading days immediately prior to the end of the Performance Period). The Committee shall provide written notice of the period of accelerated exercisability of Option and SAR Awards to all affected Participants. The exercise of any Option or SAR Award whose exercisability is accelerated as provided in this Section 17.1(b) shall be conditioned upon the consummation of the Corporate Transaction and shall be effective only immediately before such consummation.</w:t>
      </w:r>
    </w:p>
    <w:p>
      <w:pPr>
        <w:spacing w:after="0" w:line="182" w:lineRule="exact"/>
        <w:rPr>
          <w:rFonts w:ascii="Arial" w:cs="Arial" w:eastAsia="Arial" w:hAnsi="Arial"/>
          <w:sz w:val="18"/>
          <w:szCs w:val="18"/>
          <w:color w:val="auto"/>
        </w:rPr>
      </w:pPr>
    </w:p>
    <w:p>
      <w:pPr>
        <w:ind w:right="20" w:firstLine="1505"/>
        <w:spacing w:after="0" w:line="237" w:lineRule="auto"/>
        <w:tabs>
          <w:tab w:leader="none" w:pos="1897"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Payment for Awards. </w:t>
      </w:r>
      <w:r>
        <w:rPr>
          <w:rFonts w:ascii="Arial" w:cs="Arial" w:eastAsia="Arial" w:hAnsi="Arial"/>
          <w:sz w:val="18"/>
          <w:szCs w:val="18"/>
          <w:color w:val="auto"/>
        </w:rPr>
        <w:t>If and to the extent that outstanding Awards under the Plan are not continued, assumed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in connection with a Corporate Transaction, then the Committee may provide that some or all of such outstanding Awards shall be canceled at or immediately prior to the effective time of the Corporate Transaction in exchange for payments to the holders as provided in this Section 17.1(c). The Committee will not be required to treat all Awards similarly for purposes of this Section 17.1(c).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17.1(c) without payment of any kind to the affected Participant. With respect to an Award whose vesting is subject to the satisfaction of specified performance goals, the number of Shares subject to such an Award for purposes of this Section 17.1(c) shall be the number of Shares as to which the Award would have been deemed “fully vested” for purposes of Section 17.1(b). Payment of any amount under this Section 17.1(c)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 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-2605405</wp:posOffset>
            </wp:positionV>
            <wp:extent cx="3175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17.2 Termination After a Change in Control. </w:t>
      </w:r>
      <w:r>
        <w:rPr>
          <w:rFonts w:ascii="Arial" w:cs="Arial" w:eastAsia="Arial" w:hAnsi="Arial"/>
          <w:sz w:val="18"/>
          <w:szCs w:val="18"/>
          <w:color w:val="auto"/>
        </w:rPr>
        <w:t>Unless treatment of an Award is otherwise provided for under Sections 17.1(b) or</w:t>
      </w:r>
    </w:p>
    <w:p>
      <w:pPr>
        <w:spacing w:after="0" w:line="14" w:lineRule="exact"/>
        <w:rPr>
          <w:sz w:val="20"/>
          <w:szCs w:val="20"/>
          <w:color w:val="auto"/>
        </w:rPr>
      </w:pPr>
    </w:p>
    <w:p>
      <w:pPr>
        <w:ind w:right="60" w:firstLine="8"/>
        <w:spacing w:after="0" w:line="236" w:lineRule="auto"/>
        <w:tabs>
          <w:tab w:leader="none" w:pos="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or in an applicable Award Agreement or another written agreement between a Participant and the Company, , and if within twenty-four (24) months after such Change in Control, a Participant experiences an involuntary termination of the Participant’s employment or provision of services to the Company, its Affiliates, and/or its Subsidiaries for reasons other than Cause or a voluntary termination for Good Reason, then (i) outstanding Option and SAR Awards issued to the Participant that are not yet fully exercisable shall immediately become exercisable in full and shall remain exercisable for three (3) months following the Participant’s termination of service, and (ii) any Full Value Awards that are not yet fully vested shall immediately vest in full (for a performance-based award, vesting will be determined by (A) assuming that the performance goals, other than for a relevant total shareholder return goal, are achieved at the target level as set forth in the Award Agreement, and (B) calculating the relevant total shareholder return goal achievement by deeming the date of the Change in Control to be the last day of the Performance Period as reference for determining the average closing price on the applicable stock exchange for the applicable number trading days immediately prior to the end of the Performance Period).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5" w:name="page166"/>
    <w:bookmarkEnd w:id="165"/>
    <w:p>
      <w:pPr>
        <w:ind w:right="280" w:firstLine="749"/>
        <w:spacing w:after="0" w:line="287" w:lineRule="auto"/>
        <w:rPr>
          <w:sz w:val="20"/>
          <w:szCs w:val="20"/>
          <w:color w:val="auto"/>
        </w:rPr>
      </w:pPr>
      <w:r>
        <w:rPr>
          <w:rFonts w:ascii="Arial" w:cs="Arial" w:eastAsia="Arial" w:hAnsi="Arial"/>
          <w:sz w:val="18"/>
          <w:szCs w:val="18"/>
          <w:b w:val="1"/>
          <w:bCs w:val="1"/>
          <w:color w:val="auto"/>
        </w:rPr>
        <w:t xml:space="preserve">17.3 Prior Awards. </w:t>
      </w:r>
      <w:r>
        <w:rPr>
          <w:rFonts w:ascii="Arial" w:cs="Arial" w:eastAsia="Arial" w:hAnsi="Arial"/>
          <w:sz w:val="18"/>
          <w:szCs w:val="18"/>
          <w:color w:val="auto"/>
        </w:rPr>
        <w:t>Awards granted prior to the Restatement Effective Date shall not be subject to Sections 17.1 and 17.2,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instead be subject to Section 17 of the Plan as in effect on the day prior to the Restatement Effective Date.</w:t>
      </w:r>
    </w:p>
    <w:p>
      <w:pPr>
        <w:spacing w:after="0" w:line="139"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b w:val="1"/>
          <w:bCs w:val="1"/>
          <w:color w:val="auto"/>
        </w:rPr>
        <w:t>17.4 Dissolution or Liquidation</w:t>
      </w:r>
      <w:r>
        <w:rPr>
          <w:rFonts w:ascii="Arial" w:cs="Arial" w:eastAsia="Arial" w:hAnsi="Arial"/>
          <w:sz w:val="18"/>
          <w:szCs w:val="18"/>
          <w:color w:val="auto"/>
        </w:rPr>
        <w:t>. Unless otherwise provided in an applicable Award Agreement, in the event of a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169" w:lineRule="exact"/>
        <w:rPr>
          <w:sz w:val="20"/>
          <w:szCs w:val="20"/>
          <w:color w:val="auto"/>
        </w:rPr>
      </w:pPr>
    </w:p>
    <w:p>
      <w:pPr>
        <w:ind w:right="220" w:firstLine="749"/>
        <w:spacing w:after="0" w:line="301" w:lineRule="auto"/>
        <w:rPr>
          <w:sz w:val="20"/>
          <w:szCs w:val="20"/>
          <w:color w:val="auto"/>
        </w:rPr>
      </w:pPr>
      <w:r>
        <w:rPr>
          <w:rFonts w:ascii="Arial" w:cs="Arial" w:eastAsia="Arial" w:hAnsi="Arial"/>
          <w:sz w:val="17"/>
          <w:szCs w:val="17"/>
          <w:b w:val="1"/>
          <w:bCs w:val="1"/>
          <w:color w:val="auto"/>
        </w:rPr>
        <w:t>17.5 Discretion</w:t>
      </w:r>
      <w:r>
        <w:rPr>
          <w:rFonts w:ascii="Arial" w:cs="Arial" w:eastAsia="Arial" w:hAnsi="Arial"/>
          <w:sz w:val="17"/>
          <w:szCs w:val="17"/>
          <w:color w:val="auto"/>
        </w:rPr>
        <w:t>. The Committee will not be required to treat all Awards similarly in the event of a Change in Control,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such further provisions and limitations in any Award Agreement as it may deem equitable and in the best interests of the Company.</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7"/>
          <w:szCs w:val="17"/>
          <w:b w:val="1"/>
          <w:bCs w:val="1"/>
          <w:color w:val="auto"/>
        </w:rPr>
        <w:t>Amendment, Modification, Suspension, and Termination</w:t>
      </w:r>
    </w:p>
    <w:p>
      <w:pPr>
        <w:spacing w:after="0" w:line="212" w:lineRule="exact"/>
        <w:rPr>
          <w:sz w:val="20"/>
          <w:szCs w:val="20"/>
          <w:color w:val="auto"/>
        </w:rPr>
      </w:pPr>
    </w:p>
    <w:p>
      <w:pPr>
        <w:ind w:right="120" w:firstLine="749"/>
        <w:spacing w:after="0" w:line="242" w:lineRule="auto"/>
        <w:rPr>
          <w:sz w:val="20"/>
          <w:szCs w:val="20"/>
          <w:color w:val="auto"/>
        </w:rPr>
      </w:pPr>
      <w:r>
        <w:rPr>
          <w:rFonts w:ascii="Arial" w:cs="Arial" w:eastAsia="Arial" w:hAnsi="Arial"/>
          <w:sz w:val="18"/>
          <w:szCs w:val="18"/>
          <w:b w:val="1"/>
          <w:bCs w:val="1"/>
          <w:color w:val="auto"/>
        </w:rPr>
        <w:t xml:space="preserve">18.1 Amendment, Modification, Suspension, and Termination. </w:t>
      </w:r>
      <w:r>
        <w:rPr>
          <w:rFonts w:ascii="Arial" w:cs="Arial" w:eastAsia="Arial" w:hAnsi="Arial"/>
          <w:sz w:val="18"/>
          <w:szCs w:val="18"/>
          <w:color w:val="auto"/>
        </w:rPr>
        <w:t>Subject to Section 18.3, the Committee may,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alter, amend, modify, suspend, or terminate this Plan and any Award Agreement in whole or in part; provided, however, that, without the prior approval of the Company’s shareholders and except as provided in Section 4.3, the terms of outstanding awards may not be amended to reduce the exercise price of outstanding Options or SARs or cancel, exchange, buyout or surrender outstanding Options or SARS in exchange for cash, other awards or Options or SARs with an exercise price that is less than the exercise price of the original Options or SARs.</w:t>
      </w:r>
    </w:p>
    <w:p>
      <w:pPr>
        <w:spacing w:after="0" w:line="179" w:lineRule="exact"/>
        <w:rPr>
          <w:sz w:val="20"/>
          <w:szCs w:val="20"/>
          <w:color w:val="auto"/>
        </w:rPr>
      </w:pPr>
    </w:p>
    <w:p>
      <w:pPr>
        <w:ind w:right="20" w:firstLine="749"/>
        <w:spacing w:after="0" w:line="259" w:lineRule="auto"/>
        <w:rPr>
          <w:sz w:val="20"/>
          <w:szCs w:val="20"/>
          <w:color w:val="auto"/>
        </w:rPr>
      </w:pPr>
      <w:r>
        <w:rPr>
          <w:rFonts w:ascii="Arial" w:cs="Arial" w:eastAsia="Arial" w:hAnsi="Arial"/>
          <w:sz w:val="17"/>
          <w:szCs w:val="17"/>
          <w:b w:val="1"/>
          <w:bCs w:val="1"/>
          <w:color w:val="auto"/>
        </w:rPr>
        <w:t xml:space="preserve">18.2 Adjustment of Awards upon the Occurrence of Certain Unusual or Nonrecurring Events. </w:t>
      </w:r>
      <w:r>
        <w:rPr>
          <w:rFonts w:ascii="Arial" w:cs="Arial" w:eastAsia="Arial" w:hAnsi="Arial"/>
          <w:sz w:val="17"/>
          <w:szCs w:val="17"/>
          <w:color w:val="auto"/>
        </w:rPr>
        <w:t>The Committee may make</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pacing w:after="0" w:line="165" w:lineRule="exact"/>
        <w:rPr>
          <w:sz w:val="20"/>
          <w:szCs w:val="20"/>
          <w:color w:val="auto"/>
        </w:rPr>
      </w:pPr>
    </w:p>
    <w:p>
      <w:pPr>
        <w:ind w:right="320" w:firstLine="749"/>
        <w:spacing w:after="0" w:line="253" w:lineRule="auto"/>
        <w:rPr>
          <w:sz w:val="20"/>
          <w:szCs w:val="20"/>
          <w:color w:val="auto"/>
        </w:rPr>
      </w:pPr>
      <w:r>
        <w:rPr>
          <w:rFonts w:ascii="Arial" w:cs="Arial" w:eastAsia="Arial" w:hAnsi="Arial"/>
          <w:sz w:val="18"/>
          <w:szCs w:val="18"/>
          <w:b w:val="1"/>
          <w:bCs w:val="1"/>
          <w:color w:val="auto"/>
        </w:rPr>
        <w:t xml:space="preserve">18.3 Awards Previously Granted. </w:t>
      </w:r>
      <w:r>
        <w:rPr>
          <w:rFonts w:ascii="Arial" w:cs="Arial" w:eastAsia="Arial" w:hAnsi="Arial"/>
          <w:sz w:val="18"/>
          <w:szCs w:val="18"/>
          <w:color w:val="auto"/>
        </w:rPr>
        <w:t>Notwithstanding any other provision of this Plan to the contrary (other than Section 18.4), no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amendment, suspension, or modification of this Plan or an Award Agreement shall adversely affect in any material way any Award previously granted under this Plan, without the written consent of the Participant holding such Award.</w:t>
      </w:r>
    </w:p>
    <w:p>
      <w:pPr>
        <w:spacing w:after="0" w:line="169"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b w:val="1"/>
          <w:bCs w:val="1"/>
          <w:color w:val="auto"/>
        </w:rPr>
        <w:t xml:space="preserve">18.4 Amendment to Conform to Law. </w:t>
      </w:r>
      <w:r>
        <w:rPr>
          <w:rFonts w:ascii="Arial" w:cs="Arial" w:eastAsia="Arial" w:hAnsi="Arial"/>
          <w:sz w:val="18"/>
          <w:szCs w:val="18"/>
          <w:color w:val="auto"/>
        </w:rPr>
        <w:t>Notwithstanding any other provision of this Plan to the contrary, the Board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w:t>
      </w:r>
    </w:p>
    <w:p>
      <w:pPr>
        <w:spacing w:after="0" w:line="1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8"/>
          <w:szCs w:val="18"/>
          <w:b w:val="1"/>
          <w:bCs w:val="1"/>
          <w:color w:val="auto"/>
        </w:rPr>
        <w:t>Withholding</w:t>
      </w:r>
    </w:p>
    <w:p>
      <w:pPr>
        <w:spacing w:after="0" w:line="212" w:lineRule="exact"/>
        <w:rPr>
          <w:sz w:val="20"/>
          <w:szCs w:val="20"/>
          <w:color w:val="auto"/>
        </w:rPr>
      </w:pPr>
    </w:p>
    <w:p>
      <w:pPr>
        <w:jc w:val="both"/>
        <w:ind w:right="240" w:firstLine="749"/>
        <w:spacing w:after="0" w:line="247" w:lineRule="auto"/>
        <w:rPr>
          <w:sz w:val="20"/>
          <w:szCs w:val="20"/>
          <w:color w:val="auto"/>
        </w:rPr>
      </w:pPr>
      <w:r>
        <w:rPr>
          <w:rFonts w:ascii="Arial" w:cs="Arial" w:eastAsia="Arial" w:hAnsi="Arial"/>
          <w:sz w:val="18"/>
          <w:szCs w:val="18"/>
          <w:b w:val="1"/>
          <w:bCs w:val="1"/>
          <w:color w:val="auto"/>
        </w:rPr>
        <w:t xml:space="preserve">19.1 Tax Withholding. </w:t>
      </w:r>
      <w:r>
        <w:rPr>
          <w:rFonts w:ascii="Arial" w:cs="Arial" w:eastAsia="Arial" w:hAnsi="Arial"/>
          <w:sz w:val="18"/>
          <w:szCs w:val="18"/>
          <w:color w:val="auto"/>
        </w:rPr>
        <w:t>The Company shall have the power and the right to deduct or withhold, or require a Participant to remit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 amount equal to the tax withholding obligations to satisfy federal, state, and local taxes, domestic or foreign, required by law or regulation to be withheld (but not to exceed the maximum individual statutory tax rate in each applicable jurisdiction) with respect to any taxable event arising as a result of this Plan.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66" w:name="page167"/>
    <w:bookmarkEnd w:id="166"/>
    <w:p>
      <w:pPr>
        <w:jc w:val="both"/>
        <w:ind w:right="80" w:firstLine="749"/>
        <w:spacing w:after="0" w:line="243" w:lineRule="auto"/>
        <w:rPr>
          <w:sz w:val="20"/>
          <w:szCs w:val="20"/>
          <w:color w:val="auto"/>
        </w:rPr>
      </w:pPr>
      <w:r>
        <w:rPr>
          <w:rFonts w:ascii="Arial" w:cs="Arial" w:eastAsia="Arial" w:hAnsi="Arial"/>
          <w:sz w:val="18"/>
          <w:szCs w:val="18"/>
          <w:b w:val="1"/>
          <w:bCs w:val="1"/>
          <w:color w:val="auto"/>
        </w:rPr>
        <w:t xml:space="preserve">19.2 Share Withholding. </w:t>
      </w:r>
      <w:r>
        <w:rPr>
          <w:rFonts w:ascii="Arial" w:cs="Arial" w:eastAsia="Arial" w:hAnsi="Arial"/>
          <w:sz w:val="18"/>
          <w:szCs w:val="18"/>
          <w:color w:val="auto"/>
        </w:rPr>
        <w:t>With respect to withholding required upon the exercise of Options or SARs, upon the lapse of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Restricted Stock and Restricted Stock Units, or upon the achievement of performance goals related to Performance Shares, or any other taxable event arising as a result of an Award granted hereunder, Participants may elect to satisfy the withholding requirement, in whole or in part, by having the Company withhold Shares having a Fair Market Value on the date the tax is to be determined. All such elections shall be subject to any restrictions or limitations that the Committee, in its sole discretion, deems appropriate.</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8"/>
          <w:szCs w:val="18"/>
          <w:b w:val="1"/>
          <w:bCs w:val="1"/>
          <w:color w:val="auto"/>
        </w:rPr>
        <w:t>Successors</w:t>
      </w:r>
    </w:p>
    <w:p>
      <w:pPr>
        <w:spacing w:after="0" w:line="212" w:lineRule="exact"/>
        <w:rPr>
          <w:sz w:val="20"/>
          <w:szCs w:val="20"/>
          <w:color w:val="auto"/>
        </w:rPr>
      </w:pPr>
    </w:p>
    <w:p>
      <w:pPr>
        <w:jc w:val="both"/>
        <w:ind w:right="120" w:firstLine="749"/>
        <w:spacing w:after="0" w:line="253"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7"/>
          <w:szCs w:val="17"/>
          <w:b w:val="1"/>
          <w:bCs w:val="1"/>
          <w:color w:val="auto"/>
        </w:rPr>
        <w:t>General Provisions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21.1 Forfeiture Events and Clawbacks.</w:t>
      </w:r>
    </w:p>
    <w:p>
      <w:pPr>
        <w:spacing w:after="0" w:line="212" w:lineRule="exact"/>
        <w:rPr>
          <w:sz w:val="20"/>
          <w:szCs w:val="20"/>
          <w:color w:val="auto"/>
        </w:rPr>
      </w:pPr>
    </w:p>
    <w:p>
      <w:pPr>
        <w:ind w:right="20" w:firstLine="1505"/>
        <w:spacing w:after="0"/>
        <w:tabs>
          <w:tab w:leader="none" w:pos="189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clawback or recoupment upon the occurrence of certain specified events, in addition to any otherwise applicable vesting or performance conditions of an Award. Such events may include, but shall not be limited to, termination of service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184" w:lineRule="exact"/>
        <w:rPr>
          <w:rFonts w:ascii="Arial" w:cs="Arial" w:eastAsia="Arial" w:hAnsi="Arial"/>
          <w:sz w:val="18"/>
          <w:szCs w:val="18"/>
          <w:color w:val="auto"/>
        </w:rPr>
      </w:pPr>
    </w:p>
    <w:p>
      <w:pPr>
        <w:ind w:right="20" w:firstLine="1505"/>
        <w:spacing w:after="0" w:line="238" w:lineRule="auto"/>
        <w:tabs>
          <w:tab w:leader="none" w:pos="189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Awards and any compensation associated therewith shall be subject to forfeiture, recoupment by the Company or other action pursuant to any compensation recovery policy adopted by the Board or the Committee at any time, including in response to the requirements of Section 10D of the Exchange Act, the SEC’s final rules thereunder (Listing Standards for Recovery of Erroneously Awarded Compensation, 87 Fed. Reg. 73076-73142) and any listing rules or any implementing rules and regulations thereunder, or as otherwise required by law. Any Agreement may be unilaterally amended by the Committee to comply with any such compensation recovery policy. By accepting an Award, each Participant agrees to be bound by, and comply with, the terms of any such compensation recovery policy. In the absence of any such policy requiring forfeiture or recovery of compensation in the event of an accounting restatement, 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 month period following the first public issuance or filing with the United States Securities and Exchange Commission (whichever just occurred) of the financial document embodying such financial reporting requirement.</w:t>
      </w:r>
    </w:p>
    <w:p>
      <w:pPr>
        <w:spacing w:after="0" w:line="180" w:lineRule="exact"/>
        <w:rPr>
          <w:sz w:val="20"/>
          <w:szCs w:val="20"/>
          <w:color w:val="auto"/>
        </w:rPr>
      </w:pPr>
    </w:p>
    <w:p>
      <w:pPr>
        <w:ind w:right="20" w:firstLine="749"/>
        <w:spacing w:after="0" w:line="271" w:lineRule="auto"/>
        <w:rPr>
          <w:sz w:val="20"/>
          <w:szCs w:val="20"/>
          <w:color w:val="auto"/>
        </w:rPr>
      </w:pPr>
      <w:r>
        <w:rPr>
          <w:rFonts w:ascii="Arial" w:cs="Arial" w:eastAsia="Arial" w:hAnsi="Arial"/>
          <w:sz w:val="18"/>
          <w:szCs w:val="18"/>
          <w:b w:val="1"/>
          <w:bCs w:val="1"/>
          <w:color w:val="auto"/>
        </w:rPr>
        <w:t xml:space="preserve">21.2 Legend. </w:t>
      </w:r>
      <w:r>
        <w:rPr>
          <w:rFonts w:ascii="Arial" w:cs="Arial" w:eastAsia="Arial" w:hAnsi="Arial"/>
          <w:sz w:val="18"/>
          <w:szCs w:val="18"/>
          <w:color w:val="auto"/>
        </w:rPr>
        <w:t>The certificates for Shares may include any legend which the Committee deems appropriate to reflect any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 of such Shares.</w:t>
      </w:r>
    </w:p>
    <w:p>
      <w:pPr>
        <w:spacing w:after="0" w:line="154"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b w:val="1"/>
          <w:bCs w:val="1"/>
          <w:color w:val="auto"/>
        </w:rPr>
        <w:t xml:space="preserve">21.3 Gender and Number. </w:t>
      </w:r>
      <w:r>
        <w:rPr>
          <w:rFonts w:ascii="Arial" w:cs="Arial" w:eastAsia="Arial" w:hAnsi="Arial"/>
          <w:sz w:val="18"/>
          <w:szCs w:val="18"/>
          <w:color w:val="auto"/>
        </w:rPr>
        <w:t>Except where otherwise indicated by the context, any masculine term used herein also shall include all</w:t>
      </w:r>
      <w:r>
        <w:rPr>
          <w:rFonts w:ascii="Arial" w:cs="Arial" w:eastAsia="Arial" w:hAnsi="Arial"/>
          <w:sz w:val="18"/>
          <w:szCs w:val="18"/>
          <w:b w:val="1"/>
          <w:bCs w:val="1"/>
          <w:color w:val="auto"/>
        </w:rPr>
        <w:t xml:space="preserve"> </w:t>
      </w:r>
      <w:r>
        <w:rPr>
          <w:rFonts w:ascii="Arial" w:cs="Arial" w:eastAsia="Arial" w:hAnsi="Arial"/>
          <w:sz w:val="18"/>
          <w:szCs w:val="18"/>
          <w:color w:val="auto"/>
        </w:rPr>
        <w:t>gender identifications, the plural shall include the singular, and the singular shall include the plural.</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ind w:right="40" w:firstLine="749"/>
        <w:spacing w:after="0" w:line="252" w:lineRule="auto"/>
        <w:rPr>
          <w:sz w:val="20"/>
          <w:szCs w:val="20"/>
          <w:color w:val="auto"/>
        </w:rPr>
      </w:pPr>
      <w:r>
        <w:rPr>
          <w:rFonts w:ascii="Arial" w:cs="Arial" w:eastAsia="Arial" w:hAnsi="Arial"/>
          <w:sz w:val="18"/>
          <w:szCs w:val="18"/>
          <w:b w:val="1"/>
          <w:bCs w:val="1"/>
          <w:color w:val="auto"/>
        </w:rPr>
        <w:t>21.4 Severability</w:t>
      </w:r>
      <w:r>
        <w:rPr>
          <w:rFonts w:ascii="Arial" w:cs="Arial" w:eastAsia="Arial" w:hAnsi="Arial"/>
          <w:sz w:val="18"/>
          <w:szCs w:val="18"/>
          <w:color w:val="auto"/>
        </w:rPr>
        <w:t>. In the event any provision of this Plan shall be held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parts of this Plan, and this Plan shall be construed and enforced as if the illegal or invalid provision had not been included.</w:t>
      </w:r>
    </w:p>
    <w:p>
      <w:pPr>
        <w:spacing w:after="0" w:line="171" w:lineRule="exact"/>
        <w:rPr>
          <w:sz w:val="20"/>
          <w:szCs w:val="20"/>
          <w:color w:val="auto"/>
        </w:rPr>
      </w:pPr>
    </w:p>
    <w:p>
      <w:pPr>
        <w:ind w:right="260" w:firstLine="749"/>
        <w:spacing w:after="0" w:line="301" w:lineRule="auto"/>
        <w:rPr>
          <w:sz w:val="20"/>
          <w:szCs w:val="20"/>
          <w:color w:val="auto"/>
        </w:rPr>
      </w:pPr>
      <w:r>
        <w:rPr>
          <w:rFonts w:ascii="Arial" w:cs="Arial" w:eastAsia="Arial" w:hAnsi="Arial"/>
          <w:sz w:val="17"/>
          <w:szCs w:val="17"/>
          <w:b w:val="1"/>
          <w:bCs w:val="1"/>
          <w:color w:val="auto"/>
        </w:rPr>
        <w:t xml:space="preserve">21.5 Requirements of Law. </w:t>
      </w:r>
      <w:r>
        <w:rPr>
          <w:rFonts w:ascii="Arial" w:cs="Arial" w:eastAsia="Arial" w:hAnsi="Arial"/>
          <w:sz w:val="17"/>
          <w:szCs w:val="17"/>
          <w:color w:val="auto"/>
        </w:rPr>
        <w:t>The granting of Awards and the issuance of Shares under this Plan shall be subject to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rules, and regulations, and to such approvals by any governmental agencies or national securities exchanges as may be required.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21.6 Delivery of Title. </w:t>
      </w:r>
      <w:r>
        <w:rPr>
          <w:rFonts w:ascii="Arial" w:cs="Arial" w:eastAsia="Arial" w:hAnsi="Arial"/>
          <w:sz w:val="18"/>
          <w:szCs w:val="18"/>
          <w:color w:val="auto"/>
        </w:rPr>
        <w:t>The Company shall have no obligation to issue or deliver evidence of title for Shares issued under this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prior to:</w:t>
      </w:r>
    </w:p>
    <w:p>
      <w:pPr>
        <w:spacing w:after="0" w:line="194" w:lineRule="exact"/>
        <w:rPr>
          <w:sz w:val="20"/>
          <w:szCs w:val="20"/>
          <w:color w:val="auto"/>
        </w:rPr>
      </w:pPr>
    </w:p>
    <w:p>
      <w:pPr>
        <w:ind w:left="1900" w:hanging="395"/>
        <w:spacing w:after="0"/>
        <w:tabs>
          <w:tab w:leader="none" w:pos="1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11" w:lineRule="exact"/>
        <w:rPr>
          <w:rFonts w:ascii="Arial" w:cs="Arial" w:eastAsia="Arial" w:hAnsi="Arial"/>
          <w:sz w:val="18"/>
          <w:szCs w:val="18"/>
          <w:color w:val="auto"/>
        </w:rPr>
      </w:pPr>
    </w:p>
    <w:p>
      <w:pPr>
        <w:ind w:right="420" w:firstLine="1505"/>
        <w:spacing w:after="0" w:line="271" w:lineRule="auto"/>
        <w:tabs>
          <w:tab w:leader="none" w:pos="189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54"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b w:val="1"/>
          <w:bCs w:val="1"/>
          <w:color w:val="auto"/>
        </w:rPr>
        <w:t xml:space="preserve">21.7 Inability to Obtain Authority. </w:t>
      </w:r>
      <w:r>
        <w:rPr>
          <w:rFonts w:ascii="Arial" w:cs="Arial" w:eastAsia="Arial" w:hAnsi="Arial"/>
          <w:sz w:val="18"/>
          <w:szCs w:val="18"/>
          <w:color w:val="auto"/>
        </w:rPr>
        <w:t>The inability of the Company to obtain authority from any regulatory body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4" w:lineRule="exact"/>
        <w:rPr>
          <w:sz w:val="20"/>
          <w:szCs w:val="20"/>
          <w:color w:val="auto"/>
        </w:rPr>
      </w:pPr>
    </w:p>
    <w:p>
      <w:pPr>
        <w:jc w:val="both"/>
        <w:ind w:right="160" w:firstLine="749"/>
        <w:spacing w:after="0" w:line="253" w:lineRule="auto"/>
        <w:rPr>
          <w:sz w:val="20"/>
          <w:szCs w:val="20"/>
          <w:color w:val="auto"/>
        </w:rPr>
      </w:pPr>
      <w:r>
        <w:rPr>
          <w:rFonts w:ascii="Arial" w:cs="Arial" w:eastAsia="Arial" w:hAnsi="Arial"/>
          <w:sz w:val="18"/>
          <w:szCs w:val="18"/>
          <w:b w:val="1"/>
          <w:bCs w:val="1"/>
          <w:color w:val="auto"/>
        </w:rPr>
        <w:t xml:space="preserve">21.8 Investment Representations. </w:t>
      </w:r>
      <w:r>
        <w:rPr>
          <w:rFonts w:ascii="Arial" w:cs="Arial" w:eastAsia="Arial" w:hAnsi="Arial"/>
          <w:sz w:val="18"/>
          <w:szCs w:val="18"/>
          <w:color w:val="auto"/>
        </w:rPr>
        <w:t>The Committee may require any individual receiving Shares pursuant to an Award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represent and warrant in writing that the individual is acquiring the Shares for investment and without any present intention to sell or distribute such Shares.</w:t>
      </w:r>
    </w:p>
    <w:p>
      <w:pPr>
        <w:spacing w:after="0" w:line="169" w:lineRule="exact"/>
        <w:rPr>
          <w:sz w:val="20"/>
          <w:szCs w:val="20"/>
          <w:color w:val="auto"/>
        </w:rPr>
      </w:pPr>
    </w:p>
    <w:p>
      <w:pPr>
        <w:ind w:right="160" w:firstLine="749"/>
        <w:spacing w:after="0" w:line="253" w:lineRule="auto"/>
        <w:rPr>
          <w:sz w:val="20"/>
          <w:szCs w:val="20"/>
          <w:color w:val="auto"/>
        </w:rPr>
      </w:pPr>
      <w:r>
        <w:rPr>
          <w:rFonts w:ascii="Arial" w:cs="Arial" w:eastAsia="Arial" w:hAnsi="Arial"/>
          <w:sz w:val="18"/>
          <w:szCs w:val="18"/>
          <w:b w:val="1"/>
          <w:bCs w:val="1"/>
          <w:color w:val="auto"/>
        </w:rPr>
        <w:t xml:space="preserve">21.9 Employees or Directors Based Outside of the United States. </w:t>
      </w:r>
      <w:r>
        <w:rPr>
          <w:rFonts w:ascii="Arial" w:cs="Arial" w:eastAsia="Arial" w:hAnsi="Arial"/>
          <w:sz w:val="18"/>
          <w:szCs w:val="18"/>
          <w:color w:val="auto"/>
        </w:rPr>
        <w:t>Notwithstanding any provision of this Plan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comply with the laws in other countries in which the Company, its Affiliates, and/or its Subsidiaries operate or have Employees or Directors, the Committee, in its sole discretion, shall have the power and authority to:</w:t>
      </w:r>
    </w:p>
    <w:p>
      <w:pPr>
        <w:spacing w:after="0" w:line="169" w:lineRule="exact"/>
        <w:rPr>
          <w:sz w:val="20"/>
          <w:szCs w:val="20"/>
          <w:color w:val="auto"/>
        </w:rPr>
      </w:pPr>
    </w:p>
    <w:p>
      <w:pPr>
        <w:ind w:left="1900" w:hanging="395"/>
        <w:spacing w:after="0"/>
        <w:tabs>
          <w:tab w:leader="none" w:pos="1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211" w:lineRule="exact"/>
        <w:rPr>
          <w:rFonts w:ascii="Arial" w:cs="Arial" w:eastAsia="Arial" w:hAnsi="Arial"/>
          <w:sz w:val="18"/>
          <w:szCs w:val="18"/>
          <w:color w:val="auto"/>
        </w:rPr>
      </w:pPr>
    </w:p>
    <w:p>
      <w:pPr>
        <w:ind w:left="1900" w:hanging="395"/>
        <w:spacing w:after="0"/>
        <w:tabs>
          <w:tab w:leader="none" w:pos="1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Determine which Employees and/or Directors outside the United States are eligible to participate in this Plan;</w:t>
      </w:r>
    </w:p>
    <w:p>
      <w:pPr>
        <w:spacing w:after="0" w:line="211" w:lineRule="exact"/>
        <w:rPr>
          <w:rFonts w:ascii="Arial" w:cs="Arial" w:eastAsia="Arial" w:hAnsi="Arial"/>
          <w:sz w:val="18"/>
          <w:szCs w:val="18"/>
          <w:color w:val="auto"/>
        </w:rPr>
      </w:pPr>
    </w:p>
    <w:p>
      <w:pPr>
        <w:ind w:right="300" w:firstLine="1505"/>
        <w:spacing w:after="0" w:line="271" w:lineRule="auto"/>
        <w:tabs>
          <w:tab w:leader="none" w:pos="18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and/or Directors outside the United States to comply with applicable foreign laws;</w:t>
      </w:r>
    </w:p>
    <w:p>
      <w:pPr>
        <w:spacing w:after="0" w:line="153" w:lineRule="exact"/>
        <w:rPr>
          <w:rFonts w:ascii="Arial" w:cs="Arial" w:eastAsia="Arial" w:hAnsi="Arial"/>
          <w:sz w:val="18"/>
          <w:szCs w:val="18"/>
          <w:color w:val="auto"/>
        </w:rPr>
      </w:pPr>
    </w:p>
    <w:p>
      <w:pPr>
        <w:ind w:right="100" w:firstLine="1505"/>
        <w:spacing w:after="0" w:line="253" w:lineRule="auto"/>
        <w:tabs>
          <w:tab w:leader="none" w:pos="18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21.9 by the Committee shall be attached to this Plan document as appendices; and</w:t>
      </w:r>
    </w:p>
    <w:p>
      <w:pPr>
        <w:spacing w:after="0" w:line="168" w:lineRule="exact"/>
        <w:rPr>
          <w:rFonts w:ascii="Arial" w:cs="Arial" w:eastAsia="Arial" w:hAnsi="Arial"/>
          <w:sz w:val="18"/>
          <w:szCs w:val="18"/>
          <w:color w:val="auto"/>
        </w:rPr>
      </w:pPr>
    </w:p>
    <w:p>
      <w:pPr>
        <w:ind w:right="400" w:firstLine="1505"/>
        <w:spacing w:after="0" w:line="271" w:lineRule="auto"/>
        <w:tabs>
          <w:tab w:leader="none" w:pos="189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54"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w:t>
      </w:r>
    </w:p>
    <w:p>
      <w:pPr>
        <w:spacing w:after="0" w:line="154"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b w:val="1"/>
          <w:bCs w:val="1"/>
          <w:color w:val="auto"/>
        </w:rPr>
        <w:t xml:space="preserve">21.10 Uncertificated Shares. </w:t>
      </w:r>
      <w:r>
        <w:rPr>
          <w:rFonts w:ascii="Arial" w:cs="Arial" w:eastAsia="Arial" w:hAnsi="Arial"/>
          <w:sz w:val="18"/>
          <w:szCs w:val="18"/>
          <w:color w:val="auto"/>
        </w:rPr>
        <w:t>To the extent that this Plan provides for issuance of certificates to reflect the transfer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of such Shares may be affected on a noncertificated basis, to the extent not prohibited by applicable law or the rules of any stock exchange.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ind w:right="160" w:firstLine="749"/>
        <w:spacing w:after="0" w:line="239" w:lineRule="auto"/>
        <w:rPr>
          <w:sz w:val="20"/>
          <w:szCs w:val="20"/>
          <w:color w:val="auto"/>
        </w:rPr>
      </w:pPr>
      <w:r>
        <w:rPr>
          <w:rFonts w:ascii="Arial" w:cs="Arial" w:eastAsia="Arial" w:hAnsi="Arial"/>
          <w:sz w:val="18"/>
          <w:szCs w:val="18"/>
          <w:b w:val="1"/>
          <w:bCs w:val="1"/>
          <w:color w:val="auto"/>
        </w:rPr>
        <w:t>21.11 Unfunded Plan</w:t>
      </w:r>
      <w:r>
        <w:rPr>
          <w:rFonts w:ascii="Arial" w:cs="Arial" w:eastAsia="Arial" w:hAnsi="Arial"/>
          <w:sz w:val="18"/>
          <w:szCs w:val="18"/>
          <w:color w:val="auto"/>
        </w:rPr>
        <w:t>. Participants shall have no right, title, or interest whatsoever in or to any investments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and/or its 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person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186" w:lineRule="exact"/>
        <w:rPr>
          <w:sz w:val="20"/>
          <w:szCs w:val="20"/>
          <w:color w:val="auto"/>
        </w:rPr>
      </w:pPr>
    </w:p>
    <w:p>
      <w:pPr>
        <w:ind w:right="560" w:firstLine="749"/>
        <w:spacing w:after="0" w:line="253" w:lineRule="auto"/>
        <w:rPr>
          <w:sz w:val="20"/>
          <w:szCs w:val="20"/>
          <w:color w:val="auto"/>
        </w:rPr>
      </w:pPr>
      <w:r>
        <w:rPr>
          <w:rFonts w:ascii="Arial" w:cs="Arial" w:eastAsia="Arial" w:hAnsi="Arial"/>
          <w:sz w:val="18"/>
          <w:szCs w:val="18"/>
          <w:b w:val="1"/>
          <w:bCs w:val="1"/>
          <w:color w:val="auto"/>
        </w:rPr>
        <w:t xml:space="preserve">21.12 No Fractional Shares. </w:t>
      </w:r>
      <w:r>
        <w:rPr>
          <w:rFonts w:ascii="Arial" w:cs="Arial" w:eastAsia="Arial" w:hAnsi="Arial"/>
          <w:sz w:val="18"/>
          <w:szCs w:val="18"/>
          <w:color w:val="auto"/>
        </w:rPr>
        <w:t>No fractional Shares shall be issued or delivered pursuant to this Plan or any Award.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determine whether cash, Awards, or other property shall be issued or paid in lieu of fractional Shares or whether such fractional Shares or any rights thereto shall be forfeited or otherwise eliminated.</w:t>
      </w:r>
    </w:p>
    <w:p>
      <w:pPr>
        <w:spacing w:after="0" w:line="169"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b w:val="1"/>
          <w:bCs w:val="1"/>
          <w:color w:val="auto"/>
        </w:rPr>
        <w:t xml:space="preserve">21.13 Retirement and Welfare Plans. </w:t>
      </w:r>
      <w:r>
        <w:rPr>
          <w:rFonts w:ascii="Arial" w:cs="Arial" w:eastAsia="Arial" w:hAnsi="Arial"/>
          <w:sz w:val="18"/>
          <w:szCs w:val="18"/>
          <w:color w:val="auto"/>
        </w:rPr>
        <w:t>Neither Awards made under this Plan nor Shares or cash paid pursuant to such Awards,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pursuant to Covered Employee Annual Incentive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76" w:lineRule="exact"/>
        <w:rPr>
          <w:sz w:val="20"/>
          <w:szCs w:val="20"/>
          <w:color w:val="auto"/>
        </w:rPr>
      </w:pPr>
    </w:p>
    <w:p>
      <w:pPr>
        <w:ind w:right="60" w:firstLine="749"/>
        <w:spacing w:after="0" w:line="242" w:lineRule="auto"/>
        <w:rPr>
          <w:sz w:val="20"/>
          <w:szCs w:val="20"/>
          <w:color w:val="auto"/>
        </w:rPr>
      </w:pPr>
      <w:r>
        <w:rPr>
          <w:rFonts w:ascii="Arial" w:cs="Arial" w:eastAsia="Arial" w:hAnsi="Arial"/>
          <w:sz w:val="18"/>
          <w:szCs w:val="18"/>
          <w:b w:val="1"/>
          <w:bCs w:val="1"/>
          <w:color w:val="auto"/>
        </w:rPr>
        <w:t xml:space="preserve">21.14 No Deferred Compensation. </w:t>
      </w:r>
      <w:r>
        <w:rPr>
          <w:rFonts w:ascii="Arial" w:cs="Arial" w:eastAsia="Arial" w:hAnsi="Arial"/>
          <w:sz w:val="18"/>
          <w:szCs w:val="18"/>
          <w:color w:val="auto"/>
        </w:rPr>
        <w:t>No deferral of compensation (as defined under Code Section 409A or guidance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permitted under this Plan. However, the Committee may permit deferrals of compensation pursuant to a separate plan or a subplan which meets the requirements of Code Section 409A and the regulations thereunder. Additionally, to the extent any Award is subject to Code Section 409A, notwithstanding any provision herein to the contrary, the Plan does not permit the acceleration of the time or schedule of any distribution related to such Award, except as permitted by Code Section 409A, the regulations thereunder, and/or the Secretary of the United States Treasury.</w:t>
      </w:r>
    </w:p>
    <w:p>
      <w:pPr>
        <w:spacing w:after="0" w:line="179"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b w:val="1"/>
          <w:bCs w:val="1"/>
          <w:color w:val="auto"/>
        </w:rPr>
        <w:t xml:space="preserve">21.15 Nonexclusivity of this Plan. </w:t>
      </w:r>
      <w:r>
        <w:rPr>
          <w:rFonts w:ascii="Arial" w:cs="Arial" w:eastAsia="Arial" w:hAnsi="Arial"/>
          <w:sz w:val="18"/>
          <w:szCs w:val="18"/>
          <w:color w:val="auto"/>
        </w:rPr>
        <w:t>The adoption of this Plan shall not be construed as creating any limitations on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or Committee to adopt such other compensation arrangements as it may deem desirable for any Participant.</w:t>
      </w:r>
    </w:p>
    <w:p>
      <w:pPr>
        <w:spacing w:after="0" w:line="154"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b w:val="1"/>
          <w:bCs w:val="1"/>
          <w:color w:val="auto"/>
        </w:rPr>
        <w:t xml:space="preserve">21.16 No Constraint on Corporate Action. </w:t>
      </w:r>
      <w:r>
        <w:rPr>
          <w:rFonts w:ascii="Arial" w:cs="Arial" w:eastAsia="Arial" w:hAnsi="Arial"/>
          <w:sz w:val="18"/>
          <w:szCs w:val="18"/>
          <w:color w:val="auto"/>
        </w:rPr>
        <w:t>Nothing in this Plan shall be construed to: (i) limit, impair,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174"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b w:val="1"/>
          <w:bCs w:val="1"/>
          <w:color w:val="auto"/>
        </w:rPr>
        <w:t xml:space="preserve">21.17 Governing Law. </w:t>
      </w:r>
      <w:r>
        <w:rPr>
          <w:rFonts w:ascii="Arial" w:cs="Arial" w:eastAsia="Arial" w:hAnsi="Arial"/>
          <w:sz w:val="18"/>
          <w:szCs w:val="18"/>
          <w:color w:val="auto"/>
        </w:rPr>
        <w:t>The Plan and each Award Agreement shall be governed by the laws of the State of South Dakota,</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South Dakota, to resolve any and all issues that may arise out of or relate to this Plan or any related Award Agreement.</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ind w:firstLine="749"/>
        <w:spacing w:after="0" w:line="239" w:lineRule="auto"/>
        <w:rPr>
          <w:sz w:val="20"/>
          <w:szCs w:val="20"/>
          <w:color w:val="auto"/>
        </w:rPr>
      </w:pPr>
      <w:r>
        <w:rPr>
          <w:rFonts w:ascii="Arial" w:cs="Arial" w:eastAsia="Arial" w:hAnsi="Arial"/>
          <w:sz w:val="18"/>
          <w:szCs w:val="18"/>
          <w:b w:val="1"/>
          <w:bCs w:val="1"/>
          <w:color w:val="auto"/>
        </w:rPr>
        <w:t xml:space="preserve">21.18 Indemnification. </w:t>
      </w:r>
      <w:r>
        <w:rPr>
          <w:rFonts w:ascii="Arial" w:cs="Arial" w:eastAsia="Arial" w:hAnsi="Arial"/>
          <w:sz w:val="18"/>
          <w:szCs w:val="18"/>
          <w:color w:val="auto"/>
        </w:rPr>
        <w:t>Subject to requirements of South Dakota law, each individual who is or shall have been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the individual in connection with or resulting from any claim, action, suit, or proceeding to which the individual may be a party or in which he or she may be involved by reason of any action taken or failure to act under this Plan and against and from any and all amounts paid by the individual in settlement thereof, with the Company’s approval, or paid by the individual in satisfaction of any judgment in any such action, suit, or proceeding against the individual, provided the individual shall give the Company an opportunity, at its own expense, to handle and defend the same before the individual undertakes to handle and defend it on the individuals own behalf, unless such loss, cost, liability, or expense is a result of the individuals own willful misconduct or except as expressly provided by statute.</w:t>
      </w:r>
    </w:p>
    <w:p>
      <w:pPr>
        <w:spacing w:after="0" w:line="183" w:lineRule="exact"/>
        <w:rPr>
          <w:sz w:val="20"/>
          <w:szCs w:val="20"/>
          <w:color w:val="auto"/>
        </w:rPr>
      </w:pPr>
    </w:p>
    <w:p>
      <w:pPr>
        <w:jc w:val="both"/>
        <w:ind w:right="240" w:firstLine="749"/>
        <w:spacing w:after="0" w:line="253"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individual may be entitled under the Company’s Certificate of Incorporation or Bylaws, as a matter of law, or otherwise, or any power that the Company may have to indemnify them or hold them harmless.</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6"/>
          <w:szCs w:val="16"/>
          <w:b w:val="1"/>
          <w:bCs w:val="1"/>
          <w:color w:val="auto"/>
        </w:rPr>
        <w:t>Exhibit 10.17</w:t>
      </w:r>
    </w:p>
    <w:p>
      <w:pPr>
        <w:spacing w:after="0" w:line="29" w:lineRule="exact"/>
        <w:rPr>
          <w:sz w:val="20"/>
          <w:szCs w:val="20"/>
          <w:color w:val="auto"/>
        </w:rPr>
      </w:pPr>
    </w:p>
    <w:p>
      <w:pPr>
        <w:ind w:left="2944"/>
        <w:spacing w:after="0"/>
        <w:rPr>
          <w:sz w:val="20"/>
          <w:szCs w:val="20"/>
          <w:color w:val="auto"/>
        </w:rPr>
      </w:pPr>
      <w:r>
        <w:rPr>
          <w:rFonts w:ascii="Arial" w:cs="Arial" w:eastAsia="Arial" w:hAnsi="Arial"/>
          <w:sz w:val="20"/>
          <w:szCs w:val="20"/>
          <w:b w:val="1"/>
          <w:bCs w:val="1"/>
          <w:u w:val="single" w:color="auto"/>
          <w:color w:val="auto"/>
        </w:rPr>
        <w:t>CHANGE IN CONTROL AGREEMENT</w:t>
      </w:r>
    </w:p>
    <w:p>
      <w:pPr>
        <w:spacing w:after="0" w:line="165" w:lineRule="exact"/>
        <w:rPr>
          <w:sz w:val="20"/>
          <w:szCs w:val="20"/>
          <w:color w:val="auto"/>
        </w:rPr>
      </w:pPr>
    </w:p>
    <w:p>
      <w:pPr>
        <w:ind w:left="684" w:right="480" w:firstLine="749"/>
        <w:spacing w:after="0" w:line="273" w:lineRule="auto"/>
        <w:rPr>
          <w:sz w:val="20"/>
          <w:szCs w:val="20"/>
          <w:color w:val="auto"/>
        </w:rPr>
      </w:pPr>
      <w:r>
        <w:rPr>
          <w:rFonts w:ascii="Times New Roman" w:cs="Times New Roman" w:eastAsia="Times New Roman" w:hAnsi="Times New Roman"/>
          <w:sz w:val="20"/>
          <w:szCs w:val="20"/>
          <w:color w:val="auto"/>
        </w:rPr>
        <w:t>This Change in Control Agreement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November 15, 2022, is entered into by and between Black Hills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Linden R. Evans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744" w:hanging="744"/>
        <w:spacing w:after="0"/>
        <w:tabs>
          <w:tab w:leader="none" w:pos="744"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84" w:right="360" w:firstLine="747"/>
        <w:spacing w:after="0" w:line="250" w:lineRule="auto"/>
        <w:rPr>
          <w:sz w:val="20"/>
          <w:szCs w:val="20"/>
          <w:color w:val="auto"/>
        </w:rPr>
      </w:pPr>
      <w:r>
        <w:rPr>
          <w:rFonts w:ascii="Times New Roman" w:cs="Times New Roman" w:eastAsia="Times New Roman" w:hAnsi="Times New Roman"/>
          <w:sz w:val="20"/>
          <w:szCs w:val="20"/>
          <w:color w:val="auto"/>
        </w:rPr>
        <w:t>The Board of Directors of the Company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89" w:lineRule="exact"/>
        <w:rPr>
          <w:sz w:val="20"/>
          <w:szCs w:val="20"/>
          <w:color w:val="auto"/>
        </w:rPr>
      </w:pPr>
    </w:p>
    <w:p>
      <w:pPr>
        <w:ind w:left="744" w:hanging="744"/>
        <w:spacing w:after="0"/>
        <w:tabs>
          <w:tab w:leader="none" w:pos="744"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1424" w:right="1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have the meaning ascribed to such term in rule 12b-2 of the General Rules and Regulations of the Exchange Act.</w:t>
      </w:r>
    </w:p>
    <w:p>
      <w:pPr>
        <w:spacing w:after="0" w:line="300" w:lineRule="exact"/>
        <w:rPr>
          <w:sz w:val="20"/>
          <w:szCs w:val="20"/>
          <w:color w:val="auto"/>
        </w:rPr>
      </w:pPr>
    </w:p>
    <w:p>
      <w:pPr>
        <w:ind w:left="1424" w:right="280"/>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COMPENSATION</w:t>
      </w:r>
      <w:r>
        <w:rPr>
          <w:rFonts w:ascii="Times New Roman" w:cs="Times New Roman" w:eastAsia="Times New Roman" w:hAnsi="Times New Roman"/>
          <w:sz w:val="20"/>
          <w:szCs w:val="20"/>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193" w:lineRule="exact"/>
        <w:rPr>
          <w:sz w:val="20"/>
          <w:szCs w:val="20"/>
          <w:color w:val="auto"/>
        </w:rPr>
      </w:pPr>
    </w:p>
    <w:p>
      <w:pPr>
        <w:ind w:left="1424" w:right="2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shall have the meaning ascribed to such term in Rule 13d-3 of the General Rules and Regulations under the Exchange Act.</w:t>
      </w:r>
    </w:p>
    <w:p>
      <w:pPr>
        <w:spacing w:after="0" w:line="152"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means those events or conditions described in </w:t>
      </w:r>
      <w:r>
        <w:rPr>
          <w:rFonts w:ascii="Times New Roman" w:cs="Times New Roman" w:eastAsia="Times New Roman" w:hAnsi="Times New Roman"/>
          <w:sz w:val="20"/>
          <w:szCs w:val="20"/>
          <w:u w:val="single" w:color="auto"/>
          <w:color w:val="auto"/>
        </w:rPr>
        <w:t>subsection 8(a)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shall mean any of the following events:</w:t>
      </w:r>
    </w:p>
    <w:p>
      <w:pPr>
        <w:spacing w:after="0" w:line="233" w:lineRule="exact"/>
        <w:rPr>
          <w:sz w:val="20"/>
          <w:szCs w:val="20"/>
          <w:color w:val="auto"/>
        </w:rPr>
      </w:pPr>
    </w:p>
    <w:p>
      <w:pPr>
        <w:ind w:left="1444" w:right="160" w:hanging="10"/>
        <w:spacing w:after="0" w:line="245" w:lineRule="auto"/>
        <w:tabs>
          <w:tab w:leader="none" w:pos="21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w:t>
      </w:r>
      <w:r>
        <w:rPr>
          <w:rFonts w:ascii="Times New Roman" w:cs="Times New Roman" w:eastAsia="Times New Roman" w:hAnsi="Times New Roman"/>
          <w:sz w:val="20"/>
          <w:szCs w:val="20"/>
          <w:u w:val="single" w:color="auto"/>
          <w:color w:val="auto"/>
        </w:rPr>
        <w:t>subsections (c)(i), (ii) and (iii) below</w:t>
      </w:r>
      <w:r>
        <w:rPr>
          <w:rFonts w:ascii="Times New Roman" w:cs="Times New Roman" w:eastAsia="Times New Roman" w:hAnsi="Times New Roman"/>
          <w:sz w:val="20"/>
          <w:szCs w:val="20"/>
          <w:color w:val="auto"/>
        </w:rPr>
        <w:t>;</w:t>
      </w:r>
    </w:p>
    <w:p>
      <w:pPr>
        <w:spacing w:after="0" w:line="400"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69850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4"/>
          </w:cols>
          <w:pgMar w:left="516" w:top="355" w:right="339" w:bottom="1440" w:gutter="0" w:footer="0" w:header="0"/>
        </w:sectPr>
      </w:pPr>
    </w:p>
    <w:bookmarkStart w:id="171" w:name="page172"/>
    <w:bookmarkEnd w:id="171"/>
    <w:p>
      <w:pPr>
        <w:ind w:left="500" w:right="40" w:firstLine="5"/>
        <w:spacing w:after="0" w:line="244" w:lineRule="auto"/>
        <w:tabs>
          <w:tab w:leader="none" w:pos="123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October 1, 2022, are members of the Board (the “</w:t>
      </w:r>
      <w:r>
        <w:rPr>
          <w:rFonts w:ascii="Times New Roman" w:cs="Times New Roman" w:eastAsia="Times New Roman" w:hAnsi="Times New Roman"/>
          <w:sz w:val="20"/>
          <w:szCs w:val="20"/>
          <w:b w:val="1"/>
          <w:bCs w:val="1"/>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(a “</w:t>
      </w:r>
      <w:r>
        <w:rPr>
          <w:rFonts w:ascii="Times New Roman" w:cs="Times New Roman" w:eastAsia="Times New Roman" w:hAnsi="Times New Roman"/>
          <w:sz w:val="20"/>
          <w:szCs w:val="20"/>
          <w:b w:val="1"/>
          <w:bCs w:val="1"/>
          <w:color w:val="auto"/>
        </w:rPr>
        <w:t>Proxy Contest</w:t>
      </w:r>
      <w:r>
        <w:rPr>
          <w:rFonts w:ascii="Times New Roman" w:cs="Times New Roman" w:eastAsia="Times New Roman" w:hAnsi="Times New Roman"/>
          <w:sz w:val="20"/>
          <w:szCs w:val="20"/>
          <w:color w:val="auto"/>
        </w:rPr>
        <w:t>”) including by reason of any agreement intended to avoid or settle any actual or threatened proxy contest;</w:t>
      </w:r>
    </w:p>
    <w:p>
      <w:pPr>
        <w:spacing w:after="0" w:line="280" w:lineRule="exact"/>
        <w:rPr>
          <w:rFonts w:ascii="Times New Roman" w:cs="Times New Roman" w:eastAsia="Times New Roman" w:hAnsi="Times New Roman"/>
          <w:sz w:val="20"/>
          <w:szCs w:val="20"/>
          <w:color w:val="auto"/>
        </w:rPr>
      </w:pPr>
    </w:p>
    <w:p>
      <w:pPr>
        <w:ind w:left="500" w:firstLine="11"/>
        <w:spacing w:after="0" w:line="255" w:lineRule="auto"/>
        <w:tabs>
          <w:tab w:leader="none" w:pos="1238"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Consummation, following shareholder approval, of a reorganization, merger, or consolidation of the Company, or a sale or other disposition of all or substantially all of the assets of the Company (each a “</w:t>
      </w:r>
      <w:r>
        <w:rPr>
          <w:rFonts w:ascii="Times New Roman" w:cs="Times New Roman" w:eastAsia="Times New Roman" w:hAnsi="Times New Roman"/>
          <w:sz w:val="19"/>
          <w:szCs w:val="19"/>
          <w:b w:val="1"/>
          <w:bCs w:val="1"/>
          <w:color w:val="auto"/>
        </w:rPr>
        <w:t>Business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Combination</w:t>
      </w:r>
      <w:r>
        <w:rPr>
          <w:rFonts w:ascii="Times New Roman" w:cs="Times New Roman" w:eastAsia="Times New Roman" w:hAnsi="Times New Roman"/>
          <w:sz w:val="19"/>
          <w:szCs w:val="19"/>
          <w:color w:val="auto"/>
        </w:rPr>
        <w:t>”), unless, in each case, immediately following such Business Combination, all of the following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Times New Roman" w:cs="Times New Roman" w:eastAsia="Times New Roman" w:hAnsi="Times New Roman"/>
          <w:sz w:val="19"/>
          <w:szCs w:val="19"/>
          <w:b w:val="1"/>
          <w:bCs w:val="1"/>
          <w:color w:val="auto"/>
        </w:rPr>
        <w:t>Successor Entity</w:t>
      </w:r>
      <w:r>
        <w:rPr>
          <w:rFonts w:ascii="Times New Roman" w:cs="Times New Roman" w:eastAsia="Times New Roman" w:hAnsi="Times New Roman"/>
          <w:sz w:val="19"/>
          <w:szCs w:val="19"/>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0" w:lineRule="exact"/>
        <w:rPr>
          <w:rFonts w:ascii="Times New Roman" w:cs="Times New Roman" w:eastAsia="Times New Roman" w:hAnsi="Times New Roman"/>
          <w:sz w:val="19"/>
          <w:szCs w:val="19"/>
          <w:color w:val="auto"/>
        </w:rPr>
      </w:pPr>
    </w:p>
    <w:p>
      <w:pPr>
        <w:spacing w:after="0" w:line="276" w:lineRule="exact"/>
        <w:rPr>
          <w:rFonts w:ascii="Times New Roman" w:cs="Times New Roman" w:eastAsia="Times New Roman" w:hAnsi="Times New Roman"/>
          <w:sz w:val="19"/>
          <w:szCs w:val="19"/>
          <w:color w:val="auto"/>
        </w:rPr>
      </w:pPr>
    </w:p>
    <w:p>
      <w:pPr>
        <w:ind w:left="500" w:right="480" w:firstLine="11"/>
        <w:spacing w:after="0" w:line="295" w:lineRule="auto"/>
        <w:tabs>
          <w:tab w:leader="none" w:pos="1238"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Approval by the shareholders of the Company of a complete liquidation or dissolution of the Company, except pursuant to a Business Combination that complies with </w:t>
      </w:r>
      <w:r>
        <w:rPr>
          <w:rFonts w:ascii="Times New Roman" w:cs="Times New Roman" w:eastAsia="Times New Roman" w:hAnsi="Times New Roman"/>
          <w:sz w:val="19"/>
          <w:szCs w:val="19"/>
          <w:u w:val="single" w:color="auto"/>
          <w:color w:val="auto"/>
        </w:rPr>
        <w:t>subsections (c)(i), (ii), and (iii)</w:t>
      </w:r>
      <w:r>
        <w:rPr>
          <w:rFonts w:ascii="Times New Roman" w:cs="Times New Roman" w:eastAsia="Times New Roman" w:hAnsi="Times New Roman"/>
          <w:sz w:val="19"/>
          <w:szCs w:val="19"/>
          <w:color w:val="auto"/>
        </w:rPr>
        <w:t xml:space="preserve"> above.</w:t>
      </w:r>
    </w:p>
    <w:p>
      <w:pPr>
        <w:spacing w:after="0" w:line="147" w:lineRule="exact"/>
        <w:rPr>
          <w:rFonts w:ascii="Times New Roman" w:cs="Times New Roman" w:eastAsia="Times New Roman" w:hAnsi="Times New Roman"/>
          <w:sz w:val="19"/>
          <w:szCs w:val="19"/>
          <w:color w:val="auto"/>
        </w:rPr>
      </w:pPr>
    </w:p>
    <w:p>
      <w:pPr>
        <w:ind w:left="500" w:firstLine="11"/>
        <w:spacing w:after="0" w:line="244" w:lineRule="auto"/>
        <w:tabs>
          <w:tab w:leader="none" w:pos="123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not be deemed to occur solely because any Person (the “</w:t>
      </w:r>
      <w:r>
        <w:rPr>
          <w:rFonts w:ascii="Times New Roman" w:cs="Times New Roman" w:eastAsia="Times New Roman" w:hAnsi="Times New Roman"/>
          <w:sz w:val="20"/>
          <w:szCs w:val="20"/>
          <w:b w:val="1"/>
          <w:bCs w:val="1"/>
          <w:color w:val="auto"/>
        </w:rPr>
        <w:t>Subject Person</w:t>
      </w:r>
      <w:r>
        <w:rPr>
          <w:rFonts w:ascii="Times New Roman" w:cs="Times New Roman" w:eastAsia="Times New Roman" w:hAnsi="Times New Roman"/>
          <w:sz w:val="20"/>
          <w:szCs w:val="20"/>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200" w:lineRule="exact"/>
        <w:rPr>
          <w:sz w:val="20"/>
          <w:szCs w:val="20"/>
          <w:color w:val="auto"/>
        </w:rPr>
      </w:pPr>
    </w:p>
    <w:p>
      <w:pPr>
        <w:spacing w:after="0" w:line="20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396" w:right="539" w:bottom="1440" w:gutter="0" w:footer="0" w:header="0"/>
        </w:sectPr>
      </w:pPr>
    </w:p>
    <w:bookmarkStart w:id="172" w:name="page173"/>
    <w:bookmarkEnd w:id="172"/>
    <w:p>
      <w:pPr>
        <w:ind w:left="500" w:right="100" w:firstLine="5"/>
        <w:spacing w:after="0" w:line="254" w:lineRule="auto"/>
        <w:tabs>
          <w:tab w:leader="none" w:pos="123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84" w:lineRule="exact"/>
        <w:rPr>
          <w:sz w:val="20"/>
          <w:szCs w:val="20"/>
          <w:color w:val="auto"/>
        </w:rPr>
      </w:pPr>
    </w:p>
    <w:p>
      <w:pPr>
        <w:ind w:left="500" w:right="2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means the Internal Revenue Code of 1986, as amended from time to time, and applicable regulations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guidance thereunder.</w:t>
      </w:r>
    </w:p>
    <w:p>
      <w:pPr>
        <w:spacing w:after="0" w:line="165" w:lineRule="exact"/>
        <w:rPr>
          <w:sz w:val="20"/>
          <w:szCs w:val="20"/>
          <w:color w:val="auto"/>
        </w:rPr>
      </w:pPr>
    </w:p>
    <w:p>
      <w:pPr>
        <w:ind w:left="5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“DISABILITY” </w:t>
      </w:r>
      <w:r>
        <w:rPr>
          <w:rFonts w:ascii="Times New Roman" w:cs="Times New Roman" w:eastAsia="Times New Roman" w:hAnsi="Times New Roman"/>
          <w:sz w:val="20"/>
          <w:szCs w:val="20"/>
          <w:color w:val="auto"/>
        </w:rPr>
        <w:t>means the Employee is eligible for and receiving benefits under the Company sponsored group long-term disability plan in which the Employee participates.</w:t>
      </w:r>
    </w:p>
    <w:p>
      <w:pPr>
        <w:spacing w:after="0" w:line="165" w:lineRule="exact"/>
        <w:rPr>
          <w:sz w:val="20"/>
          <w:szCs w:val="20"/>
          <w:color w:val="auto"/>
        </w:rPr>
      </w:pPr>
    </w:p>
    <w:p>
      <w:pPr>
        <w:ind w:left="500" w:right="2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“DISABILITY DATE” </w:t>
      </w:r>
      <w:r>
        <w:rPr>
          <w:rFonts w:ascii="Times New Roman" w:cs="Times New Roman" w:eastAsia="Times New Roman" w:hAnsi="Times New Roman"/>
          <w:sz w:val="20"/>
          <w:szCs w:val="20"/>
          <w:color w:val="auto"/>
        </w:rPr>
        <w:t>means the date subsequent to a Change in Control on which the Employee is determined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 Disability.</w:t>
      </w:r>
    </w:p>
    <w:p>
      <w:pPr>
        <w:spacing w:after="0" w:line="273" w:lineRule="exact"/>
        <w:rPr>
          <w:sz w:val="20"/>
          <w:szCs w:val="20"/>
          <w:color w:val="auto"/>
        </w:rPr>
      </w:pPr>
    </w:p>
    <w:p>
      <w:pPr>
        <w:jc w:val="both"/>
        <w:ind w:left="500" w:right="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“ERISA” </w:t>
      </w:r>
      <w:r>
        <w:rPr>
          <w:rFonts w:ascii="Times New Roman" w:cs="Times New Roman" w:eastAsia="Times New Roman" w:hAnsi="Times New Roman"/>
          <w:sz w:val="20"/>
          <w:szCs w:val="20"/>
          <w:color w:val="auto"/>
        </w:rPr>
        <w:t>means the Employee Retirement Income Security Act of 1974, as amended.</w:t>
      </w:r>
    </w:p>
    <w:p>
      <w:pPr>
        <w:spacing w:after="0" w:line="229" w:lineRule="exact"/>
        <w:rPr>
          <w:sz w:val="20"/>
          <w:szCs w:val="20"/>
          <w:color w:val="auto"/>
        </w:rPr>
      </w:pPr>
    </w:p>
    <w:p>
      <w:pPr>
        <w:ind w:left="520" w:right="260" w:hanging="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from time to time, or any successor act thereto.</w:t>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xml:space="preserve">” means those events or conditions described in </w:t>
      </w:r>
      <w:r>
        <w:rPr>
          <w:rFonts w:ascii="Times New Roman" w:cs="Times New Roman" w:eastAsia="Times New Roman" w:hAnsi="Times New Roman"/>
          <w:sz w:val="20"/>
          <w:szCs w:val="20"/>
          <w:u w:val="single" w:color="auto"/>
          <w:color w:val="auto"/>
        </w:rPr>
        <w:t>subsection 8(c)</w:t>
      </w:r>
      <w:r>
        <w:rPr>
          <w:rFonts w:ascii="Times New Roman" w:cs="Times New Roman" w:eastAsia="Times New Roman" w:hAnsi="Times New Roman"/>
          <w:sz w:val="20"/>
          <w:szCs w:val="20"/>
          <w:color w:val="auto"/>
        </w:rPr>
        <w:t xml:space="preserve"> below.</w:t>
      </w:r>
    </w:p>
    <w:p>
      <w:pPr>
        <w:spacing w:after="0" w:line="229" w:lineRule="exact"/>
        <w:rPr>
          <w:sz w:val="20"/>
          <w:szCs w:val="20"/>
          <w:color w:val="auto"/>
        </w:rPr>
      </w:pPr>
    </w:p>
    <w:p>
      <w:pPr>
        <w:ind w:left="500" w:right="1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“NONQUALIFIED DEFERRED COMPENSATION PLAN” </w:t>
      </w:r>
      <w:r>
        <w:rPr>
          <w:rFonts w:ascii="Times New Roman" w:cs="Times New Roman" w:eastAsia="Times New Roman" w:hAnsi="Times New Roman"/>
          <w:sz w:val="20"/>
          <w:szCs w:val="20"/>
          <w:color w:val="auto"/>
        </w:rPr>
        <w:t>means the Company’s Nonqualified Deferred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Plan as amended and restated effective January 1, 2011, and as amended or replaced from time to time thereafter prior to the Effective Date and the Company’s Post-2018 Nonqualified Deferred Compensation Plan as effective January 1, 2019, and as amended or replaced from time to time thereafter prior to the Effective Date.</w:t>
      </w:r>
    </w:p>
    <w:p>
      <w:pPr>
        <w:spacing w:after="0" w:line="189" w:lineRule="exact"/>
        <w:rPr>
          <w:sz w:val="20"/>
          <w:szCs w:val="20"/>
          <w:color w:val="auto"/>
        </w:rPr>
      </w:pPr>
    </w:p>
    <w:p>
      <w:pPr>
        <w:ind w:left="500" w:right="2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TERMINATION</w:t>
      </w:r>
      <w:r>
        <w:rPr>
          <w:rFonts w:ascii="Times New Roman" w:cs="Times New Roman" w:eastAsia="Times New Roman" w:hAnsi="Times New Roman"/>
          <w:sz w:val="20"/>
          <w:szCs w:val="20"/>
          <w:color w:val="auto"/>
        </w:rPr>
        <w:t>” means a notice which indicates the specific termination provision in this Agreement, if any, relied upon and shall set forth in reasonable detail the facts and circumstances claimed to provide a basis for termination of Employee’s employment under the provisions so indicated. Any purported termination by the Company or Employee shall be communicated by written notice of termination to the other.</w:t>
      </w:r>
    </w:p>
    <w:p>
      <w:pPr>
        <w:spacing w:after="0" w:line="189" w:lineRule="exact"/>
        <w:rPr>
          <w:sz w:val="20"/>
          <w:szCs w:val="20"/>
          <w:color w:val="auto"/>
        </w:rPr>
      </w:pPr>
    </w:p>
    <w:p>
      <w:pPr>
        <w:ind w:left="50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OMNIBUS INCENTIVE COMPENSATION PLANS</w:t>
      </w:r>
      <w:r>
        <w:rPr>
          <w:rFonts w:ascii="Times New Roman" w:cs="Times New Roman" w:eastAsia="Times New Roman" w:hAnsi="Times New Roman"/>
          <w:sz w:val="20"/>
          <w:szCs w:val="20"/>
          <w:color w:val="auto"/>
        </w:rPr>
        <w:t>” means the incentive compensation plans known as the “Amended and Restated 2015 Omnibus Incentive Plan” as effective April 26, 2022,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-614045</wp:posOffset>
            </wp:positionV>
            <wp:extent cx="3111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4">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4" w:lineRule="exact"/>
        <w:rPr>
          <w:sz w:val="20"/>
          <w:szCs w:val="20"/>
          <w:color w:val="auto"/>
        </w:rPr>
      </w:pPr>
    </w:p>
    <w:p>
      <w:pPr>
        <w:ind w:left="500" w:right="260" w:firstLine="6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the Black Hills Retirement Plan as amended and restated effective January 1, 2020, and as amended from time to time thereafter prior to the Effective Date.</w:t>
      </w:r>
    </w:p>
    <w:p>
      <w:pPr>
        <w:spacing w:after="0" w:line="37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400" w:right="539" w:bottom="1440" w:gutter="0" w:footer="0" w:header="0"/>
        </w:sectPr>
      </w:pPr>
    </w:p>
    <w:bookmarkStart w:id="173" w:name="page174"/>
    <w:bookmarkEnd w:id="173"/>
    <w:p>
      <w:pPr>
        <w:ind w:left="500" w:right="6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shall have the meaning ascribed to such term in Section 3(a)(9) of the Exchange Act and used in Sections 13(d) and 14(d) thereof, including a “group” as defined in Section 13(d).</w:t>
      </w:r>
    </w:p>
    <w:p>
      <w:pPr>
        <w:spacing w:after="0" w:line="165" w:lineRule="exact"/>
        <w:rPr>
          <w:sz w:val="20"/>
          <w:szCs w:val="20"/>
          <w:color w:val="auto"/>
        </w:rPr>
      </w:pPr>
    </w:p>
    <w:p>
      <w:pPr>
        <w:ind w:left="500" w:right="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PROTECTION PERIOD</w:t>
      </w:r>
      <w:r>
        <w:rPr>
          <w:rFonts w:ascii="Times New Roman" w:cs="Times New Roman" w:eastAsia="Times New Roman" w:hAnsi="Times New Roman"/>
          <w:sz w:val="20"/>
          <w:szCs w:val="20"/>
          <w:color w:val="auto"/>
        </w:rPr>
        <w:t>” means the time period beginning on the Effective Date and ending on the third annual anniversary of the Effective Date.</w:t>
      </w:r>
    </w:p>
    <w:p>
      <w:pPr>
        <w:spacing w:after="0" w:line="165" w:lineRule="exact"/>
        <w:rPr>
          <w:sz w:val="20"/>
          <w:szCs w:val="20"/>
          <w:color w:val="auto"/>
        </w:rPr>
      </w:pPr>
    </w:p>
    <w:p>
      <w:pPr>
        <w:ind w:left="520" w:right="140" w:hanging="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COMPANY</w:t>
      </w:r>
      <w:r>
        <w:rPr>
          <w:rFonts w:ascii="Times New Roman" w:cs="Times New Roman" w:eastAsia="Times New Roman" w:hAnsi="Times New Roman"/>
          <w:sz w:val="20"/>
          <w:szCs w:val="20"/>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193" w:lineRule="exact"/>
        <w:rPr>
          <w:sz w:val="20"/>
          <w:szCs w:val="20"/>
          <w:color w:val="auto"/>
        </w:rPr>
      </w:pPr>
    </w:p>
    <w:p>
      <w:pPr>
        <w:ind w:left="500" w:right="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“RESTORATION PLAN” </w:t>
      </w:r>
      <w:r>
        <w:rPr>
          <w:rFonts w:ascii="Times New Roman" w:cs="Times New Roman" w:eastAsia="Times New Roman" w:hAnsi="Times New Roman"/>
          <w:sz w:val="20"/>
          <w:szCs w:val="20"/>
          <w:color w:val="auto"/>
        </w:rPr>
        <w:t>means the Company’s Restoration Plan as in effect on January 1, 2022 and as amended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replaced from time to time thereafter prior to the Effective Date.</w:t>
      </w:r>
    </w:p>
    <w:p>
      <w:pPr>
        <w:spacing w:after="0" w:line="165" w:lineRule="exact"/>
        <w:rPr>
          <w:sz w:val="20"/>
          <w:szCs w:val="20"/>
          <w:color w:val="auto"/>
        </w:rPr>
      </w:pPr>
    </w:p>
    <w:p>
      <w:pPr>
        <w:ind w:left="500" w:right="660"/>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“RETIREE HEALTHCARE PLAN” </w:t>
      </w:r>
      <w:r>
        <w:rPr>
          <w:rFonts w:ascii="Times New Roman" w:cs="Times New Roman" w:eastAsia="Times New Roman" w:hAnsi="Times New Roman"/>
          <w:sz w:val="19"/>
          <w:szCs w:val="19"/>
          <w:color w:val="auto"/>
        </w:rPr>
        <w:t>means the Company’s Retiree Healthcare Plan as amended and restated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January 1, 2016, and as further amended from time to time thereafter prior to the Effective Date.</w:t>
      </w:r>
    </w:p>
    <w:p>
      <w:pPr>
        <w:spacing w:after="0" w:line="142" w:lineRule="exact"/>
        <w:rPr>
          <w:sz w:val="20"/>
          <w:szCs w:val="20"/>
          <w:color w:val="auto"/>
        </w:rPr>
      </w:pPr>
    </w:p>
    <w:p>
      <w:pPr>
        <w:ind w:left="500" w:right="2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RETIREMENT SAVINGS PLAN</w:t>
      </w:r>
      <w:r>
        <w:rPr>
          <w:rFonts w:ascii="Times New Roman" w:cs="Times New Roman" w:eastAsia="Times New Roman" w:hAnsi="Times New Roman"/>
          <w:sz w:val="20"/>
          <w:szCs w:val="20"/>
          <w:color w:val="auto"/>
        </w:rPr>
        <w:t>” means the Black Hills Corporation 401(k) Retirement Savings Plan (401K) as amended and restated effective January 1, 2022, and as further amended from time to time thereafter prior to the Effective Date.</w:t>
      </w:r>
    </w:p>
    <w:p>
      <w:pPr>
        <w:spacing w:after="0" w:line="182" w:lineRule="exact"/>
        <w:rPr>
          <w:sz w:val="20"/>
          <w:szCs w:val="20"/>
          <w:color w:val="auto"/>
        </w:rPr>
      </w:pPr>
    </w:p>
    <w:p>
      <w:pPr>
        <w:ind w:left="500" w:right="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SEVERANCE COMPENSATION</w:t>
      </w:r>
      <w:r>
        <w:rPr>
          <w:rFonts w:ascii="Times New Roman" w:cs="Times New Roman" w:eastAsia="Times New Roman" w:hAnsi="Times New Roman"/>
          <w:sz w:val="20"/>
          <w:szCs w:val="20"/>
          <w:color w:val="auto"/>
        </w:rPr>
        <w:t>” means the greater of: Employee’s base salary and annual incentive target on the day immediately prior to the (i) Effective Date; or (ii) Termination Date.</w:t>
      </w:r>
    </w:p>
    <w:p>
      <w:pPr>
        <w:spacing w:after="0" w:line="165" w:lineRule="exact"/>
        <w:rPr>
          <w:sz w:val="20"/>
          <w:szCs w:val="20"/>
          <w:color w:val="auto"/>
        </w:rPr>
      </w:pPr>
    </w:p>
    <w:p>
      <w:pPr>
        <w:ind w:left="500" w:right="1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corporation, partnership, limited liability company, joint venture, or other entity in which the Company has a majority voting interest.</w:t>
      </w:r>
    </w:p>
    <w:p>
      <w:pPr>
        <w:spacing w:after="0" w:line="165" w:lineRule="exact"/>
        <w:rPr>
          <w:sz w:val="20"/>
          <w:szCs w:val="20"/>
          <w:color w:val="auto"/>
        </w:rPr>
      </w:pPr>
    </w:p>
    <w:p>
      <w:pPr>
        <w:ind w:left="500" w:right="30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EMPLOYER</w:t>
      </w:r>
      <w:r>
        <w:rPr>
          <w:rFonts w:ascii="Times New Roman" w:cs="Times New Roman" w:eastAsia="Times New Roman" w:hAnsi="Times New Roman"/>
          <w:sz w:val="20"/>
          <w:szCs w:val="20"/>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82" w:lineRule="exact"/>
        <w:rPr>
          <w:sz w:val="20"/>
          <w:szCs w:val="20"/>
          <w:color w:val="auto"/>
        </w:rPr>
      </w:pPr>
    </w:p>
    <w:p>
      <w:pPr>
        <w:ind w:left="500" w:right="54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the date, subsequent to the Effective Date, of the Employee’s separation from service (as defined for purposes of Code Section 409A) with the Company and all Related Companies.</w:t>
      </w:r>
    </w:p>
    <w:p>
      <w:pPr>
        <w:spacing w:after="0" w:line="165" w:lineRule="exact"/>
        <w:rPr>
          <w:sz w:val="20"/>
          <w:szCs w:val="20"/>
          <w:color w:val="auto"/>
        </w:rPr>
      </w:pPr>
    </w:p>
    <w:p>
      <w:pPr>
        <w:ind w:left="500"/>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WELFARE BENEFITS</w:t>
      </w:r>
      <w:r>
        <w:rPr>
          <w:rFonts w:ascii="Times New Roman" w:cs="Times New Roman" w:eastAsia="Times New Roman" w:hAnsi="Times New Roman"/>
          <w:sz w:val="20"/>
          <w:szCs w:val="20"/>
          <w:color w:val="auto"/>
        </w:rPr>
        <w:t>” means the benefits provided under the Group Insurance Plan for the Employees of Black Hills Corporation and the Black Hills Corporation Employee Healthcare Plan, as the plans and the terms and conditions thereof exist on the day immediately prior to the Effective Date. For the avoidance of doubt, the term Welfare Benefits shall not include a “flexible spending arrangement” (within the meaning of Proposed Regulation Section 1.125-5(a) or subsequent authoritative guidance).</w:t>
      </w:r>
    </w:p>
    <w:p>
      <w:pPr>
        <w:spacing w:after="0" w:line="4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329" w:right="479" w:bottom="1440" w:gutter="0" w:footer="0" w:header="0"/>
        </w:sectPr>
      </w:pPr>
    </w:p>
    <w:bookmarkStart w:id="174" w:name="page175"/>
    <w:bookmarkEnd w:id="174"/>
    <w:p>
      <w:pPr>
        <w:ind w:left="747" w:hanging="747"/>
        <w:spacing w:after="0"/>
        <w:tabs>
          <w:tab w:leader="none" w:pos="747"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OF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140" w:firstLine="749"/>
        <w:spacing w:after="0" w:line="244" w:lineRule="auto"/>
        <w:rPr>
          <w:sz w:val="20"/>
          <w:szCs w:val="20"/>
          <w:color w:val="auto"/>
        </w:rPr>
      </w:pPr>
      <w:r>
        <w:rPr>
          <w:rFonts w:ascii="Times New Roman" w:cs="Times New Roman" w:eastAsia="Times New Roman" w:hAnsi="Times New Roman"/>
          <w:sz w:val="20"/>
          <w:szCs w:val="20"/>
          <w:color w:val="auto"/>
        </w:rPr>
        <w:t>The Term of this Agreement shall commence on the date of execution and shall continue in effect until November 15, 2025. If no Change in Control shall have occurred during the Term, this Agreement shall expire. If a Change in Control occurs during the Term, this Agreement shall remain in effect (including during the entire Protection Period) for full performance according to its terms. Upon expiration of the Term prior to a Change in Control, the Company, by action of its Board, may elect to renew or not renew this Agreement, or may offer to renew the Agreement subject to modifications of any term or condition, at its discretion. The Board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195" w:lineRule="exact"/>
        <w:rPr>
          <w:sz w:val="20"/>
          <w:szCs w:val="20"/>
          <w:color w:val="auto"/>
        </w:rPr>
      </w:pPr>
    </w:p>
    <w:p>
      <w:pPr>
        <w:ind w:left="747" w:hanging="747"/>
        <w:spacing w:after="0"/>
        <w:tabs>
          <w:tab w:leader="none" w:pos="747"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120" w:firstLine="749"/>
        <w:spacing w:after="0" w:line="263" w:lineRule="auto"/>
        <w:rPr>
          <w:sz w:val="20"/>
          <w:szCs w:val="20"/>
          <w:color w:val="auto"/>
        </w:rPr>
      </w:pPr>
      <w:r>
        <w:rPr>
          <w:rFonts w:ascii="Times New Roman" w:cs="Times New Roman" w:eastAsia="Times New Roman" w:hAnsi="Times New Roman"/>
          <w:sz w:val="19"/>
          <w:szCs w:val="19"/>
          <w:color w:val="auto"/>
        </w:rPr>
        <w:t>During the Protection Period the Company or Successor Employer agrees to continue to employ the Employee and the Employee agrees to remain in the employ of the Company or Successor Employer, subject to the provisions of this Agreement.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pacing w:after="0" w:line="180" w:lineRule="exact"/>
        <w:rPr>
          <w:sz w:val="20"/>
          <w:szCs w:val="20"/>
          <w:color w:val="auto"/>
        </w:rPr>
      </w:pPr>
    </w:p>
    <w:p>
      <w:pPr>
        <w:ind w:left="7" w:firstLine="749"/>
        <w:spacing w:after="0" w:line="243" w:lineRule="auto"/>
        <w:rPr>
          <w:sz w:val="20"/>
          <w:szCs w:val="20"/>
          <w:color w:val="auto"/>
        </w:rPr>
      </w:pPr>
      <w:r>
        <w:rPr>
          <w:rFonts w:ascii="Times New Roman" w:cs="Times New Roman" w:eastAsia="Times New Roman" w:hAnsi="Times New Roman"/>
          <w:sz w:val="20"/>
          <w:szCs w:val="20"/>
          <w:color w:val="auto"/>
        </w:rPr>
        <w:t>During the Protection Period, excluding paid-time-off or another approved leave of absence, Employee agrees to devote Employee’s full attention and time to the business and affairs of the Company to the extent necessary to discharge the responsibilities assigned to Employee hereunder and to comply with all material written policies of the Company.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In addition, if Employee serves on a public Board of Directors prior to the Effective Date, the Employee shall retain the right to continue to serve on that particular Board.</w:t>
      </w:r>
    </w:p>
    <w:p>
      <w:pPr>
        <w:spacing w:after="0" w:line="212" w:lineRule="exact"/>
        <w:rPr>
          <w:sz w:val="20"/>
          <w:szCs w:val="20"/>
          <w:color w:val="auto"/>
        </w:rPr>
      </w:pPr>
    </w:p>
    <w:p>
      <w:pPr>
        <w:ind w:left="747" w:hanging="747"/>
        <w:spacing w:after="0"/>
        <w:tabs>
          <w:tab w:leader="none" w:pos="747"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280" w:firstLine="749"/>
        <w:spacing w:after="0" w:line="249" w:lineRule="auto"/>
        <w:rPr>
          <w:sz w:val="20"/>
          <w:szCs w:val="20"/>
          <w:color w:val="auto"/>
        </w:rPr>
      </w:pPr>
      <w:r>
        <w:rPr>
          <w:rFonts w:ascii="Times New Roman" w:cs="Times New Roman" w:eastAsia="Times New Roman" w:hAnsi="Times New Roman"/>
          <w:sz w:val="20"/>
          <w:szCs w:val="20"/>
          <w:color w:val="auto"/>
        </w:rPr>
        <w:t>During the Protection Period, the Company agrees to pay or cause to be paid to 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396"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53" w:top="329" w:right="539" w:bottom="1440" w:gutter="0" w:footer="0" w:header="0"/>
        </w:sectPr>
      </w:pPr>
    </w:p>
    <w:bookmarkStart w:id="175" w:name="page176"/>
    <w:bookmarkEnd w:id="175"/>
    <w:p>
      <w:pPr>
        <w:ind w:left="748" w:hanging="747"/>
        <w:spacing w:after="0"/>
        <w:tabs>
          <w:tab w:leader="none" w:pos="748"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WELFARE AND PENSION BENEFITS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firstLine="749"/>
        <w:spacing w:after="0" w:line="243" w:lineRule="auto"/>
        <w:rPr>
          <w:sz w:val="20"/>
          <w:szCs w:val="20"/>
          <w:color w:val="auto"/>
        </w:rPr>
      </w:pPr>
      <w:r>
        <w:rPr>
          <w:rFonts w:ascii="Times New Roman" w:cs="Times New Roman" w:eastAsia="Times New Roman" w:hAnsi="Times New Roman"/>
          <w:sz w:val="20"/>
          <w:szCs w:val="20"/>
          <w:color w:val="auto"/>
        </w:rPr>
        <w:t xml:space="preserve">During the Protection Period, the Company shall provide to the Employee the Welfare Benefits (including Retiree Healthcare Plan credits for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the Pension Plan, or other substantially similar employee welfare and pension benefits, as available from time to time,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199" w:lineRule="exact"/>
        <w:rPr>
          <w:sz w:val="20"/>
          <w:szCs w:val="20"/>
          <w:color w:val="auto"/>
        </w:rPr>
      </w:pPr>
    </w:p>
    <w:p>
      <w:pPr>
        <w:ind w:left="748" w:hanging="748"/>
        <w:spacing w:after="0"/>
        <w:tabs>
          <w:tab w:leader="none" w:pos="748"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BENEFITS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748" w:right="120" w:firstLine="1"/>
        <w:spacing w:after="0" w:line="260" w:lineRule="auto"/>
        <w:tabs>
          <w:tab w:leader="none" w:pos="1546" w:val="left"/>
        </w:tabs>
        <w:numPr>
          <w:ilvl w:val="1"/>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 and Fringe Benefits and Paid-Time-Off</w:t>
      </w:r>
      <w:r>
        <w:rPr>
          <w:rFonts w:ascii="Times New Roman" w:cs="Times New Roman" w:eastAsia="Times New Roman" w:hAnsi="Times New Roman"/>
          <w:sz w:val="19"/>
          <w:szCs w:val="19"/>
          <w:color w:val="auto"/>
        </w:rPr>
        <w:t>. During the Protection Period, Employee shall be entitled to all executive and fringe benefits and paid-time-off generally made available by the Company, as applicable, to its executives or other employees. Unless otherwise provided herein, the executive and fringe benefits and paid-time-off provided to Employee during the Protection Period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186" w:lineRule="exact"/>
        <w:rPr>
          <w:sz w:val="20"/>
          <w:szCs w:val="20"/>
          <w:color w:val="auto"/>
        </w:rPr>
      </w:pPr>
    </w:p>
    <w:p>
      <w:pPr>
        <w:ind w:left="808" w:right="100" w:hanging="57"/>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b)Expenses</w:t>
      </w:r>
      <w:r>
        <w:rPr>
          <w:rFonts w:ascii="Times New Roman" w:cs="Times New Roman" w:eastAsia="Times New Roman" w:hAnsi="Times New Roman"/>
          <w:sz w:val="20"/>
          <w:szCs w:val="20"/>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All reimbursements under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will be paid as promptly as administratively practicable, but in no event later than by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20"/>
          <w:szCs w:val="20"/>
          <w:color w:val="auto"/>
        </w:rPr>
        <w:t xml:space="preserve"> of the year next following the calendar year in which the expense was incurred.</w:t>
      </w:r>
    </w:p>
    <w:p>
      <w:pPr>
        <w:spacing w:after="0" w:line="252" w:lineRule="exact"/>
        <w:rPr>
          <w:sz w:val="20"/>
          <w:szCs w:val="20"/>
          <w:color w:val="auto"/>
        </w:rPr>
      </w:pPr>
    </w:p>
    <w:p>
      <w:pPr>
        <w:ind w:left="728" w:right="20" w:firstLine="1"/>
        <w:spacing w:after="0" w:line="257" w:lineRule="auto"/>
        <w:tabs>
          <w:tab w:leader="none" w:pos="1524"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Times New Roman" w:cs="Times New Roman" w:eastAsia="Times New Roman" w:hAnsi="Times New Roman"/>
          <w:sz w:val="19"/>
          <w:szCs w:val="19"/>
          <w:u w:val="single" w:color="auto"/>
          <w:color w:val="auto"/>
        </w:rPr>
        <w:t>Section 7(c)</w:t>
      </w:r>
      <w:r>
        <w:rPr>
          <w:rFonts w:ascii="Times New Roman" w:cs="Times New Roman" w:eastAsia="Times New Roman" w:hAnsi="Times New Roman"/>
          <w:sz w:val="19"/>
          <w:szCs w:val="19"/>
          <w:color w:val="auto"/>
        </w:rPr>
        <w:t xml:space="preserve"> shall be made in accordance with the time specified under the Indemnity Agreement or D &amp; O coverage, but in no event later than by December 31</w:t>
      </w:r>
      <w:r>
        <w:rPr>
          <w:rFonts w:ascii="Times New Roman" w:cs="Times New Roman" w:eastAsia="Times New Roman" w:hAnsi="Times New Roman"/>
          <w:sz w:val="11"/>
          <w:szCs w:val="11"/>
          <w:color w:val="auto"/>
        </w:rPr>
        <w:t>st</w:t>
      </w:r>
      <w:r>
        <w:rPr>
          <w:rFonts w:ascii="Times New Roman" w:cs="Times New Roman" w:eastAsia="Times New Roman" w:hAnsi="Times New Roman"/>
          <w:sz w:val="19"/>
          <w:szCs w:val="19"/>
          <w:color w:val="auto"/>
        </w:rPr>
        <w:t xml:space="preserve"> of the year next following the year in which the expense was incurred.</w:t>
      </w:r>
    </w:p>
    <w:p>
      <w:pPr>
        <w:spacing w:after="0" w:line="392"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69850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52" w:top="329" w:right="539" w:bottom="1440" w:gutter="0" w:footer="0" w:header="0"/>
        </w:sectPr>
      </w:pPr>
    </w:p>
    <w:bookmarkStart w:id="176" w:name="page177"/>
    <w:bookmarkEnd w:id="176"/>
    <w:p>
      <w:pPr>
        <w:ind w:left="748" w:hanging="748"/>
        <w:spacing w:after="0"/>
        <w:tabs>
          <w:tab w:leader="none" w:pos="748"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7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the Protection Period, Employee’s employment hereunder may be terminated under the following circumstances:</w:t>
      </w:r>
    </w:p>
    <w:p>
      <w:pPr>
        <w:spacing w:after="0" w:line="229" w:lineRule="exact"/>
        <w:rPr>
          <w:rFonts w:ascii="Times New Roman" w:cs="Times New Roman" w:eastAsia="Times New Roman" w:hAnsi="Times New Roman"/>
          <w:sz w:val="20"/>
          <w:szCs w:val="20"/>
          <w:b w:val="1"/>
          <w:bCs w:val="1"/>
          <w:color w:val="auto"/>
        </w:rPr>
      </w:pPr>
    </w:p>
    <w:p>
      <w:pPr>
        <w:ind w:left="748" w:firstLine="1"/>
        <w:spacing w:after="0" w:line="241" w:lineRule="auto"/>
        <w:tabs>
          <w:tab w:leader="none" w:pos="1543"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The Company may terminate Employee’s employment for “Cause.” A termination of employment is for “Cause” if Employee (1) enters a guilty plea, pleads </w:t>
      </w:r>
      <w:r>
        <w:rPr>
          <w:rFonts w:ascii="Times New Roman" w:cs="Times New Roman" w:eastAsia="Times New Roman" w:hAnsi="Times New Roman"/>
          <w:sz w:val="20"/>
          <w:szCs w:val="20"/>
          <w:i w:val="1"/>
          <w:iCs w:val="1"/>
          <w:color w:val="auto"/>
        </w:rPr>
        <w:t>nolo contendre</w:t>
      </w:r>
      <w:r>
        <w:rPr>
          <w:rFonts w:ascii="Times New Roman" w:cs="Times New Roman" w:eastAsia="Times New Roman" w:hAnsi="Times New Roman"/>
          <w:sz w:val="20"/>
          <w:szCs w:val="20"/>
          <w:color w:val="auto"/>
        </w:rPr>
        <w:t xml:space="preserve"> to, or is convicted of a felony offense that is demonstrably injurious to the Company; (2) engages in misconduct which is demonstrably injurious to the Company, monetarily or otherwise; or (3)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209" w:lineRule="exact"/>
        <w:rPr>
          <w:rFonts w:ascii="Times New Roman" w:cs="Times New Roman" w:eastAsia="Times New Roman" w:hAnsi="Times New Roman"/>
          <w:sz w:val="20"/>
          <w:szCs w:val="20"/>
          <w:color w:val="auto"/>
        </w:rPr>
      </w:pPr>
    </w:p>
    <w:p>
      <w:pPr>
        <w:ind w:left="748" w:right="120" w:firstLine="1"/>
        <w:spacing w:after="0" w:line="246" w:lineRule="auto"/>
        <w:tabs>
          <w:tab w:leader="none" w:pos="1543"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Employee’s employment with the Company will terminate upon Employee’s death or upon the Employee’s Disability Date, as applicable. The Company or Successor Employer may terminate Employee’s employment as of or after the Employee’s Disability Date. Employee shall be entitled to the compensation and benefits provided for under this Agreement for any period during the Protection Period and prior to the Employee’s Disability Date, during which Employee is unable to work due to a physical or mental infirmity, and up to the Employee’s Disability Date.</w:t>
      </w:r>
    </w:p>
    <w:p>
      <w:pPr>
        <w:spacing w:after="0" w:line="198" w:lineRule="exact"/>
        <w:rPr>
          <w:rFonts w:ascii="Times New Roman" w:cs="Times New Roman" w:eastAsia="Times New Roman" w:hAnsi="Times New Roman"/>
          <w:sz w:val="20"/>
          <w:szCs w:val="20"/>
          <w:color w:val="auto"/>
        </w:rPr>
      </w:pPr>
    </w:p>
    <w:p>
      <w:pPr>
        <w:ind w:left="748" w:right="200" w:firstLine="1"/>
        <w:spacing w:after="0" w:line="254" w:lineRule="auto"/>
        <w:tabs>
          <w:tab w:leader="none" w:pos="153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The Employee may terminate employment for “Good Reason.” For purposes of this Agreement, “Good Reason” shall mean the occurrence after the Effective Date of any of the events or conditions described below, without Employee’s consent.</w:t>
      </w:r>
    </w:p>
    <w:p>
      <w:pPr>
        <w:spacing w:after="0" w:line="228" w:lineRule="exact"/>
        <w:rPr>
          <w:rFonts w:ascii="Times New Roman" w:cs="Times New Roman" w:eastAsia="Times New Roman" w:hAnsi="Times New Roman"/>
          <w:sz w:val="20"/>
          <w:szCs w:val="20"/>
          <w:color w:val="auto"/>
        </w:rPr>
      </w:pPr>
    </w:p>
    <w:p>
      <w:pPr>
        <w:ind w:left="1468" w:right="800" w:firstLine="9"/>
        <w:spacing w:after="0" w:line="269" w:lineRule="auto"/>
        <w:tabs>
          <w:tab w:leader="none" w:pos="255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of the Employee’s authority, duties, or responsibilities from those in effect immediately prior to the Effective Date;</w:t>
      </w:r>
    </w:p>
    <w:p>
      <w:pPr>
        <w:spacing w:after="0" w:line="172" w:lineRule="exact"/>
        <w:rPr>
          <w:rFonts w:ascii="Times New Roman" w:cs="Times New Roman" w:eastAsia="Times New Roman" w:hAnsi="Times New Roman"/>
          <w:sz w:val="20"/>
          <w:szCs w:val="20"/>
          <w:color w:val="auto"/>
        </w:rPr>
      </w:pPr>
    </w:p>
    <w:p>
      <w:pPr>
        <w:ind w:left="1468" w:right="240" w:firstLine="9"/>
        <w:spacing w:after="0" w:line="269" w:lineRule="auto"/>
        <w:tabs>
          <w:tab w:leader="none" w:pos="2596"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the Employee’s base salary or annual incentive target opportunity, excluding a temporary reduction in salary applicable to all similarly situated employees;</w:t>
      </w:r>
    </w:p>
    <w:p>
      <w:pPr>
        <w:spacing w:after="0" w:line="186" w:lineRule="exact"/>
        <w:rPr>
          <w:rFonts w:ascii="Times New Roman" w:cs="Times New Roman" w:eastAsia="Times New Roman" w:hAnsi="Times New Roman"/>
          <w:sz w:val="20"/>
          <w:szCs w:val="20"/>
          <w:color w:val="auto"/>
        </w:rPr>
      </w:pPr>
    </w:p>
    <w:p>
      <w:pPr>
        <w:ind w:left="2568" w:hanging="1091"/>
        <w:spacing w:after="0"/>
        <w:tabs>
          <w:tab w:leader="none" w:pos="256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by the Company of any provision of this Agreement, including, but not limited</w:t>
      </w:r>
    </w:p>
    <w:p>
      <w:pPr>
        <w:spacing w:after="0" w:line="22" w:lineRule="exact"/>
        <w:rPr>
          <w:sz w:val="20"/>
          <w:szCs w:val="20"/>
          <w:color w:val="auto"/>
        </w:rPr>
      </w:pPr>
    </w:p>
    <w:p>
      <w:pPr>
        <w:ind w:left="1468" w:right="260"/>
        <w:spacing w:after="0" w:line="246" w:lineRule="auto"/>
        <w:rPr>
          <w:sz w:val="20"/>
          <w:szCs w:val="20"/>
          <w:color w:val="auto"/>
        </w:rPr>
      </w:pPr>
      <w:r>
        <w:rPr>
          <w:rFonts w:ascii="Times New Roman" w:cs="Times New Roman" w:eastAsia="Times New Roman" w:hAnsi="Times New Roman"/>
          <w:sz w:val="20"/>
          <w:szCs w:val="20"/>
          <w:color w:val="auto"/>
        </w:rPr>
        <w:t xml:space="preserve">to, the Company’s failure to provide the Employee Welfare and Pension Benefits or Restoration Plan benefits, as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provided that such failure constitutes a material breach under </w:t>
      </w:r>
      <w:r>
        <w:rPr>
          <w:rFonts w:ascii="Times New Roman" w:cs="Times New Roman" w:eastAsia="Times New Roman" w:hAnsi="Times New Roman"/>
          <w:sz w:val="20"/>
          <w:szCs w:val="20"/>
          <w:u w:val="single" w:color="auto"/>
          <w:color w:val="auto"/>
        </w:rPr>
        <w:t>subsection 8(c)(v)</w:t>
      </w:r>
      <w:r>
        <w:rPr>
          <w:rFonts w:ascii="Times New Roman" w:cs="Times New Roman" w:eastAsia="Times New Roman" w:hAnsi="Times New Roman"/>
          <w:sz w:val="20"/>
          <w:szCs w:val="20"/>
          <w:color w:val="auto"/>
        </w:rPr>
        <w:t>;</w:t>
      </w:r>
    </w:p>
    <w:p>
      <w:pPr>
        <w:spacing w:after="0" w:line="398"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69850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8"/>
          </w:cols>
          <w:pgMar w:left="432" w:top="329" w:right="539" w:bottom="1440" w:gutter="0" w:footer="0" w:header="0"/>
        </w:sectPr>
      </w:pPr>
    </w:p>
    <w:bookmarkStart w:id="177" w:name="page178"/>
    <w:bookmarkEnd w:id="177"/>
    <w:p>
      <w:pPr>
        <w:ind w:left="1488" w:right="400" w:hanging="5"/>
        <w:spacing w:after="0" w:line="274" w:lineRule="auto"/>
        <w:tabs>
          <w:tab w:leader="none" w:pos="260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237" w:lineRule="exact"/>
        <w:rPr>
          <w:rFonts w:ascii="Times New Roman" w:cs="Times New Roman" w:eastAsia="Times New Roman" w:hAnsi="Times New Roman"/>
          <w:sz w:val="19"/>
          <w:szCs w:val="19"/>
          <w:color w:val="auto"/>
        </w:rPr>
      </w:pPr>
    </w:p>
    <w:p>
      <w:pPr>
        <w:ind w:left="1468" w:right="160" w:firstLine="9"/>
        <w:spacing w:after="0" w:line="246" w:lineRule="auto"/>
        <w:tabs>
          <w:tab w:leader="none" w:pos="25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28" w:right="10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In order to effectuate a termination for Good Reason under this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the Employee shall, within ninety (90) days after the initial existence of the condition, deliver written Notice of Termination to the Company stating the grounds for Good Reason in support of termination and specifying the Termination Date, which shall be (A) not earlier than thirty (30) days after giving the Notice of Termination, and (B) not later than one hundred eighty (180) days after giving the Notice of Termination or the last day of the Protection Period.</w:t>
      </w:r>
    </w:p>
    <w:p>
      <w:pPr>
        <w:spacing w:after="0" w:line="266" w:lineRule="exact"/>
        <w:rPr>
          <w:sz w:val="20"/>
          <w:szCs w:val="20"/>
          <w:color w:val="auto"/>
        </w:rPr>
      </w:pPr>
    </w:p>
    <w:p>
      <w:pPr>
        <w:ind w:left="728" w:right="180" w:firstLine="666"/>
        <w:spacing w:after="0" w:line="249" w:lineRule="auto"/>
        <w:rPr>
          <w:sz w:val="20"/>
          <w:szCs w:val="20"/>
          <w:color w:val="auto"/>
        </w:rPr>
      </w:pPr>
      <w:r>
        <w:rPr>
          <w:rFonts w:ascii="Times New Roman" w:cs="Times New Roman" w:eastAsia="Times New Roman" w:hAnsi="Times New Roman"/>
          <w:sz w:val="20"/>
          <w:szCs w:val="20"/>
          <w:color w:val="auto"/>
        </w:rPr>
        <w:t xml:space="preserve">The Company may, within thirty (30) days after receipt of such Notice of Termination, remedy the condition, in which case the Good Reason for termination shall be deemed not to have occurred. For purposes of determining the amount of any cash payment payable to the Employee in accordance with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any reduction in compensation or benefit that would constitute Good Reason hereunder shall be deemed not to have occurred.</w:t>
      </w:r>
    </w:p>
    <w:p>
      <w:pPr>
        <w:spacing w:after="0" w:line="193" w:lineRule="exact"/>
        <w:rPr>
          <w:sz w:val="20"/>
          <w:szCs w:val="20"/>
          <w:color w:val="auto"/>
        </w:rPr>
      </w:pPr>
    </w:p>
    <w:p>
      <w:pPr>
        <w:jc w:val="both"/>
        <w:ind w:left="748" w:right="400" w:hanging="9"/>
        <w:spacing w:after="0" w:line="254" w:lineRule="auto"/>
        <w:tabs>
          <w:tab w:leader="none" w:pos="142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The Company may terminate Employee’s employment without Cause upon written Notice of Termination to Employee. Employee may terminate Employee’s employment without Good Reason upon written Notice of Termination to Employee.</w:t>
      </w:r>
    </w:p>
    <w:p>
      <w:pPr>
        <w:spacing w:after="0" w:line="183" w:lineRule="exact"/>
        <w:rPr>
          <w:rFonts w:ascii="Times New Roman" w:cs="Times New Roman" w:eastAsia="Times New Roman" w:hAnsi="Times New Roman"/>
          <w:sz w:val="20"/>
          <w:szCs w:val="20"/>
          <w:color w:val="auto"/>
        </w:rPr>
      </w:pPr>
    </w:p>
    <w:p>
      <w:pPr>
        <w:ind w:left="748" w:hanging="748"/>
        <w:spacing w:after="0"/>
        <w:tabs>
          <w:tab w:leader="none" w:pos="748"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UPON TERMINATION.</w:t>
      </w:r>
    </w:p>
    <w:p>
      <w:pPr>
        <w:spacing w:after="0" w:line="219" w:lineRule="exact"/>
        <w:rPr>
          <w:rFonts w:ascii="Times New Roman" w:cs="Times New Roman" w:eastAsia="Times New Roman" w:hAnsi="Times New Roman"/>
          <w:sz w:val="20"/>
          <w:szCs w:val="20"/>
          <w:b w:val="1"/>
          <w:bCs w:val="1"/>
          <w:color w:val="auto"/>
        </w:rPr>
      </w:pPr>
    </w:p>
    <w:p>
      <w:pPr>
        <w:ind w:left="7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Upon termination of Employee’s employment effective during the Protection Period, Employee shall be entitled to the following</w:t>
      </w:r>
    </w:p>
    <w:p>
      <w:pPr>
        <w:spacing w:after="0" w:line="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compensation and benefits:</w:t>
      </w:r>
    </w:p>
    <w:p>
      <w:pPr>
        <w:spacing w:after="0" w:line="207" w:lineRule="exact"/>
        <w:rPr>
          <w:sz w:val="20"/>
          <w:szCs w:val="20"/>
          <w:color w:val="auto"/>
        </w:rPr>
      </w:pPr>
    </w:p>
    <w:p>
      <w:pPr>
        <w:ind w:left="768" w:hanging="10"/>
        <w:spacing w:after="0" w:line="242" w:lineRule="auto"/>
        <w:tabs>
          <w:tab w:leader="none" w:pos="156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Employee’s employment with the Company shall be terminated (i) by the Company for Cause or Disability, or (ii) by reason of Employee’s death, or (iii) by Employee without “Good Reason” pursuant to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paid-time-off (collectively “</w:t>
      </w:r>
      <w:r>
        <w:rPr>
          <w:rFonts w:ascii="Times New Roman" w:cs="Times New Roman" w:eastAsia="Times New Roman" w:hAnsi="Times New Roman"/>
          <w:sz w:val="20"/>
          <w:szCs w:val="20"/>
          <w:b w:val="1"/>
          <w:b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each in accordance with the applicable policies, plans and practices of the Company.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if the Employee’s employment is terminated by the Company for Disability or by reason of the Employee’s death, the Company shall pay to the Employee or Employee’s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pacing w:after="0" w:line="200" w:lineRule="exact"/>
        <w:rPr>
          <w:sz w:val="20"/>
          <w:szCs w:val="20"/>
          <w:color w:val="auto"/>
        </w:rPr>
      </w:pPr>
    </w:p>
    <w:p>
      <w:pPr>
        <w:spacing w:after="0" w:line="203"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69850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8"/>
          </w:cols>
          <w:pgMar w:left="432" w:top="400" w:right="519" w:bottom="1440" w:gutter="0" w:footer="0" w:header="0"/>
        </w:sectPr>
      </w:pPr>
    </w:p>
    <w:bookmarkStart w:id="178" w:name="page179"/>
    <w:bookmarkEnd w:id="178"/>
    <w:p>
      <w:pPr>
        <w:ind w:left="4" w:right="40" w:hanging="4"/>
        <w:spacing w:after="0" w:line="254" w:lineRule="auto"/>
        <w:tabs>
          <w:tab w:leader="none" w:pos="79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187" w:lineRule="exact"/>
        <w:rPr>
          <w:rFonts w:ascii="Times New Roman" w:cs="Times New Roman" w:eastAsia="Times New Roman" w:hAnsi="Times New Roman"/>
          <w:sz w:val="20"/>
          <w:szCs w:val="20"/>
          <w:color w:val="auto"/>
        </w:rPr>
      </w:pPr>
    </w:p>
    <w:p>
      <w:pPr>
        <w:ind w:left="724" w:right="760" w:firstLine="8"/>
        <w:spacing w:after="0" w:line="254" w:lineRule="auto"/>
        <w:tabs>
          <w:tab w:leader="none" w:pos="1840"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187" w:lineRule="exact"/>
        <w:rPr>
          <w:rFonts w:ascii="Times New Roman" w:cs="Times New Roman" w:eastAsia="Times New Roman" w:hAnsi="Times New Roman"/>
          <w:sz w:val="20"/>
          <w:szCs w:val="20"/>
          <w:color w:val="auto"/>
        </w:rPr>
      </w:pPr>
    </w:p>
    <w:p>
      <w:pPr>
        <w:ind w:left="724" w:right="60" w:firstLine="8"/>
        <w:spacing w:after="0" w:line="249" w:lineRule="auto"/>
        <w:tabs>
          <w:tab w:leader="none" w:pos="1853"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Employee, in lieu of any further compensation for periods subsequent to the Termination Date, a lump sum severance payment, in cash, in an amount equal to 2.99 times (2.99x) the Employee’s Severance Compensation. The lump sum severance payment described in this paragraph shall be paid within sixty (60) days after the Termination Date.</w:t>
      </w:r>
    </w:p>
    <w:p>
      <w:pPr>
        <w:spacing w:after="0" w:line="193" w:lineRule="exact"/>
        <w:rPr>
          <w:rFonts w:ascii="Times New Roman" w:cs="Times New Roman" w:eastAsia="Times New Roman" w:hAnsi="Times New Roman"/>
          <w:sz w:val="20"/>
          <w:szCs w:val="20"/>
          <w:color w:val="auto"/>
        </w:rPr>
      </w:pPr>
    </w:p>
    <w:p>
      <w:pPr>
        <w:ind w:left="724" w:right="240" w:firstLine="8"/>
        <w:spacing w:after="0" w:line="244" w:lineRule="auto"/>
        <w:tabs>
          <w:tab w:leader="none" w:pos="1853" w:val="left"/>
        </w:tabs>
        <w:numPr>
          <w:ilvl w:val="2"/>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of receiving payments and benefits provided in this </w:t>
      </w:r>
      <w:r>
        <w:rPr>
          <w:rFonts w:ascii="Times New Roman" w:cs="Times New Roman" w:eastAsia="Times New Roman" w:hAnsi="Times New Roman"/>
          <w:sz w:val="20"/>
          <w:szCs w:val="20"/>
          <w:u w:val="single" w:color="auto"/>
          <w:color w:val="auto"/>
        </w:rPr>
        <w:t>subsection 9(b) other than 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Employee shall execute and deliver to Company or Successor Employer the Waiver and Release Agreement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xml:space="preserve">”) in substantially the same form as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199" w:lineRule="exact"/>
        <w:rPr>
          <w:rFonts w:ascii="Times New Roman" w:cs="Times New Roman" w:eastAsia="Times New Roman" w:hAnsi="Times New Roman"/>
          <w:sz w:val="20"/>
          <w:szCs w:val="20"/>
          <w:color w:val="auto"/>
        </w:rPr>
      </w:pPr>
    </w:p>
    <w:p>
      <w:pPr>
        <w:ind w:left="704" w:firstLine="9"/>
        <w:spacing w:after="0" w:line="241" w:lineRule="auto"/>
        <w:tabs>
          <w:tab w:leader="none" w:pos="1839"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shall have the same rights as any other similarly situated terminated employee under the Black Hills Corporation Employee Health Care Plan, Group Insurance Plan for the Employees of Black Hills Corporation, and/or Black Hills Corporation Employee Flexible Benefits Plan (the “Plans”). In addition, if Employee, prior to the Termination Date, was enrolled in the medical, dental, vision, employee assistance program (“EAP”) and/or executive physical program (“EPP”) benefits (the “Benefits”) provided under the Plans (or successors thereto), the Company or the Successor Employer, or any affiliate of the Successor Employer as determined under the rules of Code Sections 414(b) and (c), shall at its expense continue on behalf of Employee and Employee’s dependents, if dependents were enrolled prior to the Termination Date, for a period of eighteen (18) months following the Termination Date, the benefits no less favorable than the benefit levels and coverage provided to and enrolled by the Employee prior to the Termination Date. Employee shall pay the employee portion of applicable premiums required to be paid by similarly situated active employees (or retired employees in the case that the Employee is retired) of the Company. At its election, the Company may provide Employee and Employee’s dependents with taxable cash in the amount of the value of equivalent benefits outside the Welfare Benefits plans. The Company’s obligation with respect to the foregoing benefit shall be discontinued in the event that Employee becomes eligible for health, dental or vision benefits of a subsequent employer. For purposes of this provision, Employee shall have a duty to inform Company as to the terms and conditions of any subsequent employment and the corresponding benefits the Employee is eligible for in connection with such employment. To the extent required to avoid accelerated taxation and/or tax penalties under Code Section 409A, amounts reimbursable to Employee under this Agreement shall be paid to Employee on or before the last day of the year following the year in which the expense was incurred and the amount of expenses eligible for reimbursement (and in-kind benefits provided to Employee) during one year may not</w:t>
      </w:r>
    </w:p>
    <w:p>
      <w:pPr>
        <w:spacing w:after="0" w:line="18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69850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4"/>
          </w:cols>
          <w:pgMar w:left="1196" w:top="333" w:right="499"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20"/>
          <w:szCs w:val="20"/>
          <w:color w:val="auto"/>
        </w:rPr>
        <w:t>affect amounts reimbursable or provided in any subsequent year.</w:t>
      </w:r>
    </w:p>
    <w:p>
      <w:pPr>
        <w:spacing w:after="0" w:line="283" w:lineRule="exact"/>
        <w:rPr>
          <w:sz w:val="20"/>
          <w:szCs w:val="20"/>
          <w:color w:val="auto"/>
        </w:rPr>
      </w:pPr>
    </w:p>
    <w:p>
      <w:pPr>
        <w:ind w:left="460" w:right="40" w:firstLine="10"/>
        <w:spacing w:after="0" w:line="243" w:lineRule="auto"/>
        <w:tabs>
          <w:tab w:leader="none" w:pos="157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was eligible for the Retiree Healthcare Plan immediately prior to a Change in Control, then as of Employee’s Termination Date, the Employee’s benefit under the Retiree Healthcare Plan shall be determined as if (i) Employee had completed an additional three (3) Years of Plan Participation (as defined in the Retiree Healthcare Plan), and (ii) Employee were three (3) years older for determining eligibility for plan benefits. Furthermore, if the Employee is not eligible for benefits after the age and participation adjustment, then the Retirement Medical Savings Account (after adjustment for three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w:t>
      </w:r>
    </w:p>
    <w:p>
      <w:pPr>
        <w:spacing w:after="0" w:line="199" w:lineRule="exact"/>
        <w:rPr>
          <w:rFonts w:ascii="Times New Roman" w:cs="Times New Roman" w:eastAsia="Times New Roman" w:hAnsi="Times New Roman"/>
          <w:sz w:val="20"/>
          <w:szCs w:val="20"/>
          <w:color w:val="auto"/>
        </w:rPr>
      </w:pPr>
    </w:p>
    <w:p>
      <w:pPr>
        <w:ind w:left="460" w:right="40" w:firstLine="66"/>
        <w:spacing w:after="0" w:line="244" w:lineRule="auto"/>
        <w:tabs>
          <w:tab w:leader="none" w:pos="163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Employee was a participant in the Restoration Plan and the Pension Plan immediately prior to a Change in Control, then as of Employee’s Termination Date, Employee’s Restoration Plan benefit shall be determined as if (i) Employee completed three (3) additional years of Credited Service under the Pension Plan, and (ii) the Employee received Annual Compensation during each additional year of Credited Service. For purposes of this </w:t>
      </w:r>
      <w:r>
        <w:rPr>
          <w:rFonts w:ascii="Times New Roman" w:cs="Times New Roman" w:eastAsia="Times New Roman" w:hAnsi="Times New Roman"/>
          <w:sz w:val="20"/>
          <w:szCs w:val="20"/>
          <w:u w:val="single" w:color="auto"/>
          <w:color w:val="auto"/>
        </w:rPr>
        <w:t>subsection 9(b)(vi)</w:t>
      </w:r>
      <w:r>
        <w:rPr>
          <w:rFonts w:ascii="Times New Roman" w:cs="Times New Roman" w:eastAsia="Times New Roman" w:hAnsi="Times New Roman"/>
          <w:sz w:val="20"/>
          <w:szCs w:val="20"/>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199" w:lineRule="exact"/>
        <w:rPr>
          <w:sz w:val="20"/>
          <w:szCs w:val="20"/>
          <w:color w:val="auto"/>
        </w:rPr>
      </w:pPr>
    </w:p>
    <w:p>
      <w:pPr>
        <w:ind w:left="460" w:firstLine="749"/>
        <w:spacing w:after="0" w:line="269" w:lineRule="auto"/>
        <w:rPr>
          <w:sz w:val="20"/>
          <w:szCs w:val="20"/>
          <w:color w:val="auto"/>
        </w:rPr>
      </w:pPr>
      <w:r>
        <w:rPr>
          <w:rFonts w:ascii="Times New Roman" w:cs="Times New Roman" w:eastAsia="Times New Roman" w:hAnsi="Times New Roman"/>
          <w:sz w:val="20"/>
          <w:szCs w:val="20"/>
          <w:color w:val="auto"/>
        </w:rPr>
        <w:t>Furthermore, the Employee shall be made 100% vested for purposes of the Restoration Plan, if the Employee is a participant in such plan (for purposes of this subsection) and is not already fully vested.</w:t>
      </w:r>
    </w:p>
    <w:p>
      <w:pPr>
        <w:spacing w:after="0" w:line="173" w:lineRule="exact"/>
        <w:rPr>
          <w:sz w:val="20"/>
          <w:szCs w:val="20"/>
          <w:color w:val="auto"/>
        </w:rPr>
      </w:pPr>
    </w:p>
    <w:p>
      <w:pPr>
        <w:ind w:left="460" w:right="80" w:firstLine="9"/>
        <w:spacing w:after="0" w:line="244" w:lineRule="auto"/>
        <w:tabs>
          <w:tab w:leader="none" w:pos="119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three (3) additional Plan Years of participation and earned the related Supplemental Matching Contributions, Supplemental Retirement Contributions, and Supplemental Target Contributions (all as defined in the Nonqualified Deferred Compensation Plan); no investment earnings shall be attributed for this additional period, and (ii) Employee received Annual Compensation during each additional Plan Year of participation.</w:t>
      </w: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440" w:top="333" w:right="599" w:bottom="1440" w:gutter="0" w:footer="0" w:header="0"/>
        </w:sectPr>
      </w:pPr>
    </w:p>
    <w:bookmarkStart w:id="180" w:name="page181"/>
    <w:bookmarkEnd w:id="180"/>
    <w:p>
      <w:pPr>
        <w:ind w:left="1447" w:firstLine="674"/>
        <w:spacing w:after="0" w:line="242"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subsection 9(b)(vii)</w:t>
      </w:r>
      <w:r>
        <w:rPr>
          <w:rFonts w:ascii="Times New Roman" w:cs="Times New Roman" w:eastAsia="Times New Roman" w:hAnsi="Times New Roman"/>
          <w:sz w:val="20"/>
          <w:szCs w:val="20"/>
          <w:color w:val="auto"/>
        </w:rPr>
        <w:t>, the additional contributions under the Nonqualified Deferred Compensation Plan (Supplemental Matching Contributions, Supplemental Retirement Contributions, and Supplemental Target Contributions) shall be determined without regard to any offsets from the Retirement Savings Plan. (This has the same effect as if the Supplemental Matching Contributions and Supplemental Retirement Contributions were determined on total pay rather than only on pay over IRS pay limits.) Notwithstanding any provision herein to the contrary, if the Employee is a “specified employee” (as defined for purposes of Code Section 409A), no payment of any amount under this Section 9 that constitutes deferred compensation subject to Code Section 409A shall be made before the date which is six (6) months after the date of the Employee’s Termination Date, or such earlier date upon which such amount can be paid or provided under Code Section 409A without being subject to additional taxes thereunder. To the extent that the Agreement provides for such nonqualified deferred compensation, it is intended to be compliant with Code Section 409A, and shall be interpreted and administered accordingly.</w:t>
      </w:r>
    </w:p>
    <w:p>
      <w:pPr>
        <w:spacing w:after="0" w:line="199" w:lineRule="exact"/>
        <w:rPr>
          <w:sz w:val="20"/>
          <w:szCs w:val="20"/>
          <w:color w:val="auto"/>
        </w:rPr>
      </w:pPr>
    </w:p>
    <w:p>
      <w:pPr>
        <w:ind w:left="747" w:hanging="747"/>
        <w:spacing w:after="0"/>
        <w:tabs>
          <w:tab w:leader="none" w:pos="747"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MITIGATION OBLIGATION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540" w:firstLine="749"/>
        <w:spacing w:after="0" w:line="254" w:lineRule="auto"/>
        <w:rPr>
          <w:sz w:val="20"/>
          <w:szCs w:val="20"/>
          <w:color w:val="auto"/>
        </w:rPr>
      </w:pPr>
      <w:r>
        <w:rPr>
          <w:rFonts w:ascii="Times New Roman" w:cs="Times New Roman" w:eastAsia="Times New Roman" w:hAnsi="Times New Roman"/>
          <w:sz w:val="20"/>
          <w:szCs w:val="20"/>
          <w:color w:val="auto"/>
        </w:rPr>
        <w:t xml:space="preserve">Employee shall not be required to mitigate the amount of any payment provided for in this Agreement by seeking other employment or otherwise, and except as provided in </w:t>
      </w:r>
      <w:r>
        <w:rPr>
          <w:rFonts w:ascii="Times New Roman" w:cs="Times New Roman" w:eastAsia="Times New Roman" w:hAnsi="Times New Roman"/>
          <w:sz w:val="20"/>
          <w:szCs w:val="20"/>
          <w:u w:val="single" w:color="auto"/>
          <w:color w:val="auto"/>
        </w:rPr>
        <w:t>Section 9(b)(iv)</w:t>
      </w:r>
      <w:r>
        <w:rPr>
          <w:rFonts w:ascii="Times New Roman" w:cs="Times New Roman" w:eastAsia="Times New Roman" w:hAnsi="Times New Roman"/>
          <w:sz w:val="20"/>
          <w:szCs w:val="20"/>
          <w:color w:val="auto"/>
        </w:rPr>
        <w:t>, such payments shall not be reduced whether or not Employee obtains other employment.</w:t>
      </w:r>
    </w:p>
    <w:p>
      <w:pPr>
        <w:spacing w:after="0" w:line="184" w:lineRule="exact"/>
        <w:rPr>
          <w:sz w:val="20"/>
          <w:szCs w:val="20"/>
          <w:color w:val="auto"/>
        </w:rPr>
      </w:pPr>
    </w:p>
    <w:p>
      <w:pPr>
        <w:ind w:left="747" w:hanging="747"/>
        <w:spacing w:after="0"/>
        <w:tabs>
          <w:tab w:leader="none" w:pos="747"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EFFECT</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 w:right="40" w:firstLine="749"/>
        <w:spacing w:after="0" w:line="254" w:lineRule="auto"/>
        <w:rPr>
          <w:sz w:val="20"/>
          <w:szCs w:val="20"/>
          <w:color w:val="auto"/>
        </w:rPr>
      </w:pPr>
      <w:r>
        <w:rPr>
          <w:rFonts w:ascii="Times New Roman" w:cs="Times New Roman" w:eastAsia="Times New Roman" w:hAnsi="Times New Roman"/>
          <w:sz w:val="20"/>
          <w:szCs w:val="20"/>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188"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0"/>
          <w:szCs w:val="20"/>
          <w:color w:val="auto"/>
        </w:rPr>
        <w:t>Notwithstanding anything in this Agreement or any written or unwritten policy of the Company to the contrary, if it shall be</w:t>
      </w:r>
    </w:p>
    <w:p>
      <w:pPr>
        <w:spacing w:after="0" w:line="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determined that any payment or distribution by the Company to or for the benefit of the Employee, whether paid or payable or distributed</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or distributable pursuant to the terms of this Agreement, any other agreement between the Company and the Employee or otherwise (a</w:t>
      </w:r>
    </w:p>
    <w:p>
      <w:pPr>
        <w:ind w:left="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Payments</w:t>
      </w:r>
      <w:r>
        <w:rPr>
          <w:rFonts w:ascii="Times New Roman" w:cs="Times New Roman" w:eastAsia="Times New Roman" w:hAnsi="Times New Roman"/>
          <w:sz w:val="20"/>
          <w:szCs w:val="20"/>
          <w:color w:val="auto"/>
        </w:rPr>
        <w:t>”), would constitute a parachute payment (“</w:t>
      </w:r>
      <w:r>
        <w:rPr>
          <w:rFonts w:ascii="Times New Roman" w:cs="Times New Roman" w:eastAsia="Times New Roman" w:hAnsi="Times New Roman"/>
          <w:sz w:val="20"/>
          <w:szCs w:val="20"/>
          <w:b w:val="1"/>
          <w:bCs w:val="1"/>
          <w:color w:val="auto"/>
        </w:rPr>
        <w:t>Parachute Payment</w:t>
      </w:r>
      <w:r>
        <w:rPr>
          <w:rFonts w:ascii="Times New Roman" w:cs="Times New Roman" w:eastAsia="Times New Roman" w:hAnsi="Times New Roman"/>
          <w:sz w:val="20"/>
          <w:szCs w:val="20"/>
          <w:color w:val="auto"/>
        </w:rPr>
        <w:t>”) within the meaning of Section 280G of the</w:t>
      </w:r>
    </w:p>
    <w:p>
      <w:pPr>
        <w:ind w:left="7"/>
        <w:spacing w:after="0"/>
        <w:rPr>
          <w:sz w:val="20"/>
          <w:szCs w:val="20"/>
          <w:color w:val="auto"/>
        </w:rPr>
      </w:pPr>
      <w:r>
        <w:rPr>
          <w:rFonts w:ascii="Times New Roman" w:cs="Times New Roman" w:eastAsia="Times New Roman" w:hAnsi="Times New Roman"/>
          <w:sz w:val="19"/>
          <w:szCs w:val="19"/>
          <w:color w:val="auto"/>
        </w:rPr>
        <w:t xml:space="preserve">Code and would, but for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be subject to the excise tax imposed under Section 4999 of the Code (or any successor provision</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thereto) or any similar tax imposed by state or local law or any interest or penalties with respect to such taxes (collectively, the “</w:t>
      </w:r>
      <w:r>
        <w:rPr>
          <w:rFonts w:ascii="Times New Roman" w:cs="Times New Roman" w:eastAsia="Times New Roman" w:hAnsi="Times New Roman"/>
          <w:sz w:val="20"/>
          <w:szCs w:val="20"/>
          <w:b w:val="1"/>
          <w:bCs w:val="1"/>
          <w:color w:val="auto"/>
        </w:rPr>
        <w:t>Excise</w:t>
      </w:r>
    </w:p>
    <w:p>
      <w:pPr>
        <w:ind w:left="7"/>
        <w:spacing w:after="0"/>
        <w:rPr>
          <w:sz w:val="20"/>
          <w:szCs w:val="20"/>
          <w:color w:val="auto"/>
        </w:rPr>
      </w:pP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then prior to making the Payments, a calculation shall be made comparing (i) the Net Benefit (as defined below) to the Employee</w:t>
      </w:r>
    </w:p>
    <w:p>
      <w:pPr>
        <w:ind w:left="7"/>
        <w:spacing w:after="0"/>
        <w:rPr>
          <w:sz w:val="20"/>
          <w:szCs w:val="20"/>
          <w:color w:val="auto"/>
        </w:rPr>
      </w:pPr>
      <w:r>
        <w:rPr>
          <w:rFonts w:ascii="Times New Roman" w:cs="Times New Roman" w:eastAsia="Times New Roman" w:hAnsi="Times New Roman"/>
          <w:sz w:val="20"/>
          <w:szCs w:val="20"/>
          <w:color w:val="auto"/>
        </w:rPr>
        <w:t>of the Payments after payment of the Excise Tax to (ii) the Net Benefit to the Employee if the Payments are limited to the extent</w:t>
      </w:r>
    </w:p>
    <w:p>
      <w:pPr>
        <w:ind w:left="7"/>
        <w:spacing w:after="0"/>
        <w:rPr>
          <w:sz w:val="20"/>
          <w:szCs w:val="20"/>
          <w:color w:val="auto"/>
        </w:rPr>
      </w:pPr>
      <w:r>
        <w:rPr>
          <w:rFonts w:ascii="Times New Roman" w:cs="Times New Roman" w:eastAsia="Times New Roman" w:hAnsi="Times New Roman"/>
          <w:sz w:val="19"/>
          <w:szCs w:val="19"/>
          <w:color w:val="auto"/>
        </w:rPr>
        <w:t>necessary to avoid being subject to the Excise Tax. Only if the amount calculated under (i) above is less than the amount under (ii) above</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will the Payments be reduced to the minimum extent necessary to ensure that no portion of the Payments is subject to the Excise Tax.</w:t>
      </w:r>
    </w:p>
    <w:p>
      <w:pPr>
        <w:ind w:left="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Benefit</w:t>
      </w:r>
      <w:r>
        <w:rPr>
          <w:rFonts w:ascii="Times New Roman" w:cs="Times New Roman" w:eastAsia="Times New Roman" w:hAnsi="Times New Roman"/>
          <w:sz w:val="20"/>
          <w:szCs w:val="20"/>
          <w:color w:val="auto"/>
        </w:rPr>
        <w:t>” shall mean the present value of the Payments net of all federal, state, local, foreign income, employment and excise taxes.</w:t>
      </w:r>
    </w:p>
    <w:p>
      <w:pPr>
        <w:ind w:left="7"/>
        <w:spacing w:after="0"/>
        <w:rPr>
          <w:sz w:val="20"/>
          <w:szCs w:val="20"/>
          <w:color w:val="auto"/>
        </w:rPr>
      </w:pPr>
      <w:r>
        <w:rPr>
          <w:rFonts w:ascii="Times New Roman" w:cs="Times New Roman" w:eastAsia="Times New Roman" w:hAnsi="Times New Roman"/>
          <w:sz w:val="20"/>
          <w:szCs w:val="20"/>
          <w:color w:val="auto"/>
        </w:rPr>
        <w:t>The Payments shall be reduced in a manner that maximizes the Employee’s economic position. In applying this principle, the reduction</w:t>
      </w:r>
    </w:p>
    <w:p>
      <w:pPr>
        <w:ind w:left="7"/>
        <w:spacing w:after="0"/>
        <w:rPr>
          <w:sz w:val="20"/>
          <w:szCs w:val="20"/>
          <w:color w:val="auto"/>
        </w:rPr>
      </w:pPr>
      <w:r>
        <w:rPr>
          <w:rFonts w:ascii="Times New Roman" w:cs="Times New Roman" w:eastAsia="Times New Roman" w:hAnsi="Times New Roman"/>
          <w:sz w:val="20"/>
          <w:szCs w:val="20"/>
          <w:color w:val="auto"/>
        </w:rPr>
        <w:t>shall be made in a manner consistent with the requirements of Section 409A of the Code, and where two economically equivalent</w:t>
      </w:r>
    </w:p>
    <w:p>
      <w:pPr>
        <w:ind w:left="7"/>
        <w:spacing w:after="0"/>
        <w:rPr>
          <w:sz w:val="20"/>
          <w:szCs w:val="20"/>
          <w:color w:val="auto"/>
        </w:rPr>
      </w:pPr>
      <w:r>
        <w:rPr>
          <w:rFonts w:ascii="Times New Roman" w:cs="Times New Roman" w:eastAsia="Times New Roman" w:hAnsi="Times New Roman"/>
          <w:sz w:val="19"/>
          <w:szCs w:val="19"/>
          <w:color w:val="auto"/>
        </w:rPr>
        <w:t>amounts are subject to reduction but payable at different times, such amounts shall be reduced on a pro rata basis but not below zero. Any</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 xml:space="preserve">determination required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including whether any payments or benefits are parachute payments, shall be made by an</w:t>
      </w:r>
    </w:p>
    <w:p>
      <w:pPr>
        <w:ind w:left="7"/>
        <w:spacing w:after="0"/>
        <w:rPr>
          <w:sz w:val="20"/>
          <w:szCs w:val="20"/>
          <w:color w:val="auto"/>
        </w:rPr>
      </w:pPr>
      <w:r>
        <w:rPr>
          <w:rFonts w:ascii="Times New Roman" w:cs="Times New Roman" w:eastAsia="Times New Roman" w:hAnsi="Times New Roman"/>
          <w:sz w:val="19"/>
          <w:szCs w:val="19"/>
          <w:color w:val="auto"/>
        </w:rPr>
        <w:t>independent third party expert retained by the Company. The Employee shall provide the Company with such information and documents</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 xml:space="preserve">as the Company may reasonably request in order to make a determination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The Company’s determination shall be</w:t>
      </w:r>
    </w:p>
    <w:p>
      <w:pPr>
        <w:ind w:left="7"/>
        <w:spacing w:after="0"/>
        <w:rPr>
          <w:sz w:val="20"/>
          <w:szCs w:val="20"/>
          <w:color w:val="auto"/>
        </w:rPr>
      </w:pPr>
      <w:r>
        <w:rPr>
          <w:rFonts w:ascii="Times New Roman" w:cs="Times New Roman" w:eastAsia="Times New Roman" w:hAnsi="Times New Roman"/>
          <w:sz w:val="20"/>
          <w:szCs w:val="20"/>
          <w:color w:val="auto"/>
        </w:rPr>
        <w:t>final and binding on the Employee. The parties acknowledge that the Employee is solely responsible for the payment of any</w:t>
      </w:r>
    </w:p>
    <w:p>
      <w:pPr>
        <w:spacing w:after="0" w:line="194" w:lineRule="exact"/>
        <w:rPr>
          <w:sz w:val="20"/>
          <w:szCs w:val="20"/>
          <w:color w:val="auto"/>
        </w:rPr>
      </w:pPr>
    </w:p>
    <w:p>
      <w:pPr>
        <w:jc w:val="center"/>
        <w:ind w:right="-86"/>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7"/>
          </w:cols>
          <w:pgMar w:left="453" w:top="333" w:right="499" w:bottom="1440" w:gutter="0" w:footer="0" w:header="0"/>
        </w:sectPr>
      </w:pPr>
    </w:p>
    <w:bookmarkStart w:id="181" w:name="page182"/>
    <w:bookmarkEnd w:id="181"/>
    <w:p>
      <w:pPr>
        <w:ind w:left="7" w:right="60"/>
        <w:spacing w:after="0" w:line="269" w:lineRule="auto"/>
        <w:rPr>
          <w:sz w:val="20"/>
          <w:szCs w:val="20"/>
          <w:color w:val="auto"/>
        </w:rPr>
      </w:pPr>
      <w:r>
        <w:rPr>
          <w:rFonts w:ascii="Times New Roman" w:cs="Times New Roman" w:eastAsia="Times New Roman" w:hAnsi="Times New Roman"/>
          <w:sz w:val="20"/>
          <w:szCs w:val="20"/>
          <w:color w:val="auto"/>
        </w:rPr>
        <w:t>Excise Tax that is assessed based upon a payment made pursuant to this Agreement or any other payment made by the Company pursuant to any other plan or obligation.</w:t>
      </w:r>
    </w:p>
    <w:p>
      <w:pPr>
        <w:spacing w:after="0" w:line="173" w:lineRule="exact"/>
        <w:rPr>
          <w:sz w:val="20"/>
          <w:szCs w:val="20"/>
          <w:color w:val="auto"/>
        </w:rPr>
      </w:pPr>
    </w:p>
    <w:p>
      <w:pPr>
        <w:ind w:left="7" w:right="80" w:firstLine="749"/>
        <w:spacing w:after="0" w:line="255" w:lineRule="auto"/>
        <w:rPr>
          <w:sz w:val="20"/>
          <w:szCs w:val="20"/>
          <w:color w:val="auto"/>
        </w:rPr>
      </w:pPr>
      <w:r>
        <w:rPr>
          <w:rFonts w:ascii="Times New Roman" w:cs="Times New Roman" w:eastAsia="Times New Roman" w:hAnsi="Times New Roman"/>
          <w:sz w:val="19"/>
          <w:szCs w:val="19"/>
          <w:color w:val="auto"/>
        </w:rPr>
        <w:t>As a result of the uncertainty in the application of Sections 280G and 4999 of the Code at the time of the initial determination by the independent third party expert, however, it is possible that amounts will have been paid or distributed to or for the benefit of Employee which should not have been so paid or distributed (an “Overpayment”) or that additional amounts which shall not have been paid or distributed to or for the benefit of Employee should have been so paid or distributed (an “Underpayment”), in each case, consistent with the calculation of the amount. If the independent third party expert, based either upon the assertion of a deficiency by the Internal Revenue Service against the Company or Employee which the independent third party expert believes has a high probability of success or controlling precedent or other substantial authority, determines that an Overpayment has been made, any such Overpayment must be treated (if permitted by applicable law) for all purposes as a loan ab initio for which Employee must repay the Company together with interest at the applicable federal rate under Section 7872(f)(2) of the Code; provided, however, that no such loan may be deemed to have been made and no amount shall be payable by Employee to the Company if and to the extent that such deemed loan and payment would not either reduce the amount on which Employee is subject to tax under Section 4999 of the Code or generate a refund of such taxes. If the independent third party expert, based upon controlling precedent or other substantial authority, determines that an Underpayment has occurred, the independent third party expert must promptly notify the Company of the amount of the Underpayment and such amount, together with interest at the applicable federal rate under Section 7872(f)(2) of the Code, must be paid to Employee.</w:t>
      </w:r>
    </w:p>
    <w:p>
      <w:pPr>
        <w:spacing w:after="0" w:line="189" w:lineRule="exact"/>
        <w:rPr>
          <w:sz w:val="20"/>
          <w:szCs w:val="20"/>
          <w:color w:val="auto"/>
        </w:rPr>
      </w:pPr>
    </w:p>
    <w:p>
      <w:pPr>
        <w:ind w:left="747" w:hanging="747"/>
        <w:spacing w:after="0"/>
        <w:tabs>
          <w:tab w:leader="none" w:pos="747"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OUTPLACEMENT SERVICES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180" w:firstLine="749"/>
        <w:spacing w:after="0" w:line="245" w:lineRule="auto"/>
        <w:rPr>
          <w:sz w:val="20"/>
          <w:szCs w:val="20"/>
          <w:color w:val="auto"/>
        </w:rPr>
      </w:pPr>
      <w:r>
        <w:rPr>
          <w:rFonts w:ascii="Times New Roman" w:cs="Times New Roman" w:eastAsia="Times New Roman" w:hAnsi="Times New Roman"/>
          <w:sz w:val="20"/>
          <w:szCs w:val="20"/>
          <w:color w:val="auto"/>
        </w:rPr>
        <w:t>Following a Termination without Cause or resignation for Good Reason during the Protection Period, the Company shall, at its expense, permit the Employee to participate in outplacement assistance services, as determined by the Company, which are: (a) as to executive officers, at a level appropriate for senior management of a public company, and (b) not more than six (6) 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261" w:lineRule="exact"/>
        <w:rPr>
          <w:sz w:val="20"/>
          <w:szCs w:val="20"/>
          <w:color w:val="auto"/>
        </w:rPr>
      </w:pPr>
    </w:p>
    <w:p>
      <w:pPr>
        <w:ind w:left="747" w:hanging="747"/>
        <w:spacing w:after="0"/>
        <w:tabs>
          <w:tab w:leader="none" w:pos="747"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firstLine="749"/>
        <w:spacing w:after="0" w:line="243" w:lineRule="auto"/>
        <w:rPr>
          <w:sz w:val="20"/>
          <w:szCs w:val="20"/>
          <w:color w:val="auto"/>
        </w:rPr>
      </w:pPr>
      <w:r>
        <w:rPr>
          <w:rFonts w:ascii="Times New Roman" w:cs="Times New Roman" w:eastAsia="Times New Roman" w:hAnsi="Times New Roman"/>
          <w:sz w:val="20"/>
          <w:szCs w:val="20"/>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Successor Employer under this Agreement, in the same manner and to the same extent that the Company and each Successor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199" w:lineRule="exact"/>
        <w:rPr>
          <w:sz w:val="20"/>
          <w:szCs w:val="20"/>
          <w:color w:val="auto"/>
        </w:rPr>
      </w:pPr>
    </w:p>
    <w:p>
      <w:pPr>
        <w:ind w:left="7" w:right="180" w:firstLine="749"/>
        <w:spacing w:after="0" w:line="254" w:lineRule="auto"/>
        <w:rPr>
          <w:sz w:val="20"/>
          <w:szCs w:val="20"/>
          <w:color w:val="auto"/>
        </w:rPr>
      </w:pPr>
      <w:r>
        <w:rPr>
          <w:rFonts w:ascii="Times New Roman" w:cs="Times New Roman" w:eastAsia="Times New Roman" w:hAnsi="Times New Roman"/>
          <w:sz w:val="20"/>
          <w:szCs w:val="20"/>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174"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7"/>
          </w:cols>
          <w:pgMar w:left="453" w:top="333" w:right="479" w:bottom="1440" w:gutter="0" w:footer="0" w:header="0"/>
        </w:sectPr>
      </w:pPr>
    </w:p>
    <w:bookmarkStart w:id="182" w:name="page183"/>
    <w:bookmarkEnd w:id="182"/>
    <w:p>
      <w:pPr>
        <w:ind w:left="760" w:hanging="748"/>
        <w:spacing w:after="0"/>
        <w:tabs>
          <w:tab w:leader="none" w:pos="7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FEES AND EXPENSES</w:t>
      </w:r>
      <w:r>
        <w:rPr>
          <w:rFonts w:ascii="Times New Roman" w:cs="Times New Roman" w:eastAsia="Times New Roman" w:hAnsi="Times New Roman"/>
          <w:sz w:val="20"/>
          <w:szCs w:val="20"/>
          <w:b w:val="1"/>
          <w:bCs w:val="1"/>
          <w:color w:val="auto"/>
        </w:rPr>
        <w:t>.</w:t>
      </w:r>
    </w:p>
    <w:p>
      <w:pPr>
        <w:spacing w:after="0" w:line="16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188"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the Employee will not be deemed to have incurred legal fees or expenses reasonably or in good faith if, following resolution of a dispute under this Agreement, Employee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 (30) 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195" w:lineRule="exact"/>
        <w:rPr>
          <w:sz w:val="20"/>
          <w:szCs w:val="20"/>
          <w:color w:val="auto"/>
        </w:rPr>
      </w:pPr>
    </w:p>
    <w:p>
      <w:pPr>
        <w:ind w:left="760" w:hanging="747"/>
        <w:spacing w:after="0"/>
        <w:tabs>
          <w:tab w:leader="none" w:pos="76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 w:firstLine="749"/>
        <w:spacing w:after="0" w:line="245" w:lineRule="auto"/>
        <w:rPr>
          <w:sz w:val="20"/>
          <w:szCs w:val="20"/>
          <w:color w:val="auto"/>
        </w:rPr>
      </w:pPr>
      <w:r>
        <w:rPr>
          <w:rFonts w:ascii="Times New Roman" w:cs="Times New Roman" w:eastAsia="Times New Roman" w:hAnsi="Times New Roman"/>
          <w:sz w:val="20"/>
          <w:szCs w:val="20"/>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 the Board of the Company. All 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315" w:lineRule="exact"/>
        <w:rPr>
          <w:sz w:val="20"/>
          <w:szCs w:val="20"/>
          <w:color w:val="auto"/>
        </w:rPr>
      </w:pPr>
    </w:p>
    <w:p>
      <w:pPr>
        <w:ind w:left="760" w:hanging="747"/>
        <w:spacing w:after="0"/>
        <w:tabs>
          <w:tab w:leader="none" w:pos="76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NONEXCLUSIVITY OF RIGHTS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 w:right="40" w:firstLine="749"/>
        <w:spacing w:after="0" w:line="242" w:lineRule="auto"/>
        <w:rPr>
          <w:sz w:val="20"/>
          <w:szCs w:val="20"/>
          <w:color w:val="auto"/>
        </w:rPr>
      </w:pPr>
      <w:r>
        <w:rPr>
          <w:rFonts w:ascii="Times New Roman" w:cs="Times New Roman" w:eastAsia="Times New Roman" w:hAnsi="Times New Roman"/>
          <w:sz w:val="20"/>
          <w:szCs w:val="20"/>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 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558" w:right="539" w:bottom="1440" w:gutter="0" w:footer="0" w:header="0"/>
        </w:sectPr>
      </w:pPr>
    </w:p>
    <w:bookmarkStart w:id="183" w:name="page184"/>
    <w:bookmarkEnd w:id="183"/>
    <w:p>
      <w:pPr>
        <w:ind w:left="748" w:hanging="748"/>
        <w:spacing w:after="0"/>
        <w:tabs>
          <w:tab w:leader="none" w:pos="748"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right="40" w:firstLine="749"/>
        <w:spacing w:after="0" w:line="245" w:lineRule="auto"/>
        <w:rPr>
          <w:sz w:val="20"/>
          <w:szCs w:val="20"/>
          <w:color w:val="auto"/>
        </w:rPr>
      </w:pPr>
      <w:r>
        <w:rPr>
          <w:rFonts w:ascii="Times New Roman" w:cs="Times New Roman" w:eastAsia="Times New Roman" w:hAnsi="Times New Roman"/>
          <w:sz w:val="20"/>
          <w:szCs w:val="20"/>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94" w:lineRule="exact"/>
        <w:rPr>
          <w:sz w:val="20"/>
          <w:szCs w:val="20"/>
          <w:color w:val="auto"/>
        </w:rPr>
      </w:pPr>
    </w:p>
    <w:p>
      <w:pPr>
        <w:ind w:left="748" w:hanging="747"/>
        <w:spacing w:after="0"/>
        <w:tabs>
          <w:tab w:leader="none" w:pos="748"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7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shall be governed by and construed and enforced in accordance with the laws of the State of South Dakota.</w:t>
      </w:r>
    </w:p>
    <w:p>
      <w:pPr>
        <w:spacing w:after="0" w:line="238" w:lineRule="exact"/>
        <w:rPr>
          <w:rFonts w:ascii="Times New Roman" w:cs="Times New Roman" w:eastAsia="Times New Roman" w:hAnsi="Times New Roman"/>
          <w:sz w:val="20"/>
          <w:szCs w:val="20"/>
          <w:b w:val="1"/>
          <w:bCs w:val="1"/>
          <w:color w:val="auto"/>
        </w:rPr>
      </w:pPr>
    </w:p>
    <w:p>
      <w:pPr>
        <w:ind w:left="748" w:hanging="747"/>
        <w:spacing w:after="0"/>
        <w:tabs>
          <w:tab w:leader="none" w:pos="748"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right="32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shall be deemed severable and the invalidity or unenforceability of any provision shall not affect the validity or enforceability of the other provisions hereof.</w:t>
      </w:r>
    </w:p>
    <w:p>
      <w:pPr>
        <w:spacing w:after="0" w:line="169" w:lineRule="exact"/>
        <w:rPr>
          <w:sz w:val="20"/>
          <w:szCs w:val="20"/>
          <w:color w:val="auto"/>
        </w:rPr>
      </w:pPr>
    </w:p>
    <w:p>
      <w:pPr>
        <w:ind w:left="748" w:hanging="747"/>
        <w:spacing w:after="0"/>
        <w:tabs>
          <w:tab w:leader="none" w:pos="748"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GUARANTEED EMPLOYMENT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firstLine="749"/>
        <w:spacing w:after="0" w:line="266" w:lineRule="auto"/>
        <w:rPr>
          <w:sz w:val="20"/>
          <w:szCs w:val="20"/>
          <w:color w:val="auto"/>
        </w:rPr>
      </w:pPr>
      <w:r>
        <w:rPr>
          <w:rFonts w:ascii="Times New Roman" w:cs="Times New Roman" w:eastAsia="Times New Roman" w:hAnsi="Times New Roman"/>
          <w:sz w:val="19"/>
          <w:szCs w:val="19"/>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175" w:lineRule="exact"/>
        <w:rPr>
          <w:sz w:val="20"/>
          <w:szCs w:val="20"/>
          <w:color w:val="auto"/>
        </w:rPr>
      </w:pPr>
    </w:p>
    <w:p>
      <w:pPr>
        <w:ind w:left="808" w:hanging="744"/>
        <w:spacing w:after="0"/>
        <w:tabs>
          <w:tab w:leader="none" w:pos="808"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SUBSIDIARY DEEMED TO BE COMPANY FOR PORTIONS OF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firstLine="749"/>
        <w:spacing w:after="0" w:line="246" w:lineRule="auto"/>
        <w:rPr>
          <w:sz w:val="20"/>
          <w:szCs w:val="20"/>
          <w:color w:val="auto"/>
        </w:rPr>
      </w:pPr>
      <w:r>
        <w:rPr>
          <w:rFonts w:ascii="Times New Roman" w:cs="Times New Roman" w:eastAsia="Times New Roman" w:hAnsi="Times New Roman"/>
          <w:sz w:val="20"/>
          <w:szCs w:val="20"/>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208" w:lineRule="exact"/>
        <w:rPr>
          <w:sz w:val="20"/>
          <w:szCs w:val="20"/>
          <w:color w:val="auto"/>
        </w:rPr>
      </w:pPr>
    </w:p>
    <w:p>
      <w:pPr>
        <w:ind w:left="808" w:hanging="744"/>
        <w:spacing w:after="0"/>
        <w:tabs>
          <w:tab w:leader="none" w:pos="808"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8" w:right="740" w:firstLine="749"/>
        <w:spacing w:after="0" w:line="269" w:lineRule="auto"/>
        <w:rPr>
          <w:sz w:val="20"/>
          <w:szCs w:val="20"/>
          <w:color w:val="auto"/>
        </w:rPr>
      </w:pPr>
      <w:r>
        <w:rPr>
          <w:rFonts w:ascii="Times New Roman" w:cs="Times New Roman" w:eastAsia="Times New Roman" w:hAnsi="Times New Roman"/>
          <w:sz w:val="20"/>
          <w:szCs w:val="20"/>
          <w:color w:val="auto"/>
        </w:rPr>
        <w:t>This Agreement constitutes the entire agreement between the parties hereto and supersedes all prior agreements, if any, understandings and arrangements, oral or written, between the parties hereto with respect to the subject matter hereof.</w:t>
      </w:r>
    </w:p>
    <w:p>
      <w:pPr>
        <w:spacing w:after="0" w:line="172" w:lineRule="exact"/>
        <w:rPr>
          <w:sz w:val="20"/>
          <w:szCs w:val="20"/>
          <w:color w:val="auto"/>
        </w:rPr>
      </w:pPr>
    </w:p>
    <w:p>
      <w:pPr>
        <w:ind w:left="1488"/>
        <w:spacing w:after="0"/>
        <w:rPr>
          <w:sz w:val="20"/>
          <w:szCs w:val="20"/>
          <w:color w:val="auto"/>
        </w:rPr>
      </w:pPr>
      <w:r>
        <w:rPr>
          <w:rFonts w:ascii="Times New Roman" w:cs="Times New Roman" w:eastAsia="Times New Roman" w:hAnsi="Times New Roman"/>
          <w:sz w:val="20"/>
          <w:szCs w:val="20"/>
          <w:color w:val="auto"/>
        </w:rPr>
        <w:t>Dated this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69850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452" w:top="329" w:right="539" w:bottom="1440" w:gutter="0" w:footer="0" w:header="0"/>
        </w:sectPr>
      </w:pPr>
    </w:p>
    <w:bookmarkStart w:id="184" w:name="page185"/>
    <w:bookmarkEnd w:id="184"/>
    <w:p>
      <w:pPr>
        <w:ind w:left="4120"/>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0" w:lineRule="exact"/>
        <w:rPr>
          <w:sz w:val="20"/>
          <w:szCs w:val="20"/>
          <w:color w:val="auto"/>
        </w:rPr>
      </w:pPr>
    </w:p>
    <w:p>
      <w:pPr>
        <w:spacing w:after="0" w:line="25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Brian G. Iverson</w:t>
      </w:r>
    </w:p>
    <w:p>
      <w:pPr>
        <w:ind w:left="4520"/>
        <w:spacing w:after="0"/>
        <w:rPr>
          <w:sz w:val="20"/>
          <w:szCs w:val="20"/>
          <w:color w:val="auto"/>
        </w:rPr>
      </w:pPr>
      <w:r>
        <w:rPr>
          <w:rFonts w:ascii="Times New Roman" w:cs="Times New Roman" w:eastAsia="Times New Roman" w:hAnsi="Times New Roman"/>
          <w:sz w:val="19"/>
          <w:szCs w:val="19"/>
          <w:color w:val="auto"/>
        </w:rPr>
        <w:t>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EMPLOYEE</w:t>
      </w:r>
    </w:p>
    <w:p>
      <w:pPr>
        <w:spacing w:after="0" w:line="200" w:lineRule="exact"/>
        <w:rPr>
          <w:sz w:val="20"/>
          <w:szCs w:val="20"/>
          <w:color w:val="auto"/>
        </w:rPr>
      </w:pPr>
    </w:p>
    <w:p>
      <w:pPr>
        <w:spacing w:after="0" w:line="2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-10795</wp:posOffset>
            </wp:positionV>
            <wp:extent cx="157734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Linden R. Evans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WAIVER AND RELEASE AGREEMENT</w:t>
      </w:r>
    </w:p>
    <w:p>
      <w:pPr>
        <w:spacing w:after="0" w:line="172" w:lineRule="exact"/>
        <w:rPr>
          <w:sz w:val="20"/>
          <w:szCs w:val="20"/>
          <w:color w:val="auto"/>
        </w:rPr>
      </w:pPr>
    </w:p>
    <w:p>
      <w:pPr>
        <w:ind w:right="540" w:firstLine="749"/>
        <w:spacing w:after="0" w:line="27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Waiver and Release Agreement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Waiver and Release</w:t>
      </w:r>
      <w:r>
        <w:rPr>
          <w:rFonts w:ascii="Times New Roman" w:cs="Times New Roman" w:eastAsia="Times New Roman" w:hAnsi="Times New Roman"/>
          <w:sz w:val="20"/>
          <w:szCs w:val="20"/>
          <w:color w:val="auto"/>
        </w:rPr>
        <w:t>”) is entered into by and among Black Hills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Linden R. Evans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this ___ day of _________________, 202_.</w:t>
      </w:r>
    </w:p>
    <w:p>
      <w:pPr>
        <w:spacing w:after="0" w:line="165" w:lineRule="exact"/>
        <w:rPr>
          <w:sz w:val="20"/>
          <w:szCs w:val="20"/>
          <w:color w:val="auto"/>
        </w:rPr>
      </w:pPr>
    </w:p>
    <w:p>
      <w:pPr>
        <w:ind w:left="700" w:firstLine="749"/>
        <w:spacing w:after="0" w:line="241" w:lineRule="auto"/>
        <w:tabs>
          <w:tab w:leader="none" w:pos="2341" w:val="left"/>
        </w:tabs>
        <w:numPr>
          <w:ilvl w:val="1"/>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Waiver and Release. </w:t>
      </w:r>
      <w:r>
        <w:rPr>
          <w:rFonts w:ascii="Times New Roman" w:cs="Times New Roman" w:eastAsia="Times New Roman" w:hAnsi="Times New Roman"/>
          <w:sz w:val="20"/>
          <w:szCs w:val="20"/>
          <w:color w:val="auto"/>
        </w:rPr>
        <w:t>For and in consideration of the agreement of Company to provide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severance benefits described in that certain Change in Control Agreement, dated as of _______________, 202_, between Employee and the Company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charges, actions causes of action, sums of money due, suites, debts, covenants, contracts, agreements, rights, damages, promises, demands or liabilities (hereinafter collectively referred to as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 way of limitation, Claims pursuant to federal, state or local statute, regulation, ordinance or common-law for (i) employment discrimination; (ii) 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210" w:lineRule="exact"/>
        <w:rPr>
          <w:rFonts w:ascii="Times New Roman" w:cs="Times New Roman" w:eastAsia="Times New Roman" w:hAnsi="Times New Roman"/>
          <w:sz w:val="20"/>
          <w:szCs w:val="20"/>
          <w:b w:val="1"/>
          <w:bCs w:val="1"/>
          <w:color w:val="auto"/>
        </w:rPr>
      </w:pPr>
    </w:p>
    <w:p>
      <w:pPr>
        <w:ind w:left="1440" w:right="600" w:hanging="699"/>
        <w:spacing w:after="0" w:line="269" w:lineRule="auto"/>
        <w:tabs>
          <w:tab w:leader="none" w:pos="144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obligations of the Company and its Affiliates to pay benefits upon termination of employment as set forth in the Agreement, pursuant to which this Waiver and Release is being executed and delivered;</w:t>
      </w:r>
    </w:p>
    <w:p>
      <w:pPr>
        <w:spacing w:after="0" w:line="172" w:lineRule="exact"/>
        <w:rPr>
          <w:rFonts w:ascii="Times New Roman" w:cs="Times New Roman" w:eastAsia="Times New Roman" w:hAnsi="Times New Roman"/>
          <w:sz w:val="20"/>
          <w:szCs w:val="20"/>
          <w:color w:val="auto"/>
        </w:rPr>
      </w:pPr>
    </w:p>
    <w:p>
      <w:pPr>
        <w:ind w:left="1480" w:right="20" w:hanging="739"/>
        <w:spacing w:after="0" w:line="245" w:lineRule="auto"/>
        <w:tabs>
          <w:tab w:leader="none" w:pos="14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197" w:lineRule="exact"/>
        <w:rPr>
          <w:rFonts w:ascii="Times New Roman" w:cs="Times New Roman" w:eastAsia="Times New Roman" w:hAnsi="Times New Roman"/>
          <w:sz w:val="20"/>
          <w:szCs w:val="20"/>
          <w:color w:val="auto"/>
        </w:rPr>
      </w:pPr>
    </w:p>
    <w:p>
      <w:pPr>
        <w:jc w:val="both"/>
        <w:ind w:left="1480" w:right="220" w:hanging="739"/>
        <w:spacing w:after="0" w:line="254" w:lineRule="auto"/>
        <w:tabs>
          <w:tab w:leader="none" w:pos="14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2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Employee further understands and agrees that, subject to the exceptions in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69850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332" w:right="499" w:bottom="1440" w:gutter="0" w:footer="0" w:header="0"/>
        </w:sectPr>
      </w:pPr>
    </w:p>
    <w:bookmarkStart w:id="186" w:name="page187"/>
    <w:bookmarkEnd w:id="186"/>
    <w:p>
      <w:pPr>
        <w:spacing w:after="0" w:line="249" w:lineRule="auto"/>
        <w:rPr>
          <w:sz w:val="20"/>
          <w:szCs w:val="20"/>
          <w:color w:val="auto"/>
        </w:rPr>
      </w:pPr>
      <w:r>
        <w:rPr>
          <w:rFonts w:ascii="Times New Roman" w:cs="Times New Roman" w:eastAsia="Times New Roman" w:hAnsi="Times New Roman"/>
          <w:sz w:val="20"/>
          <w:szCs w:val="20"/>
          <w:color w:val="auto"/>
        </w:rPr>
        <w:t>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pacing w:after="0" w:line="176" w:lineRule="exact"/>
        <w:rPr>
          <w:sz w:val="20"/>
          <w:szCs w:val="20"/>
          <w:color w:val="auto"/>
        </w:rPr>
      </w:pPr>
    </w:p>
    <w:p>
      <w:pPr>
        <w:ind w:right="40" w:firstLine="749"/>
        <w:spacing w:after="0" w:line="255" w:lineRule="auto"/>
        <w:tabs>
          <w:tab w:leader="none" w:pos="1641" w:val="left"/>
        </w:tabs>
        <w:numPr>
          <w:ilvl w:val="0"/>
          <w:numId w:val="1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Waiver and Release of ADEA Claims. </w:t>
      </w:r>
      <w:r>
        <w:rPr>
          <w:rFonts w:ascii="Times New Roman" w:cs="Times New Roman" w:eastAsia="Times New Roman" w:hAnsi="Times New Roman"/>
          <w:sz w:val="19"/>
          <w:szCs w:val="19"/>
          <w:color w:val="auto"/>
        </w:rPr>
        <w:t>Without limiting the generality of the foregoing, and also for and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consideration of the Company’s agreement to provide Employee severance payments and benefits as described in the Agreement, Employee specifically acknowledges and agrees that Employee does hereby knowingly and voluntarily release the Company and all other Released Parties from any and all claims arising under the Age Discrimination in Employment Act, 29 U.S.C. Section 621, et seq. (“</w:t>
      </w:r>
      <w:r>
        <w:rPr>
          <w:rFonts w:ascii="Times New Roman" w:cs="Times New Roman" w:eastAsia="Times New Roman" w:hAnsi="Times New Roman"/>
          <w:sz w:val="19"/>
          <w:szCs w:val="19"/>
          <w:b w:val="1"/>
          <w:bCs w:val="1"/>
          <w:color w:val="auto"/>
        </w:rPr>
        <w:t>ADEA</w:t>
      </w:r>
      <w:r>
        <w:rPr>
          <w:rFonts w:ascii="Times New Roman" w:cs="Times New Roman" w:eastAsia="Times New Roman" w:hAnsi="Times New Roman"/>
          <w:sz w:val="19"/>
          <w:szCs w:val="19"/>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at any time within seven (7) days following its execution and that, if Employee revokes this waiver and Release within such seven (7) day period, it shall not be effective or enforceable and Employee will not receive the above-described consideration or any payments provided for in the Agreement.</w:t>
      </w:r>
    </w:p>
    <w:p>
      <w:pPr>
        <w:spacing w:after="0" w:line="190" w:lineRule="exact"/>
        <w:rPr>
          <w:rFonts w:ascii="Times New Roman" w:cs="Times New Roman" w:eastAsia="Times New Roman" w:hAnsi="Times New Roman"/>
          <w:sz w:val="19"/>
          <w:szCs w:val="19"/>
          <w:b w:val="1"/>
          <w:bCs w:val="1"/>
          <w:color w:val="auto"/>
        </w:rPr>
      </w:pPr>
    </w:p>
    <w:p>
      <w:pPr>
        <w:ind w:left="1640" w:hanging="891"/>
        <w:spacing w:after="0"/>
        <w:tabs>
          <w:tab w:leader="none" w:pos="164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Denial of Liability. </w:t>
      </w:r>
      <w:r>
        <w:rPr>
          <w:rFonts w:ascii="Times New Roman" w:cs="Times New Roman" w:eastAsia="Times New Roman" w:hAnsi="Times New Roman"/>
          <w:sz w:val="20"/>
          <w:szCs w:val="20"/>
          <w:color w:val="auto"/>
        </w:rPr>
        <w:t>Employee acknowledges and agrees that neither the payment of severance payments</w:t>
      </w:r>
    </w:p>
    <w:p>
      <w:pPr>
        <w:spacing w:after="0" w:line="26" w:lineRule="exact"/>
        <w:rPr>
          <w:sz w:val="20"/>
          <w:szCs w:val="20"/>
          <w:color w:val="auto"/>
        </w:rPr>
      </w:pPr>
    </w:p>
    <w:p>
      <w:pPr>
        <w:ind w:right="580"/>
        <w:spacing w:after="0" w:line="246" w:lineRule="auto"/>
        <w:rPr>
          <w:sz w:val="20"/>
          <w:szCs w:val="20"/>
          <w:color w:val="auto"/>
        </w:rPr>
      </w:pPr>
      <w:r>
        <w:rPr>
          <w:rFonts w:ascii="Times New Roman" w:cs="Times New Roman" w:eastAsia="Times New Roman" w:hAnsi="Times New Roman"/>
          <w:sz w:val="20"/>
          <w:szCs w:val="20"/>
          <w:color w:val="auto"/>
        </w:rPr>
        <w:t>or benefits under the Agreement nor this Waiver and Release is to be construed in any way as an admission of any liability whatsoever by Company or any of the other Released Parties, by whom liability is expressly denied.</w:t>
      </w:r>
    </w:p>
    <w:p>
      <w:pPr>
        <w:spacing w:after="0" w:line="191" w:lineRule="exact"/>
        <w:rPr>
          <w:sz w:val="20"/>
          <w:szCs w:val="20"/>
          <w:color w:val="auto"/>
        </w:rPr>
      </w:pPr>
    </w:p>
    <w:p>
      <w:pPr>
        <w:ind w:right="40" w:firstLine="749"/>
        <w:spacing w:after="0" w:line="245" w:lineRule="auto"/>
        <w:tabs>
          <w:tab w:leader="none" w:pos="164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Entitlement to Further Relief. </w:t>
      </w:r>
      <w:r>
        <w:rPr>
          <w:rFonts w:ascii="Times New Roman" w:cs="Times New Roman" w:eastAsia="Times New Roman" w:hAnsi="Times New Roman"/>
          <w:sz w:val="20"/>
          <w:szCs w:val="20"/>
          <w:color w:val="auto"/>
        </w:rPr>
        <w:t>Employee acknowledges and agrees that Employee has not,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 hereby waives any right to accept any relief or recovery, including costs and attorneys’ fees, that may arise from any charge or complaint before any federal, state or local court or administrative agency against the Released Parties.</w:t>
      </w:r>
    </w:p>
    <w:p>
      <w:pPr>
        <w:spacing w:after="0" w:line="192" w:lineRule="exact"/>
        <w:rPr>
          <w:rFonts w:ascii="Times New Roman" w:cs="Times New Roman" w:eastAsia="Times New Roman" w:hAnsi="Times New Roman"/>
          <w:sz w:val="20"/>
          <w:szCs w:val="20"/>
          <w:b w:val="1"/>
          <w:bCs w:val="1"/>
          <w:color w:val="auto"/>
        </w:rPr>
      </w:pPr>
    </w:p>
    <w:p>
      <w:pPr>
        <w:ind w:right="140" w:firstLine="749"/>
        <w:spacing w:after="0" w:line="247" w:lineRule="auto"/>
        <w:tabs>
          <w:tab w:leader="none" w:pos="164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 Property and Confidential Information. </w:t>
      </w:r>
      <w:r>
        <w:rPr>
          <w:rFonts w:ascii="Times New Roman" w:cs="Times New Roman" w:eastAsia="Times New Roman" w:hAnsi="Times New Roman"/>
          <w:sz w:val="20"/>
          <w:szCs w:val="20"/>
          <w:color w:val="auto"/>
        </w:rPr>
        <w:t>Employee agrees that Employee will not retain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destroy, and 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69850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1160" w:top="387" w:right="459" w:bottom="1440" w:gutter="0" w:footer="0" w:header="0"/>
        </w:sectPr>
      </w:pPr>
    </w:p>
    <w:bookmarkStart w:id="187" w:name="page188"/>
    <w:bookmarkEnd w:id="187"/>
    <w:p>
      <w:pPr>
        <w:jc w:val="both"/>
        <w:spacing w:after="0" w:line="254" w:lineRule="auto"/>
        <w:rPr>
          <w:sz w:val="20"/>
          <w:szCs w:val="20"/>
          <w:color w:val="auto"/>
        </w:rPr>
      </w:pPr>
      <w:r>
        <w:rPr>
          <w:rFonts w:ascii="Times New Roman" w:cs="Times New Roman" w:eastAsia="Times New Roman" w:hAnsi="Times New Roman"/>
          <w:sz w:val="20"/>
          <w:szCs w:val="20"/>
          <w:color w:val="auto"/>
        </w:rPr>
        <w:t>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188"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 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 Notwithstanding any other language in this Waiver and Release to the contrary, Employee understands that Employee may not be held criminally or civilly liable under any federal or state trade secret law for the disclosure of a trade secret that is made (i) in confidence to a federal, state or local government official, either directly or indirectly, or to an attorney if such disclosure is made solely for the purpose of reporting or investigating a suspected violation of the law or for pursuing an anti-retaliation lawsuit; or (ii) in a complaint or other document filed in a lawsuit or other proceeding, if such filing is made under seal and Employee does not disclose the trade secret except pursuant to a court order.</w:t>
      </w:r>
    </w:p>
    <w:p>
      <w:pPr>
        <w:spacing w:after="0" w:line="197" w:lineRule="exact"/>
        <w:rPr>
          <w:sz w:val="20"/>
          <w:szCs w:val="20"/>
          <w:color w:val="auto"/>
        </w:rPr>
      </w:pPr>
    </w:p>
    <w:p>
      <w:pPr>
        <w:ind w:right="60" w:firstLine="749"/>
        <w:spacing w:after="0" w:line="246" w:lineRule="auto"/>
        <w:tabs>
          <w:tab w:leader="none" w:pos="1635"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Employee agrees that for a period of one (1) -year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205" w:lineRule="exact"/>
        <w:rPr>
          <w:rFonts w:ascii="Times New Roman" w:cs="Times New Roman" w:eastAsia="Times New Roman" w:hAnsi="Times New Roman"/>
          <w:sz w:val="20"/>
          <w:szCs w:val="20"/>
          <w:b w:val="1"/>
          <w:bCs w:val="1"/>
          <w:color w:val="auto"/>
        </w:rPr>
      </w:pPr>
    </w:p>
    <w:p>
      <w:pPr>
        <w:ind w:right="100" w:firstLine="749"/>
        <w:spacing w:after="0" w:line="247" w:lineRule="auto"/>
        <w:tabs>
          <w:tab w:leader="none" w:pos="1635"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Non-Solicitation. </w:t>
      </w:r>
      <w:r>
        <w:rPr>
          <w:rFonts w:ascii="Times New Roman" w:cs="Times New Roman" w:eastAsia="Times New Roman" w:hAnsi="Times New Roman"/>
          <w:sz w:val="20"/>
          <w:szCs w:val="20"/>
          <w:color w:val="auto"/>
        </w:rPr>
        <w:t>Employee agrees that for a period of two (2) years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directly or indirectly, whether for Employee’s own benefit or on behalf of another: (i) hire or offer to hire any of the Company’s officers, employees or agents; (ii) persuade, or attempt to persuade, any officer, employee or agent of the Company to discontinue any relationship with the Company; or (iii) solicit or divert or attempt to divert any customer or supplier of the Company then doing business in the Company’s service territory.</w:t>
      </w:r>
    </w:p>
    <w:p>
      <w:pPr>
        <w:spacing w:after="0" w:line="193" w:lineRule="exact"/>
        <w:rPr>
          <w:rFonts w:ascii="Times New Roman" w:cs="Times New Roman" w:eastAsia="Times New Roman" w:hAnsi="Times New Roman"/>
          <w:sz w:val="20"/>
          <w:szCs w:val="20"/>
          <w:b w:val="1"/>
          <w:bCs w:val="1"/>
          <w:color w:val="auto"/>
        </w:rPr>
      </w:pPr>
    </w:p>
    <w:p>
      <w:pPr>
        <w:ind w:right="20" w:firstLine="749"/>
        <w:spacing w:after="0" w:line="245" w:lineRule="auto"/>
        <w:tabs>
          <w:tab w:leader="none" w:pos="1635"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Employee agrees that for a period of two (2) years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directly or indirectly, disparage, criticize, or otherwise make derogatory statements regarding the Company or any aspect of management policies, operations, practices, or personnel of the Company. Notwithstanding the foregoing, nothing contained herein will be deemed to restrict the Employee from providing information to any governmental or regulatory agency (or in any way limit the content of such information) to the extent the Employee is required to provide such information pursuant to applicable law or regulation; nor will the foregoing restrict the Employee from enforcing Employee’s rights under this Waiver and Release.</w:t>
      </w:r>
    </w:p>
    <w:p>
      <w:pPr>
        <w:spacing w:after="0" w:line="3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69850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160" w:top="333" w:right="559" w:bottom="1440" w:gutter="0" w:footer="0" w:header="0"/>
        </w:sectPr>
      </w:pPr>
    </w:p>
    <w:bookmarkStart w:id="188" w:name="page189"/>
    <w:bookmarkEnd w:id="188"/>
    <w:p>
      <w:pPr>
        <w:ind w:right="180" w:firstLine="749"/>
        <w:spacing w:after="0" w:line="245" w:lineRule="auto"/>
        <w:tabs>
          <w:tab w:leader="none" w:pos="1635"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Permitted Activities. </w:t>
      </w:r>
      <w:r>
        <w:rPr>
          <w:rFonts w:ascii="Times New Roman" w:cs="Times New Roman" w:eastAsia="Times New Roman" w:hAnsi="Times New Roman"/>
          <w:sz w:val="20"/>
          <w:szCs w:val="20"/>
          <w:color w:val="auto"/>
        </w:rPr>
        <w:t>Notwithstanding any other provision hereof, nothing contained in this Waiver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is 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192" w:lineRule="exact"/>
        <w:rPr>
          <w:rFonts w:ascii="Times New Roman" w:cs="Times New Roman" w:eastAsia="Times New Roman" w:hAnsi="Times New Roman"/>
          <w:sz w:val="20"/>
          <w:szCs w:val="20"/>
          <w:b w:val="1"/>
          <w:bCs w:val="1"/>
          <w:color w:val="auto"/>
        </w:rPr>
      </w:pPr>
    </w:p>
    <w:p>
      <w:pPr>
        <w:jc w:val="both"/>
        <w:ind w:right="200" w:firstLine="749"/>
        <w:spacing w:after="0" w:line="250" w:lineRule="auto"/>
        <w:tabs>
          <w:tab w:leader="none" w:pos="1635"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Supersedes All Other Non-Competition, Non-Solicitation and Non- Disparagement Agreements. </w:t>
      </w:r>
      <w:r>
        <w:rPr>
          <w:rFonts w:ascii="Times New Roman" w:cs="Times New Roman" w:eastAsia="Times New Roman" w:hAnsi="Times New Roman"/>
          <w:sz w:val="20"/>
          <w:szCs w:val="20"/>
          <w:color w:val="auto"/>
        </w:rPr>
        <w:t>Employee agrees, that in the event of a Termination Date under the Agreement, the foregoing Section 6. Non-Competition, Section 7. Non- Solicitation and Section 8. Non-Disparagement supersedes any other non-competition, non-solicitation or non-disparagement agreements or provisions that may have been in place prior to the Termination Date.</w:t>
      </w:r>
    </w:p>
    <w:p>
      <w:pPr>
        <w:spacing w:after="0" w:line="189" w:lineRule="exact"/>
        <w:rPr>
          <w:rFonts w:ascii="Times New Roman" w:cs="Times New Roman" w:eastAsia="Times New Roman" w:hAnsi="Times New Roman"/>
          <w:sz w:val="20"/>
          <w:szCs w:val="20"/>
          <w:b w:val="1"/>
          <w:bCs w:val="1"/>
          <w:color w:val="auto"/>
        </w:rPr>
      </w:pPr>
    </w:p>
    <w:p>
      <w:pPr>
        <w:ind w:right="160" w:firstLine="749"/>
        <w:spacing w:after="0" w:line="276" w:lineRule="auto"/>
        <w:tabs>
          <w:tab w:leader="none" w:pos="1635" w:val="left"/>
        </w:tabs>
        <w:numPr>
          <w:ilvl w:val="0"/>
          <w:numId w:val="1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Confidentiality Agreement. </w:t>
      </w:r>
      <w:r>
        <w:rPr>
          <w:rFonts w:ascii="Times New Roman" w:cs="Times New Roman" w:eastAsia="Times New Roman" w:hAnsi="Times New Roman"/>
          <w:sz w:val="19"/>
          <w:szCs w:val="19"/>
          <w:color w:val="auto"/>
        </w:rPr>
        <w:t>Employee acknowledges that the terms of this Waiver and Release must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kept 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64" w:lineRule="exact"/>
        <w:rPr>
          <w:rFonts w:ascii="Times New Roman" w:cs="Times New Roman" w:eastAsia="Times New Roman" w:hAnsi="Times New Roman"/>
          <w:sz w:val="19"/>
          <w:szCs w:val="19"/>
          <w:b w:val="1"/>
          <w:bCs w:val="1"/>
          <w:color w:val="auto"/>
        </w:rPr>
      </w:pPr>
    </w:p>
    <w:p>
      <w:pPr>
        <w:ind w:right="420" w:firstLine="749"/>
        <w:spacing w:after="0" w:line="256" w:lineRule="auto"/>
        <w:tabs>
          <w:tab w:leader="none" w:pos="1635"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Employee agrees to cooperate with the Company and its attorneys in connection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lawsuits, claims, investigations, or similar proceedings, including the provision of testimony as my reasonably be required, arising out of or in any way related to Employee’s employment by the Company or any of its Subsidiaries.</w:t>
      </w:r>
    </w:p>
    <w:p>
      <w:pPr>
        <w:spacing w:after="0" w:line="182" w:lineRule="exact"/>
        <w:rPr>
          <w:rFonts w:ascii="Times New Roman" w:cs="Times New Roman" w:eastAsia="Times New Roman" w:hAnsi="Times New Roman"/>
          <w:sz w:val="20"/>
          <w:szCs w:val="20"/>
          <w:b w:val="1"/>
          <w:bCs w:val="1"/>
          <w:color w:val="auto"/>
        </w:rPr>
      </w:pPr>
    </w:p>
    <w:p>
      <w:pPr>
        <w:jc w:val="both"/>
        <w:ind w:right="180" w:firstLine="749"/>
        <w:spacing w:after="0" w:line="261" w:lineRule="auto"/>
        <w:tabs>
          <w:tab w:leader="none" w:pos="1635" w:val="left"/>
        </w:tabs>
        <w:numPr>
          <w:ilvl w:val="0"/>
          <w:numId w:val="1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Acknowledgement. </w:t>
      </w:r>
      <w:r>
        <w:rPr>
          <w:rFonts w:ascii="Times New Roman" w:cs="Times New Roman" w:eastAsia="Times New Roman" w:hAnsi="Times New Roman"/>
          <w:sz w:val="19"/>
          <w:szCs w:val="19"/>
          <w:color w:val="auto"/>
        </w:rPr>
        <w:t>Employee acknowledges that Employee has carefully read and fully understands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terms of this Waiver and Release and the Agreement and that this Waiver and Release is executed by Employee voluntarily and is not based upon any representations or statements of any kind made by the Company or any of the other Released Parties.</w:t>
      </w:r>
    </w:p>
    <w:p>
      <w:pPr>
        <w:spacing w:after="0" w:line="1" w:lineRule="exact"/>
        <w:rPr>
          <w:rFonts w:ascii="Times New Roman" w:cs="Times New Roman" w:eastAsia="Times New Roman" w:hAnsi="Times New Roman"/>
          <w:sz w:val="19"/>
          <w:szCs w:val="19"/>
          <w:b w:val="1"/>
          <w:bCs w:val="1"/>
          <w:color w:val="auto"/>
        </w:rPr>
      </w:pPr>
    </w:p>
    <w:p>
      <w:pPr>
        <w:ind w:right="34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Employee further acknowledges that Employee has had a full and reasonable opportunity to consider this waiver Release and that Employee has not been pressured or in any way coerced into executing this Waiver and Release.</w:t>
      </w:r>
    </w:p>
    <w:p>
      <w:pPr>
        <w:spacing w:after="0" w:line="191" w:lineRule="exact"/>
        <w:rPr>
          <w:rFonts w:ascii="Times New Roman" w:cs="Times New Roman" w:eastAsia="Times New Roman" w:hAnsi="Times New Roman"/>
          <w:sz w:val="19"/>
          <w:szCs w:val="19"/>
          <w:b w:val="1"/>
          <w:bCs w:val="1"/>
          <w:color w:val="auto"/>
        </w:rPr>
      </w:pPr>
    </w:p>
    <w:p>
      <w:pPr>
        <w:ind w:right="660" w:firstLine="749"/>
        <w:spacing w:after="0" w:line="273" w:lineRule="auto"/>
        <w:tabs>
          <w:tab w:leader="none" w:pos="1635"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Laws. </w:t>
      </w:r>
      <w:r>
        <w:rPr>
          <w:rFonts w:ascii="Times New Roman" w:cs="Times New Roman" w:eastAsia="Times New Roman" w:hAnsi="Times New Roman"/>
          <w:sz w:val="20"/>
          <w:szCs w:val="20"/>
          <w:color w:val="auto"/>
        </w:rPr>
        <w:t>This Waiver and Release and the rights and obligation so the parties hereto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and construed in accordance with the laws of the State of South Dakota.</w:t>
      </w:r>
    </w:p>
    <w:p>
      <w:pPr>
        <w:spacing w:after="0" w:line="165" w:lineRule="exact"/>
        <w:rPr>
          <w:rFonts w:ascii="Times New Roman" w:cs="Times New Roman" w:eastAsia="Times New Roman" w:hAnsi="Times New Roman"/>
          <w:sz w:val="20"/>
          <w:szCs w:val="20"/>
          <w:b w:val="1"/>
          <w:bCs w:val="1"/>
          <w:color w:val="auto"/>
        </w:rPr>
      </w:pPr>
    </w:p>
    <w:p>
      <w:pPr>
        <w:ind w:firstLine="749"/>
        <w:spacing w:after="0" w:line="244" w:lineRule="auto"/>
        <w:tabs>
          <w:tab w:leader="none" w:pos="1641"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With the exception of the waiver and releases contained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1 and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 of 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Times New Roman" w:cs="Times New Roman" w:eastAsia="Times New Roman" w:hAnsi="Times New Roman"/>
          <w:sz w:val="20"/>
          <w:szCs w:val="20"/>
          <w:u w:val="single" w:color="auto"/>
          <w:color w:val="auto"/>
        </w:rPr>
        <w:t>Sections 1 and 2</w:t>
      </w:r>
      <w:r>
        <w:rPr>
          <w:rFonts w:ascii="Times New Roman" w:cs="Times New Roman" w:eastAsia="Times New Roman" w:hAnsi="Times New Roman"/>
          <w:sz w:val="20"/>
          <w:szCs w:val="20"/>
          <w:color w:val="auto"/>
        </w:rPr>
        <w:t xml:space="preserve"> are unenforceable or are held to be unenforceable, the parties understand and agree that the remaining provisions of this Waiver and Release shall be rendered null and void and that neither party shall have any further obligation</w:t>
      </w:r>
    </w:p>
    <w:p>
      <w:pPr>
        <w:spacing w:after="0" w:line="18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69850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160" w:top="329" w:right="479" w:bottom="1440" w:gutter="0" w:footer="0" w:header="0"/>
        </w:sectPr>
      </w:pPr>
    </w:p>
    <w:bookmarkStart w:id="189" w:name="page190"/>
    <w:bookmarkEnd w:id="189"/>
    <w:p>
      <w:pPr>
        <w:ind w:left="720"/>
        <w:spacing w:after="0"/>
        <w:rPr>
          <w:sz w:val="20"/>
          <w:szCs w:val="20"/>
          <w:color w:val="auto"/>
        </w:rPr>
      </w:pPr>
      <w:r>
        <w:rPr>
          <w:rFonts w:ascii="Times New Roman" w:cs="Times New Roman" w:eastAsia="Times New Roman" w:hAnsi="Times New Roman"/>
          <w:sz w:val="20"/>
          <w:szCs w:val="20"/>
          <w:color w:val="auto"/>
        </w:rPr>
        <w:t>under any provision of this Waiver and Release.</w:t>
      </w:r>
    </w:p>
    <w:p>
      <w:pPr>
        <w:spacing w:after="0" w:line="239" w:lineRule="exact"/>
        <w:rPr>
          <w:sz w:val="20"/>
          <w:szCs w:val="20"/>
          <w:color w:val="auto"/>
        </w:rPr>
      </w:pPr>
    </w:p>
    <w:p>
      <w:pPr>
        <w:ind w:left="720" w:firstLine="749"/>
        <w:spacing w:after="0" w:line="273" w:lineRule="auto"/>
        <w:tabs>
          <w:tab w:leader="none" w:pos="2361"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Capitalized terms that are not defined in this Waiver and Release shall have the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the Agreement.</w:t>
      </w:r>
    </w:p>
    <w:p>
      <w:pPr>
        <w:spacing w:after="0" w:line="165" w:lineRule="exact"/>
        <w:rPr>
          <w:rFonts w:ascii="Times New Roman" w:cs="Times New Roman" w:eastAsia="Times New Roman" w:hAnsi="Times New Roman"/>
          <w:sz w:val="20"/>
          <w:szCs w:val="20"/>
          <w:b w:val="1"/>
          <w:bCs w:val="1"/>
          <w:color w:val="auto"/>
        </w:rPr>
      </w:pPr>
    </w:p>
    <w:p>
      <w:pPr>
        <w:ind w:left="720" w:right="80" w:firstLine="749"/>
        <w:spacing w:after="0" w:line="250" w:lineRule="auto"/>
        <w:tabs>
          <w:tab w:leader="none" w:pos="2361"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document contains all terms of the Waiver and Release and supersedes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invalidates any previous agreements or contracts regarding the same subject matter; provided, however, the terms of the Agreement that survive the Termination Date shall remain in effect. No representations, inducements, promises or agreements, oral or otherwise, which are not embodies herein shall be of any force or effect.</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9"/>
          <w:szCs w:val="29"/>
          <w:b w:val="1"/>
          <w:bCs w:val="1"/>
          <w:i w:val="1"/>
          <w:iCs w:val="1"/>
          <w:color w:val="auto"/>
        </w:rPr>
        <w:t>Please read this document carefully, as it includes a release of claims.</w:t>
      </w:r>
    </w:p>
    <w:p>
      <w:pPr>
        <w:spacing w:after="0" w:line="247" w:lineRule="exact"/>
        <w:rPr>
          <w:sz w:val="20"/>
          <w:szCs w:val="20"/>
          <w:color w:val="auto"/>
        </w:rPr>
      </w:pPr>
    </w:p>
    <w:p>
      <w:pPr>
        <w:ind w:right="180" w:firstLine="747"/>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acknowledges that Employee has read this Waiver and Release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Employee’s hand and seal this __ day of _____________, 202_.</w:t>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425450</wp:posOffset>
            </wp:positionV>
            <wp:extent cx="15074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4">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Linden R. Evans</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0" w:lineRule="exact"/>
        <w:rPr>
          <w:sz w:val="20"/>
          <w:szCs w:val="20"/>
          <w:color w:val="auto"/>
        </w:rPr>
      </w:pP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-10795</wp:posOffset>
            </wp:positionV>
            <wp:extent cx="13258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-24765</wp:posOffset>
            </wp:positionV>
            <wp:extent cx="12401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6">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40" w:top="333" w:right="6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10.18</w:t>
      </w:r>
    </w:p>
    <w:p>
      <w:pPr>
        <w:spacing w:after="0" w:line="16" w:lineRule="exact"/>
        <w:rPr>
          <w:sz w:val="20"/>
          <w:szCs w:val="20"/>
          <w:color w:val="auto"/>
        </w:rPr>
      </w:pPr>
    </w:p>
    <w:p>
      <w:pPr>
        <w:ind w:left="3140"/>
        <w:spacing w:after="0"/>
        <w:rPr>
          <w:sz w:val="20"/>
          <w:szCs w:val="20"/>
          <w:color w:val="auto"/>
        </w:rPr>
      </w:pPr>
      <w:r>
        <w:rPr>
          <w:rFonts w:ascii="Arial" w:cs="Arial" w:eastAsia="Arial" w:hAnsi="Arial"/>
          <w:sz w:val="20"/>
          <w:szCs w:val="20"/>
          <w:b w:val="1"/>
          <w:bCs w:val="1"/>
          <w:u w:val="single" w:color="auto"/>
          <w:color w:val="auto"/>
        </w:rPr>
        <w:t>CHANGE IN CONTROL AGREEMENT</w:t>
      </w:r>
    </w:p>
    <w:p>
      <w:pPr>
        <w:spacing w:after="0" w:line="156" w:lineRule="exact"/>
        <w:rPr>
          <w:sz w:val="20"/>
          <w:szCs w:val="20"/>
          <w:color w:val="auto"/>
        </w:rPr>
      </w:pPr>
    </w:p>
    <w:p>
      <w:pPr>
        <w:ind w:right="460" w:firstLine="749"/>
        <w:spacing w:after="0" w:line="269" w:lineRule="auto"/>
        <w:rPr>
          <w:sz w:val="20"/>
          <w:szCs w:val="20"/>
          <w:color w:val="auto"/>
        </w:rPr>
      </w:pPr>
      <w:r>
        <w:rPr>
          <w:rFonts w:ascii="Times New Roman" w:cs="Times New Roman" w:eastAsia="Times New Roman" w:hAnsi="Times New Roman"/>
          <w:sz w:val="20"/>
          <w:szCs w:val="20"/>
          <w:color w:val="auto"/>
        </w:rPr>
        <w:t>This Change in Control Agreement (“Agreement”) dated as of November 15, 2022, is entered into by and between Black Hills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________________________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right="360" w:firstLine="749"/>
        <w:spacing w:after="0" w:line="250" w:lineRule="auto"/>
        <w:rPr>
          <w:sz w:val="20"/>
          <w:szCs w:val="20"/>
          <w:color w:val="auto"/>
        </w:rPr>
      </w:pPr>
      <w:r>
        <w:rPr>
          <w:rFonts w:ascii="Times New Roman" w:cs="Times New Roman" w:eastAsia="Times New Roman" w:hAnsi="Times New Roman"/>
          <w:sz w:val="20"/>
          <w:szCs w:val="20"/>
          <w:color w:val="auto"/>
        </w:rPr>
        <w:t>The Board of Directors of the Company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89" w:lineRule="exact"/>
        <w:rPr>
          <w:sz w:val="20"/>
          <w:szCs w:val="20"/>
          <w:color w:val="auto"/>
        </w:rPr>
      </w:pPr>
    </w:p>
    <w:p>
      <w:pPr>
        <w:ind w:left="880" w:hanging="872"/>
        <w:spacing w:after="0"/>
        <w:tabs>
          <w:tab w:leader="none" w:pos="88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have the meaning ascribed to such term in rule 12b-2 of the General Rules and Regulations of the Exchange Act.</w:t>
      </w:r>
    </w:p>
    <w:p>
      <w:pPr>
        <w:spacing w:after="0" w:line="297" w:lineRule="exact"/>
        <w:rPr>
          <w:sz w:val="20"/>
          <w:szCs w:val="20"/>
          <w:color w:val="auto"/>
        </w:rPr>
      </w:pPr>
    </w:p>
    <w:p>
      <w:pPr>
        <w:ind w:left="760" w:right="200" w:hanging="352"/>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 COMPENSATION</w:t>
      </w:r>
      <w:r>
        <w:rPr>
          <w:rFonts w:ascii="Times New Roman" w:cs="Times New Roman" w:eastAsia="Times New Roman" w:hAnsi="Times New Roman"/>
          <w:sz w:val="20"/>
          <w:szCs w:val="20"/>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314" w:lineRule="exact"/>
        <w:rPr>
          <w:sz w:val="20"/>
          <w:szCs w:val="20"/>
          <w:color w:val="auto"/>
        </w:rPr>
      </w:pPr>
    </w:p>
    <w:p>
      <w:pPr>
        <w:ind w:left="760" w:right="420" w:hanging="35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shall have the meaning ascribed to such term in Rule 13d-3 of the General Rules and Regulations under the Exchange Act.</w:t>
      </w:r>
    </w:p>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xml:space="preserve">” means those events or conditions described in </w:t>
      </w:r>
      <w:r>
        <w:rPr>
          <w:rFonts w:ascii="Times New Roman" w:cs="Times New Roman" w:eastAsia="Times New Roman" w:hAnsi="Times New Roman"/>
          <w:sz w:val="20"/>
          <w:szCs w:val="20"/>
          <w:u w:val="single" w:color="auto"/>
          <w:color w:val="auto"/>
        </w:rPr>
        <w:t>subsection 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w:t>
      </w:r>
      <w:r>
        <w:rPr>
          <w:rFonts w:ascii="Times New Roman" w:cs="Times New Roman" w:eastAsia="Times New Roman" w:hAnsi="Times New Roman"/>
          <w:sz w:val="20"/>
          <w:szCs w:val="20"/>
          <w:color w:val="auto"/>
        </w:rPr>
        <w:t>” shall mean any of the following events:</w:t>
      </w:r>
    </w:p>
    <w:p>
      <w:pPr>
        <w:spacing w:after="0" w:line="233" w:lineRule="exact"/>
        <w:rPr>
          <w:sz w:val="20"/>
          <w:szCs w:val="20"/>
          <w:color w:val="auto"/>
        </w:rPr>
      </w:pPr>
    </w:p>
    <w:p>
      <w:pPr>
        <w:ind w:left="760" w:right="160" w:hanging="3"/>
        <w:spacing w:after="0" w:line="245" w:lineRule="auto"/>
        <w:tabs>
          <w:tab w:leader="none" w:pos="164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subsections (c)(i), (ii) and (iii) below;</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1" w:name="page192"/>
    <w:bookmarkEnd w:id="191"/>
    <w:p>
      <w:pPr>
        <w:ind w:left="360" w:right="80" w:hanging="3"/>
        <w:spacing w:after="0" w:line="244" w:lineRule="auto"/>
        <w:tabs>
          <w:tab w:leader="none" w:pos="12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Individuals who, as of October 1, 2022, are members of the Board (the “</w:t>
      </w:r>
      <w:r>
        <w:rPr>
          <w:rFonts w:ascii="Times New Roman" w:cs="Times New Roman" w:eastAsia="Times New Roman" w:hAnsi="Times New Roman"/>
          <w:sz w:val="20"/>
          <w:szCs w:val="20"/>
          <w:b w:val="1"/>
          <w:bCs w:val="1"/>
          <w:color w:val="auto"/>
        </w:rPr>
        <w:t>Incumbent Board</w:t>
      </w:r>
      <w:r>
        <w:rPr>
          <w:rFonts w:ascii="Times New Roman" w:cs="Times New Roman" w:eastAsia="Times New Roman" w:hAnsi="Times New Roman"/>
          <w:sz w:val="20"/>
          <w:szCs w:val="20"/>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(a “</w:t>
      </w:r>
      <w:r>
        <w:rPr>
          <w:rFonts w:ascii="Times New Roman" w:cs="Times New Roman" w:eastAsia="Times New Roman" w:hAnsi="Times New Roman"/>
          <w:sz w:val="20"/>
          <w:szCs w:val="20"/>
          <w:b w:val="1"/>
          <w:bCs w:val="1"/>
          <w:color w:val="auto"/>
        </w:rPr>
        <w:t>Proxy Contest</w:t>
      </w:r>
      <w:r>
        <w:rPr>
          <w:rFonts w:ascii="Times New Roman" w:cs="Times New Roman" w:eastAsia="Times New Roman" w:hAnsi="Times New Roman"/>
          <w:sz w:val="20"/>
          <w:szCs w:val="20"/>
          <w:color w:val="auto"/>
        </w:rPr>
        <w:t>”) including by reason of any agreement intended to avoid or settle any actual or threatened proxy contest;</w:t>
      </w:r>
    </w:p>
    <w:p>
      <w:pPr>
        <w:spacing w:after="0" w:line="211" w:lineRule="exact"/>
        <w:rPr>
          <w:rFonts w:ascii="Times New Roman" w:cs="Times New Roman" w:eastAsia="Times New Roman" w:hAnsi="Times New Roman"/>
          <w:sz w:val="20"/>
          <w:szCs w:val="20"/>
          <w:color w:val="auto"/>
        </w:rPr>
      </w:pPr>
    </w:p>
    <w:p>
      <w:pPr>
        <w:ind w:left="360" w:hanging="3"/>
        <w:spacing w:after="0" w:line="241" w:lineRule="auto"/>
        <w:tabs>
          <w:tab w:leader="none" w:pos="12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Consummation, following shareholder approval, of a reorganization, merger, or consolidation of the Company, or a sale or other disposition of all or substantially all of the assets of the Company (each a “</w:t>
      </w:r>
      <w:r>
        <w:rPr>
          <w:rFonts w:ascii="Times New Roman" w:cs="Times New Roman" w:eastAsia="Times New Roman" w:hAnsi="Times New Roman"/>
          <w:sz w:val="20"/>
          <w:szCs w:val="20"/>
          <w:b w:val="1"/>
          <w:bCs w:val="1"/>
          <w:color w:val="auto"/>
        </w:rPr>
        <w:t>Business Combination</w:t>
      </w:r>
      <w:r>
        <w:rPr>
          <w:rFonts w:ascii="Times New Roman" w:cs="Times New Roman" w:eastAsia="Times New Roman" w:hAnsi="Times New Roman"/>
          <w:sz w:val="20"/>
          <w:szCs w:val="20"/>
          <w:color w:val="auto"/>
        </w:rPr>
        <w:t>”),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9" w:lineRule="exact"/>
        <w:rPr>
          <w:rFonts w:ascii="Times New Roman" w:cs="Times New Roman" w:eastAsia="Times New Roman" w:hAnsi="Times New Roman"/>
          <w:sz w:val="20"/>
          <w:szCs w:val="20"/>
          <w:color w:val="auto"/>
        </w:rPr>
      </w:pPr>
    </w:p>
    <w:p>
      <w:pPr>
        <w:ind w:left="360" w:right="640" w:hanging="3"/>
        <w:spacing w:after="0" w:line="269" w:lineRule="auto"/>
        <w:tabs>
          <w:tab w:leader="none" w:pos="12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Approval by the shareholders of the Company of a complete liquidation or dissolution of the Company, except pursuant to a Business Combination that complies with </w:t>
      </w:r>
      <w:r>
        <w:rPr>
          <w:rFonts w:ascii="Times New Roman" w:cs="Times New Roman" w:eastAsia="Times New Roman" w:hAnsi="Times New Roman"/>
          <w:sz w:val="20"/>
          <w:szCs w:val="20"/>
          <w:u w:val="single" w:color="auto"/>
          <w:color w:val="auto"/>
        </w:rPr>
        <w:t>subsections (c)(i), (ii), and (iii)</w:t>
      </w:r>
      <w:r>
        <w:rPr>
          <w:rFonts w:ascii="Times New Roman" w:cs="Times New Roman" w:eastAsia="Times New Roman" w:hAnsi="Times New Roman"/>
          <w:sz w:val="20"/>
          <w:szCs w:val="20"/>
          <w:color w:val="auto"/>
        </w:rPr>
        <w:t xml:space="preserve"> above.</w:t>
      </w:r>
    </w:p>
    <w:p>
      <w:pPr>
        <w:spacing w:after="0" w:line="168" w:lineRule="exact"/>
        <w:rPr>
          <w:rFonts w:ascii="Times New Roman" w:cs="Times New Roman" w:eastAsia="Times New Roman" w:hAnsi="Times New Roman"/>
          <w:sz w:val="20"/>
          <w:szCs w:val="20"/>
          <w:color w:val="auto"/>
        </w:rPr>
      </w:pPr>
    </w:p>
    <w:p>
      <w:pPr>
        <w:ind w:left="360" w:right="40" w:hanging="3"/>
        <w:spacing w:after="0" w:line="244" w:lineRule="auto"/>
        <w:tabs>
          <w:tab w:leader="none" w:pos="12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not be deemed to occur solely because any Person (the “</w:t>
      </w:r>
      <w:r>
        <w:rPr>
          <w:rFonts w:ascii="Times New Roman" w:cs="Times New Roman" w:eastAsia="Times New Roman" w:hAnsi="Times New Roman"/>
          <w:sz w:val="20"/>
          <w:szCs w:val="20"/>
          <w:b w:val="1"/>
          <w:bCs w:val="1"/>
          <w:color w:val="auto"/>
        </w:rPr>
        <w:t>Subject Person</w:t>
      </w:r>
      <w:r>
        <w:rPr>
          <w:rFonts w:ascii="Times New Roman" w:cs="Times New Roman" w:eastAsia="Times New Roman" w:hAnsi="Times New Roman"/>
          <w:sz w:val="20"/>
          <w:szCs w:val="20"/>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99" w:lineRule="exact"/>
        <w:rPr>
          <w:rFonts w:ascii="Times New Roman" w:cs="Times New Roman" w:eastAsia="Times New Roman" w:hAnsi="Times New Roman"/>
          <w:sz w:val="20"/>
          <w:szCs w:val="20"/>
          <w:color w:val="auto"/>
        </w:rPr>
      </w:pPr>
    </w:p>
    <w:p>
      <w:pPr>
        <w:ind w:left="360" w:right="320" w:hanging="3"/>
        <w:spacing w:after="0" w:line="254" w:lineRule="auto"/>
        <w:tabs>
          <w:tab w:leader="none" w:pos="124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251" w:lineRule="exact"/>
        <w:rPr>
          <w:sz w:val="20"/>
          <w:szCs w:val="20"/>
          <w:color w:val="auto"/>
        </w:rPr>
      </w:pPr>
    </w:p>
    <w:p>
      <w:pPr>
        <w:ind w:left="360" w:right="760" w:hanging="35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 from time to time, and applicable regulations and guidance thereunder.</w:t>
      </w:r>
    </w:p>
    <w:p>
      <w:pPr>
        <w:spacing w:after="0" w:line="1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69850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720" w:top="114" w:right="539" w:bottom="1440" w:gutter="0" w:footer="0" w:header="0"/>
        </w:sectPr>
      </w:pPr>
    </w:p>
    <w:bookmarkStart w:id="192" w:name="page193"/>
    <w:bookmarkEnd w:id="192"/>
    <w:p>
      <w:pPr>
        <w:ind w:left="200" w:right="2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the Employee is eligible for and receiving benefits under the Company sponsored group long-term disability plan in which the Employee participates.</w:t>
      </w:r>
    </w:p>
    <w:p>
      <w:pPr>
        <w:spacing w:after="0" w:line="233" w:lineRule="exact"/>
        <w:rPr>
          <w:sz w:val="20"/>
          <w:szCs w:val="20"/>
          <w:color w:val="auto"/>
        </w:rPr>
      </w:pPr>
    </w:p>
    <w:p>
      <w:pPr>
        <w:ind w:left="200" w:right="80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 DATE</w:t>
      </w:r>
      <w:r>
        <w:rPr>
          <w:rFonts w:ascii="Times New Roman" w:cs="Times New Roman" w:eastAsia="Times New Roman" w:hAnsi="Times New Roman"/>
          <w:sz w:val="20"/>
          <w:szCs w:val="20"/>
          <w:color w:val="auto"/>
        </w:rPr>
        <w:t>” means the date subsequent to a Change in Control on which the Employee is determined to have a Disability.</w:t>
      </w:r>
    </w:p>
    <w:p>
      <w:pPr>
        <w:spacing w:after="0" w:line="273" w:lineRule="exact"/>
        <w:rPr>
          <w:sz w:val="20"/>
          <w:szCs w:val="20"/>
          <w:color w:val="auto"/>
        </w:rPr>
      </w:pPr>
    </w:p>
    <w:p>
      <w:pPr>
        <w:jc w:val="both"/>
        <w:ind w:left="200" w:right="640" w:hanging="20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“ERISA” </w:t>
      </w:r>
      <w:r>
        <w:rPr>
          <w:rFonts w:ascii="Times New Roman" w:cs="Times New Roman" w:eastAsia="Times New Roman" w:hAnsi="Times New Roman"/>
          <w:sz w:val="20"/>
          <w:szCs w:val="20"/>
          <w:color w:val="auto"/>
        </w:rPr>
        <w:t>means the Employee Retirement Income Security Act of 1974,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 from time to time, or any successor act thereto.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xml:space="preserve">” means those events or conditions described in </w:t>
      </w:r>
      <w:r>
        <w:rPr>
          <w:rFonts w:ascii="Times New Roman" w:cs="Times New Roman" w:eastAsia="Times New Roman" w:hAnsi="Times New Roman"/>
          <w:sz w:val="20"/>
          <w:szCs w:val="20"/>
          <w:u w:val="single" w:color="auto"/>
          <w:color w:val="auto"/>
        </w:rPr>
        <w:t>subsection 8(c)</w:t>
      </w:r>
      <w:r>
        <w:rPr>
          <w:rFonts w:ascii="Times New Roman" w:cs="Times New Roman" w:eastAsia="Times New Roman" w:hAnsi="Times New Roman"/>
          <w:sz w:val="20"/>
          <w:szCs w:val="20"/>
          <w:color w:val="auto"/>
        </w:rPr>
        <w:t xml:space="preserve"> below.</w:t>
      </w:r>
    </w:p>
    <w:p>
      <w:pPr>
        <w:spacing w:after="0" w:line="216" w:lineRule="exact"/>
        <w:rPr>
          <w:sz w:val="20"/>
          <w:szCs w:val="20"/>
          <w:color w:val="auto"/>
        </w:rPr>
      </w:pPr>
    </w:p>
    <w:p>
      <w:pPr>
        <w:ind w:left="200" w:right="140" w:hanging="20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NONQUALIFIED DEFERRED COMPENSATION PLAN</w:t>
      </w:r>
      <w:r>
        <w:rPr>
          <w:rFonts w:ascii="Times New Roman" w:cs="Times New Roman" w:eastAsia="Times New Roman" w:hAnsi="Times New Roman"/>
          <w:sz w:val="20"/>
          <w:szCs w:val="20"/>
          <w:color w:val="auto"/>
        </w:rPr>
        <w:t>” means the Company’s Nonqualified Deferred Compensation Plan as amended and restated effective January 1, 2011, and as amended or replaced from time to time thereafter prior to the Effective Date and the Company’s Post-2018 Nonqualified Deferred Compensation Plan as effective January 1, 2019, and as amended or replaced from time to time thereafter prior to the Effective Date.</w:t>
      </w:r>
    </w:p>
    <w:p>
      <w:pPr>
        <w:spacing w:after="0" w:line="189" w:lineRule="exact"/>
        <w:rPr>
          <w:sz w:val="20"/>
          <w:szCs w:val="20"/>
          <w:color w:val="auto"/>
        </w:rPr>
      </w:pPr>
    </w:p>
    <w:p>
      <w:pPr>
        <w:ind w:left="200" w:right="360" w:hanging="20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TERMINATION</w:t>
      </w:r>
      <w:r>
        <w:rPr>
          <w:rFonts w:ascii="Times New Roman" w:cs="Times New Roman" w:eastAsia="Times New Roman" w:hAnsi="Times New Roman"/>
          <w:sz w:val="20"/>
          <w:szCs w:val="20"/>
          <w:color w:val="auto"/>
        </w:rPr>
        <w:t>” means a notice which indicates the specific termination provision in this Agreement, if any, relied upon and shall set forth in reasonable detail the facts and circumstances claimed to provide a basis for termination of Employee’s employment under the provisions so indicated. Any purported termination by the Company or Employee shall be communicated by written notice of termination to the other.</w:t>
      </w:r>
    </w:p>
    <w:p>
      <w:pPr>
        <w:spacing w:after="0" w:line="189" w:lineRule="exact"/>
        <w:rPr>
          <w:sz w:val="20"/>
          <w:szCs w:val="20"/>
          <w:color w:val="auto"/>
        </w:rPr>
      </w:pPr>
    </w:p>
    <w:p>
      <w:pPr>
        <w:ind w:left="200" w:right="140" w:hanging="20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OMNIBUS INCENTIVE COMPENSATION PLANS</w:t>
      </w:r>
      <w:r>
        <w:rPr>
          <w:rFonts w:ascii="Times New Roman" w:cs="Times New Roman" w:eastAsia="Times New Roman" w:hAnsi="Times New Roman"/>
          <w:sz w:val="19"/>
          <w:szCs w:val="19"/>
          <w:color w:val="auto"/>
        </w:rPr>
        <w:t>” means the incentive compensation plans known as the “Amended and Restated 2015 Omnibus Incentive Plan” as effective April 26, 2022,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172" w:lineRule="exact"/>
        <w:rPr>
          <w:sz w:val="20"/>
          <w:szCs w:val="20"/>
          <w:color w:val="auto"/>
        </w:rPr>
      </w:pPr>
    </w:p>
    <w:p>
      <w:pPr>
        <w:ind w:left="200" w:right="40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the Black Hills Retirement Plan as amended and restated effective January 1, 2020, and as amended from time to time thereafter prior to the Effective Date.</w:t>
      </w:r>
    </w:p>
    <w:p>
      <w:pPr>
        <w:spacing w:after="0" w:line="165" w:lineRule="exact"/>
        <w:rPr>
          <w:sz w:val="20"/>
          <w:szCs w:val="20"/>
          <w:color w:val="auto"/>
        </w:rPr>
      </w:pPr>
    </w:p>
    <w:p>
      <w:pPr>
        <w:ind w:left="200" w:hanging="8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shall have the meaning ascribed to such term in Section 3(a)(9) of the Exchange Act and used in Sections 13(d) and 14(d) thereof, including a “group” as defined in Section 13(d).</w:t>
      </w:r>
    </w:p>
    <w:p>
      <w:pPr>
        <w:spacing w:after="0" w:line="165" w:lineRule="exact"/>
        <w:rPr>
          <w:sz w:val="20"/>
          <w:szCs w:val="20"/>
          <w:color w:val="auto"/>
        </w:rPr>
      </w:pPr>
    </w:p>
    <w:p>
      <w:pPr>
        <w:ind w:left="200" w:right="2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PROTECTION PERIOD</w:t>
      </w:r>
      <w:r>
        <w:rPr>
          <w:rFonts w:ascii="Times New Roman" w:cs="Times New Roman" w:eastAsia="Times New Roman" w:hAnsi="Times New Roman"/>
          <w:sz w:val="20"/>
          <w:szCs w:val="20"/>
          <w:color w:val="auto"/>
        </w:rPr>
        <w:t>” means the time period beginning on the Effective Date and ending on the second annual anniversary of the Effective Date.</w:t>
      </w:r>
    </w:p>
    <w:p>
      <w:pPr>
        <w:spacing w:after="0" w:line="3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69850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880" w:top="410" w:right="479" w:bottom="1440" w:gutter="0" w:footer="0" w:header="0"/>
        </w:sectPr>
      </w:pPr>
    </w:p>
    <w:bookmarkStart w:id="193" w:name="page194"/>
    <w:bookmarkEnd w:id="193"/>
    <w:p>
      <w:pPr>
        <w:ind w:left="760" w:right="100" w:hanging="203"/>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COMPANY</w:t>
      </w:r>
      <w:r>
        <w:rPr>
          <w:rFonts w:ascii="Times New Roman" w:cs="Times New Roman" w:eastAsia="Times New Roman" w:hAnsi="Times New Roman"/>
          <w:sz w:val="20"/>
          <w:szCs w:val="20"/>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191" w:lineRule="exact"/>
        <w:rPr>
          <w:sz w:val="20"/>
          <w:szCs w:val="20"/>
          <w:color w:val="auto"/>
        </w:rPr>
      </w:pPr>
    </w:p>
    <w:p>
      <w:pPr>
        <w:ind w:left="760" w:right="4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RESTORATION PLAN</w:t>
      </w:r>
      <w:r>
        <w:rPr>
          <w:rFonts w:ascii="Times New Roman" w:cs="Times New Roman" w:eastAsia="Times New Roman" w:hAnsi="Times New Roman"/>
          <w:sz w:val="20"/>
          <w:szCs w:val="20"/>
          <w:color w:val="auto"/>
        </w:rPr>
        <w:t>” means the Company’s Restoration Plan as in effect on January 1, 2022 and as amended or replaced from time to time thereafter prior to the Effective Date.</w:t>
      </w:r>
    </w:p>
    <w:p>
      <w:pPr>
        <w:spacing w:after="0" w:line="165" w:lineRule="exact"/>
        <w:rPr>
          <w:sz w:val="20"/>
          <w:szCs w:val="20"/>
          <w:color w:val="auto"/>
        </w:rPr>
      </w:pPr>
    </w:p>
    <w:p>
      <w:pPr>
        <w:ind w:left="760" w:right="16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RETIREE HEALTHCARE PLAN</w:t>
      </w:r>
      <w:r>
        <w:rPr>
          <w:rFonts w:ascii="Times New Roman" w:cs="Times New Roman" w:eastAsia="Times New Roman" w:hAnsi="Times New Roman"/>
          <w:sz w:val="20"/>
          <w:szCs w:val="20"/>
          <w:color w:val="auto"/>
        </w:rPr>
        <w:t>” means the Company’s Retiree Healthcare Plan as amended and restated effective January 1, 2016, and as further amended from time to time thereafter prior to the Effective Date.</w:t>
      </w:r>
    </w:p>
    <w:p>
      <w:pPr>
        <w:spacing w:after="0" w:line="165" w:lineRule="exact"/>
        <w:rPr>
          <w:sz w:val="20"/>
          <w:szCs w:val="20"/>
          <w:color w:val="auto"/>
        </w:rPr>
      </w:pPr>
    </w:p>
    <w:p>
      <w:pPr>
        <w:ind w:left="760" w:right="18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RETIREMENT SAVINGS PLAN</w:t>
      </w:r>
      <w:r>
        <w:rPr>
          <w:rFonts w:ascii="Times New Roman" w:cs="Times New Roman" w:eastAsia="Times New Roman" w:hAnsi="Times New Roman"/>
          <w:sz w:val="20"/>
          <w:szCs w:val="20"/>
          <w:color w:val="auto"/>
        </w:rPr>
        <w:t>” means the Black Hills Corporation 401(K) Retirement Savings Plan (401K) as amended and restated effective January 1, 2022, and as further amended from time to time thereafter prior to the Effective Date.</w:t>
      </w:r>
    </w:p>
    <w:p>
      <w:pPr>
        <w:spacing w:after="0" w:line="165" w:lineRule="exact"/>
        <w:rPr>
          <w:sz w:val="20"/>
          <w:szCs w:val="20"/>
          <w:color w:val="auto"/>
        </w:rPr>
      </w:pPr>
    </w:p>
    <w:p>
      <w:pPr>
        <w:ind w:left="760" w:right="80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SEVERANCE COMPENSATION</w:t>
      </w:r>
      <w:r>
        <w:rPr>
          <w:rFonts w:ascii="Times New Roman" w:cs="Times New Roman" w:eastAsia="Times New Roman" w:hAnsi="Times New Roman"/>
          <w:sz w:val="20"/>
          <w:szCs w:val="20"/>
          <w:color w:val="auto"/>
        </w:rPr>
        <w:t>” means the greater of: Employee’s base salary and annual incentive target on the day immediately prior to the (i) Effective Date; or (ii) Termination Date.</w:t>
      </w:r>
    </w:p>
    <w:p>
      <w:pPr>
        <w:spacing w:after="0" w:line="165" w:lineRule="exact"/>
        <w:rPr>
          <w:sz w:val="20"/>
          <w:szCs w:val="20"/>
          <w:color w:val="auto"/>
        </w:rPr>
      </w:pPr>
    </w:p>
    <w:p>
      <w:pPr>
        <w:ind w:left="760" w:right="6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corporation, partnership, limited liability company, joint venture, or other entity in which the Company has a majority voting interest.</w:t>
      </w:r>
    </w:p>
    <w:p>
      <w:pPr>
        <w:spacing w:after="0" w:line="165" w:lineRule="exact"/>
        <w:rPr>
          <w:sz w:val="20"/>
          <w:szCs w:val="20"/>
          <w:color w:val="auto"/>
        </w:rPr>
      </w:pPr>
    </w:p>
    <w:p>
      <w:pPr>
        <w:ind w:left="760" w:right="220" w:hanging="203"/>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SUCCESSOR EMPLOYER</w:t>
      </w:r>
      <w:r>
        <w:rPr>
          <w:rFonts w:ascii="Times New Roman" w:cs="Times New Roman" w:eastAsia="Times New Roman" w:hAnsi="Times New Roman"/>
          <w:sz w:val="20"/>
          <w:szCs w:val="20"/>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82" w:lineRule="exact"/>
        <w:rPr>
          <w:sz w:val="20"/>
          <w:szCs w:val="20"/>
          <w:color w:val="auto"/>
        </w:rPr>
      </w:pPr>
    </w:p>
    <w:p>
      <w:pPr>
        <w:ind w:left="760" w:right="80" w:hanging="20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the date, subsequent to the Effective Date, of the Employee’s separation from service (as defined for purposes of Code Section 409A) with the Company and all Related Companies.</w:t>
      </w:r>
    </w:p>
    <w:p>
      <w:pPr>
        <w:spacing w:after="0" w:line="165" w:lineRule="exact"/>
        <w:rPr>
          <w:sz w:val="20"/>
          <w:szCs w:val="20"/>
          <w:color w:val="auto"/>
        </w:rPr>
      </w:pPr>
    </w:p>
    <w:p>
      <w:pPr>
        <w:ind w:left="760" w:hanging="203"/>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WELFARE BENEFITS</w:t>
      </w:r>
      <w:r>
        <w:rPr>
          <w:rFonts w:ascii="Times New Roman" w:cs="Times New Roman" w:eastAsia="Times New Roman" w:hAnsi="Times New Roman"/>
          <w:sz w:val="19"/>
          <w:szCs w:val="19"/>
          <w:color w:val="auto"/>
        </w:rPr>
        <w:t>” means the benefits provided under the Group Insurance Plan for the Employees of Black Hills Corporation and the Black Hills Corporation Employee Healthcare Plan, as the plans and the terms and conditions thereof exist on the day immediately prior to the Effective Date. For the avoidance of doubt, the term Welfare Benefits shall not include a “flexible spending arrangement” (within the meaning of Proposed Regulation Section 1.125-5(a) or subsequent authoritative guidance).</w:t>
      </w:r>
    </w:p>
    <w:p>
      <w:pPr>
        <w:spacing w:after="0" w:line="172" w:lineRule="exact"/>
        <w:rPr>
          <w:sz w:val="20"/>
          <w:szCs w:val="20"/>
          <w:color w:val="auto"/>
        </w:rPr>
      </w:pPr>
    </w:p>
    <w:p>
      <w:pPr>
        <w:ind w:left="760" w:hanging="752"/>
        <w:spacing w:after="0"/>
        <w:tabs>
          <w:tab w:leader="none" w:pos="76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OF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120" w:firstLine="396"/>
        <w:spacing w:after="0" w:line="244" w:lineRule="auto"/>
        <w:rPr>
          <w:sz w:val="20"/>
          <w:szCs w:val="20"/>
          <w:color w:val="auto"/>
        </w:rPr>
      </w:pPr>
      <w:r>
        <w:rPr>
          <w:rFonts w:ascii="Times New Roman" w:cs="Times New Roman" w:eastAsia="Times New Roman" w:hAnsi="Times New Roman"/>
          <w:sz w:val="20"/>
          <w:szCs w:val="20"/>
          <w:color w:val="auto"/>
        </w:rPr>
        <w:t>The Term of this Agreement shall commence on the date of execution and shall continue in effect until November 15, 2025. If no Change in Control shall have occurred during the Term, this Agreement shall expire. If a Change in Control occurs during the Term, this Agreement shall remain in effect (including during the entire Protection Period) for full performance according to its terms. Upon expiration of the Term prior to a Change in Control, the Company, by action of its Board, may elect to renew or not renew this Agreement, or may offer to renew the Agreement subject to modifications of any term or condition, at its discretion. The Board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1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194" w:name="page195"/>
    <w:bookmarkEnd w:id="194"/>
    <w:p>
      <w:pPr>
        <w:ind w:left="880" w:hanging="872"/>
        <w:spacing w:after="0"/>
        <w:tabs>
          <w:tab w:leader="none" w:pos="88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 w:firstLine="396"/>
        <w:spacing w:after="0" w:line="246" w:lineRule="auto"/>
        <w:rPr>
          <w:sz w:val="20"/>
          <w:szCs w:val="20"/>
          <w:color w:val="auto"/>
        </w:rPr>
      </w:pPr>
      <w:r>
        <w:rPr>
          <w:rFonts w:ascii="Times New Roman" w:cs="Times New Roman" w:eastAsia="Times New Roman" w:hAnsi="Times New Roman"/>
          <w:sz w:val="20"/>
          <w:szCs w:val="20"/>
          <w:color w:val="auto"/>
        </w:rPr>
        <w:t>During the Protection Period the Company or Successor Employer agrees to continue to employ the Employee and the Employee agrees to remain in the employ of the Company or Successor Employer, subject to the provisions of this Agreement.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pacing w:after="0" w:line="266" w:lineRule="exact"/>
        <w:rPr>
          <w:sz w:val="20"/>
          <w:szCs w:val="20"/>
          <w:color w:val="auto"/>
        </w:rPr>
      </w:pPr>
    </w:p>
    <w:p>
      <w:pPr>
        <w:ind w:right="80" w:firstLine="396"/>
        <w:spacing w:after="0" w:line="259" w:lineRule="auto"/>
        <w:rPr>
          <w:sz w:val="20"/>
          <w:szCs w:val="20"/>
          <w:color w:val="auto"/>
        </w:rPr>
      </w:pPr>
      <w:r>
        <w:rPr>
          <w:rFonts w:ascii="Times New Roman" w:cs="Times New Roman" w:eastAsia="Times New Roman" w:hAnsi="Times New Roman"/>
          <w:sz w:val="19"/>
          <w:szCs w:val="19"/>
          <w:color w:val="auto"/>
        </w:rPr>
        <w:t>During the Protection Period, excluding paid-time-off or another approved leave of absence, Employee agrees to devote Employee’s full attention and time to the business and affairs of the Company to the extent necessary to discharge the responsibilities assigned to Employee hereunder and to comply with all material written policies of the Company.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In addition, if Employee serves on a public Board of Directors prior to the Effective Date, the Employee shall retain the right to continue to serve on that particular Board.</w:t>
      </w:r>
    </w:p>
    <w:p>
      <w:pPr>
        <w:spacing w:after="0" w:line="182" w:lineRule="exact"/>
        <w:rPr>
          <w:sz w:val="20"/>
          <w:szCs w:val="20"/>
          <w:color w:val="auto"/>
        </w:rPr>
      </w:pPr>
    </w:p>
    <w:p>
      <w:pPr>
        <w:ind w:left="880" w:hanging="872"/>
        <w:spacing w:after="0"/>
        <w:tabs>
          <w:tab w:leader="none" w:pos="88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20"/>
          <w:szCs w:val="20"/>
          <w:color w:val="auto"/>
        </w:rPr>
        <w:t>During the Protection Period, the Company agrees to pay or cause to be paid to 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189" w:lineRule="exact"/>
        <w:rPr>
          <w:sz w:val="20"/>
          <w:szCs w:val="20"/>
          <w:color w:val="auto"/>
        </w:rPr>
      </w:pPr>
    </w:p>
    <w:p>
      <w:pPr>
        <w:ind w:left="880" w:hanging="872"/>
        <w:spacing w:after="0"/>
        <w:tabs>
          <w:tab w:leader="none" w:pos="88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EMPLOYEE WELFARE AND PENSION BENEFITS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100" w:firstLine="396"/>
        <w:spacing w:after="0" w:line="243" w:lineRule="auto"/>
        <w:rPr>
          <w:sz w:val="20"/>
          <w:szCs w:val="20"/>
          <w:color w:val="auto"/>
        </w:rPr>
      </w:pPr>
      <w:r>
        <w:rPr>
          <w:rFonts w:ascii="Times New Roman" w:cs="Times New Roman" w:eastAsia="Times New Roman" w:hAnsi="Times New Roman"/>
          <w:sz w:val="20"/>
          <w:szCs w:val="20"/>
          <w:color w:val="auto"/>
        </w:rPr>
        <w:t xml:space="preserve">During the Protection Period, the Company shall provide to the Employee the Welfare Benefits (including Retiree Healthcare Plan credits for purposes of this Section 6) and the Pension Plan, or other substantially similar employee welfare and pension benefits, as available from time to time,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42" w:right="539" w:bottom="1440" w:gutter="0" w:footer="0" w:header="0"/>
        </w:sectPr>
      </w:pPr>
    </w:p>
    <w:bookmarkStart w:id="195" w:name="page196"/>
    <w:bookmarkEnd w:id="195"/>
    <w:p>
      <w:pPr>
        <w:ind w:left="747" w:hanging="747"/>
        <w:spacing w:after="0"/>
        <w:tabs>
          <w:tab w:leader="none" w:pos="747"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BENEFITS</w:t>
      </w:r>
      <w:r>
        <w:rPr>
          <w:rFonts w:ascii="Times New Roman" w:cs="Times New Roman" w:eastAsia="Times New Roman" w:hAnsi="Times New Roman"/>
          <w:sz w:val="20"/>
          <w:szCs w:val="20"/>
          <w:b w:val="1"/>
          <w:bCs w:val="1"/>
          <w:color w:val="auto"/>
        </w:rPr>
        <w:t>.</w:t>
      </w:r>
    </w:p>
    <w:p>
      <w:pPr>
        <w:spacing w:after="0" w:line="218" w:lineRule="exact"/>
        <w:rPr>
          <w:rFonts w:ascii="Times New Roman" w:cs="Times New Roman" w:eastAsia="Times New Roman" w:hAnsi="Times New Roman"/>
          <w:sz w:val="20"/>
          <w:szCs w:val="20"/>
          <w:b w:val="1"/>
          <w:bCs w:val="1"/>
          <w:color w:val="auto"/>
        </w:rPr>
      </w:pPr>
    </w:p>
    <w:p>
      <w:pPr>
        <w:ind w:left="747" w:right="140" w:firstLine="1"/>
        <w:spacing w:after="0" w:line="260" w:lineRule="auto"/>
        <w:tabs>
          <w:tab w:leader="none" w:pos="1625" w:val="left"/>
        </w:tabs>
        <w:numPr>
          <w:ilvl w:val="1"/>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 and Fringe Benefits and Paid-Time-Off</w:t>
      </w:r>
      <w:r>
        <w:rPr>
          <w:rFonts w:ascii="Times New Roman" w:cs="Times New Roman" w:eastAsia="Times New Roman" w:hAnsi="Times New Roman"/>
          <w:sz w:val="19"/>
          <w:szCs w:val="19"/>
          <w:color w:val="auto"/>
        </w:rPr>
        <w:t>. During the Protection Period, Employee shall be entitled to all executive and fringe benefits and paid-time-off generally made available by the Company, as applicable, to its executives or other employees. Unless otherwise provided herein, the executive and fringe benefits and paid-time-off provided to Employee during the Protection Period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186" w:lineRule="exact"/>
        <w:rPr>
          <w:rFonts w:ascii="Times New Roman" w:cs="Times New Roman" w:eastAsia="Times New Roman" w:hAnsi="Times New Roman"/>
          <w:sz w:val="19"/>
          <w:szCs w:val="19"/>
          <w:color w:val="auto"/>
        </w:rPr>
      </w:pPr>
    </w:p>
    <w:p>
      <w:pPr>
        <w:ind w:left="747" w:right="240"/>
        <w:spacing w:after="0" w:line="246" w:lineRule="auto"/>
        <w:tabs>
          <w:tab w:leader="none" w:pos="161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All reimbursements under this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will be paid as promptly as administratively practicable, but in no event later than by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20"/>
          <w:szCs w:val="20"/>
          <w:color w:val="auto"/>
        </w:rPr>
        <w:t xml:space="preserve"> of the year next following the calendar year in which the expense was incurred.</w:t>
      </w:r>
    </w:p>
    <w:p>
      <w:pPr>
        <w:spacing w:after="0" w:line="239" w:lineRule="exact"/>
        <w:rPr>
          <w:sz w:val="20"/>
          <w:szCs w:val="20"/>
          <w:color w:val="auto"/>
        </w:rPr>
      </w:pPr>
    </w:p>
    <w:p>
      <w:pPr>
        <w:ind w:left="747" w:hanging="24"/>
        <w:spacing w:after="0" w:line="243" w:lineRule="auto"/>
        <w:rPr>
          <w:sz w:val="20"/>
          <w:szCs w:val="20"/>
          <w:color w:val="auto"/>
        </w:rPr>
      </w:pPr>
      <w:r>
        <w:rPr>
          <w:rFonts w:ascii="Times New Roman" w:cs="Times New Roman" w:eastAsia="Times New Roman" w:hAnsi="Times New Roman"/>
          <w:sz w:val="20"/>
          <w:szCs w:val="20"/>
          <w:u w:val="single" w:color="auto"/>
          <w:color w:val="auto"/>
        </w:rPr>
        <w:t>(c)Indemnity</w:t>
      </w:r>
      <w:r>
        <w:rPr>
          <w:rFonts w:ascii="Times New Roman" w:cs="Times New Roman" w:eastAsia="Times New Roman" w:hAnsi="Times New Roman"/>
          <w:sz w:val="20"/>
          <w:szCs w:val="20"/>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Times New Roman" w:cs="Times New Roman" w:eastAsia="Times New Roman" w:hAnsi="Times New Roman"/>
          <w:sz w:val="20"/>
          <w:szCs w:val="20"/>
          <w:u w:val="single" w:color="auto"/>
          <w:color w:val="auto"/>
        </w:rPr>
        <w:t>Section 7(c)</w:t>
      </w:r>
      <w:r>
        <w:rPr>
          <w:rFonts w:ascii="Times New Roman" w:cs="Times New Roman" w:eastAsia="Times New Roman" w:hAnsi="Times New Roman"/>
          <w:sz w:val="20"/>
          <w:szCs w:val="20"/>
          <w:color w:val="auto"/>
        </w:rPr>
        <w:t xml:space="preserve"> shall be made in accordance with the time specified under the Indemnity Agreement or D &amp; O coverage, but in no event later than by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20"/>
          <w:szCs w:val="20"/>
          <w:color w:val="auto"/>
        </w:rPr>
        <w:t xml:space="preserve"> of the year next following the year in which the expense was incurred.</w:t>
      </w:r>
    </w:p>
    <w:p>
      <w:pPr>
        <w:spacing w:after="0" w:line="200" w:lineRule="exact"/>
        <w:rPr>
          <w:sz w:val="20"/>
          <w:szCs w:val="20"/>
          <w:color w:val="auto"/>
        </w:rPr>
      </w:pPr>
    </w:p>
    <w:p>
      <w:pPr>
        <w:spacing w:after="0" w:line="202"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7"/>
          </w:cols>
          <w:pgMar w:left="453" w:top="114" w:right="519" w:bottom="1440" w:gutter="0" w:footer="0" w:header="0"/>
        </w:sectPr>
      </w:pPr>
    </w:p>
    <w:bookmarkStart w:id="196" w:name="page197"/>
    <w:bookmarkEnd w:id="196"/>
    <w:p>
      <w:pPr>
        <w:ind w:left="748" w:hanging="748"/>
        <w:spacing w:after="0"/>
        <w:tabs>
          <w:tab w:leader="none" w:pos="748"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w:t>
      </w:r>
    </w:p>
    <w:p>
      <w:pPr>
        <w:spacing w:after="0" w:line="218" w:lineRule="exact"/>
        <w:rPr>
          <w:rFonts w:ascii="Times New Roman" w:cs="Times New Roman" w:eastAsia="Times New Roman" w:hAnsi="Times New Roman"/>
          <w:sz w:val="20"/>
          <w:szCs w:val="20"/>
          <w:b w:val="1"/>
          <w:bCs w:val="1"/>
          <w:color w:val="auto"/>
        </w:rPr>
      </w:pPr>
    </w:p>
    <w:p>
      <w:pPr>
        <w:ind w:left="74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the Protection Period, Employee’s employment hereunder may be terminated under the following circumstances:</w:t>
      </w:r>
    </w:p>
    <w:p>
      <w:pPr>
        <w:spacing w:after="0" w:line="229" w:lineRule="exact"/>
        <w:rPr>
          <w:rFonts w:ascii="Times New Roman" w:cs="Times New Roman" w:eastAsia="Times New Roman" w:hAnsi="Times New Roman"/>
          <w:sz w:val="20"/>
          <w:szCs w:val="20"/>
          <w:b w:val="1"/>
          <w:bCs w:val="1"/>
          <w:color w:val="auto"/>
        </w:rPr>
      </w:pPr>
    </w:p>
    <w:p>
      <w:pPr>
        <w:ind w:left="748" w:right="40" w:firstLine="1"/>
        <w:spacing w:after="0" w:line="260" w:lineRule="auto"/>
        <w:tabs>
          <w:tab w:leader="none" w:pos="1624" w:val="left"/>
        </w:tabs>
        <w:numPr>
          <w:ilvl w:val="1"/>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xml:space="preserve">. The Company may terminate Employee’s employment for “Cause.” A termination of employment is for “Cause” if Employee (1) enters a guilty plea, pleads </w:t>
      </w:r>
      <w:r>
        <w:rPr>
          <w:rFonts w:ascii="Times New Roman" w:cs="Times New Roman" w:eastAsia="Times New Roman" w:hAnsi="Times New Roman"/>
          <w:sz w:val="19"/>
          <w:szCs w:val="19"/>
          <w:i w:val="1"/>
          <w:iCs w:val="1"/>
          <w:color w:val="auto"/>
        </w:rPr>
        <w:t>nolo contendre</w:t>
      </w:r>
      <w:r>
        <w:rPr>
          <w:rFonts w:ascii="Times New Roman" w:cs="Times New Roman" w:eastAsia="Times New Roman" w:hAnsi="Times New Roman"/>
          <w:sz w:val="19"/>
          <w:szCs w:val="19"/>
          <w:color w:val="auto"/>
        </w:rPr>
        <w:t xml:space="preserve"> to, or is convicted of a felony offense that is demonstrably injurious to the Company; (2) engages in misconduct which is demonstrably injurious to the Company, monetarily or otherwise;</w:t>
      </w:r>
    </w:p>
    <w:p>
      <w:pPr>
        <w:ind w:left="748"/>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or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202" w:lineRule="exact"/>
        <w:rPr>
          <w:rFonts w:ascii="Times New Roman" w:cs="Times New Roman" w:eastAsia="Times New Roman" w:hAnsi="Times New Roman"/>
          <w:sz w:val="19"/>
          <w:szCs w:val="19"/>
          <w:color w:val="auto"/>
        </w:rPr>
      </w:pPr>
    </w:p>
    <w:p>
      <w:pPr>
        <w:ind w:left="748" w:right="120"/>
        <w:spacing w:after="0" w:line="246" w:lineRule="auto"/>
        <w:tabs>
          <w:tab w:leader="none" w:pos="114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Employee’s employment with the Company will terminate upon Employee’s death or upon the Employee’s Disability Date, as applicable. The Company or Successor Employer may terminate Employee’s employment as of or after the Employee’s Disability Date. Employee shall be entitled to the compensation and benefits provided for under this Agreement for any period during the Protection Period and prior to the Employee’s Disability Date, during which Employee is unable to work due to a physical or mental infirmity, and up to the Employee’s Disability Date.</w:t>
      </w:r>
    </w:p>
    <w:p>
      <w:pPr>
        <w:spacing w:after="0" w:line="198" w:lineRule="exact"/>
        <w:rPr>
          <w:rFonts w:ascii="Times New Roman" w:cs="Times New Roman" w:eastAsia="Times New Roman" w:hAnsi="Times New Roman"/>
          <w:sz w:val="20"/>
          <w:szCs w:val="20"/>
          <w:color w:val="auto"/>
        </w:rPr>
      </w:pPr>
    </w:p>
    <w:p>
      <w:pPr>
        <w:ind w:left="748" w:right="380"/>
        <w:spacing w:after="0" w:line="254" w:lineRule="auto"/>
        <w:tabs>
          <w:tab w:leader="none" w:pos="1144"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The Employee may terminate employment for “Good Reason.” For purposes of this Agreement, “Good Reason” shall mean the occurrence after the Effective Date of any of the events or conditions described below, without Employee’s consent.</w:t>
      </w:r>
    </w:p>
    <w:p>
      <w:pPr>
        <w:spacing w:after="0" w:line="187" w:lineRule="exact"/>
        <w:rPr>
          <w:rFonts w:ascii="Times New Roman" w:cs="Times New Roman" w:eastAsia="Times New Roman" w:hAnsi="Times New Roman"/>
          <w:sz w:val="20"/>
          <w:szCs w:val="20"/>
          <w:color w:val="auto"/>
        </w:rPr>
      </w:pPr>
    </w:p>
    <w:p>
      <w:pPr>
        <w:ind w:left="1468" w:right="60"/>
        <w:spacing w:after="0" w:line="269" w:lineRule="auto"/>
        <w:tabs>
          <w:tab w:leader="none" w:pos="2276"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of the Employee’s authority, duties, or responsibilities from those in effect immediately prior to the Effective Date;</w:t>
      </w:r>
    </w:p>
    <w:p>
      <w:pPr>
        <w:spacing w:after="0" w:line="145" w:lineRule="exact"/>
        <w:rPr>
          <w:rFonts w:ascii="Times New Roman" w:cs="Times New Roman" w:eastAsia="Times New Roman" w:hAnsi="Times New Roman"/>
          <w:sz w:val="20"/>
          <w:szCs w:val="20"/>
          <w:color w:val="auto"/>
        </w:rPr>
      </w:pPr>
    </w:p>
    <w:p>
      <w:pPr>
        <w:ind w:left="1468" w:right="580"/>
        <w:spacing w:after="0" w:line="269" w:lineRule="auto"/>
        <w:tabs>
          <w:tab w:leader="none" w:pos="2276"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the Employee’s base salary or annual incentive target opportunity, excluding a temporary reduction in salary applicable to all similarly situated employees;</w:t>
      </w:r>
    </w:p>
    <w:p>
      <w:pPr>
        <w:spacing w:after="0" w:line="172" w:lineRule="exact"/>
        <w:rPr>
          <w:rFonts w:ascii="Times New Roman" w:cs="Times New Roman" w:eastAsia="Times New Roman" w:hAnsi="Times New Roman"/>
          <w:sz w:val="20"/>
          <w:szCs w:val="20"/>
          <w:color w:val="auto"/>
        </w:rPr>
      </w:pPr>
    </w:p>
    <w:p>
      <w:pPr>
        <w:ind w:left="2268" w:hanging="791"/>
        <w:spacing w:after="0"/>
        <w:tabs>
          <w:tab w:leader="none" w:pos="2268"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breach by the Company of any provision of this Agreement, including, but not limited to,</w:t>
      </w:r>
    </w:p>
    <w:p>
      <w:pPr>
        <w:spacing w:after="0" w:line="22" w:lineRule="exact"/>
        <w:rPr>
          <w:sz w:val="20"/>
          <w:szCs w:val="20"/>
          <w:color w:val="auto"/>
        </w:rPr>
      </w:pPr>
    </w:p>
    <w:p>
      <w:pPr>
        <w:ind w:left="1468" w:right="520"/>
        <w:spacing w:after="0" w:line="246" w:lineRule="auto"/>
        <w:rPr>
          <w:sz w:val="20"/>
          <w:szCs w:val="20"/>
          <w:color w:val="auto"/>
        </w:rPr>
      </w:pPr>
      <w:r>
        <w:rPr>
          <w:rFonts w:ascii="Times New Roman" w:cs="Times New Roman" w:eastAsia="Times New Roman" w:hAnsi="Times New Roman"/>
          <w:sz w:val="20"/>
          <w:szCs w:val="20"/>
          <w:color w:val="auto"/>
        </w:rPr>
        <w:t xml:space="preserve">the Company’s failure to provide the Employee Welfare and Pension Benefits or Restoration Plan benefits, as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provided that such failure constitutes a material breach under </w:t>
      </w:r>
      <w:r>
        <w:rPr>
          <w:rFonts w:ascii="Times New Roman" w:cs="Times New Roman" w:eastAsia="Times New Roman" w:hAnsi="Times New Roman"/>
          <w:sz w:val="20"/>
          <w:szCs w:val="20"/>
          <w:u w:val="single" w:color="auto"/>
          <w:color w:val="auto"/>
        </w:rPr>
        <w:t>subsection 8(c)(v)</w:t>
      </w:r>
      <w:r>
        <w:rPr>
          <w:rFonts w:ascii="Times New Roman" w:cs="Times New Roman" w:eastAsia="Times New Roman" w:hAnsi="Times New Roman"/>
          <w:sz w:val="20"/>
          <w:szCs w:val="20"/>
          <w:color w:val="auto"/>
        </w:rPr>
        <w:t>;</w:t>
      </w:r>
    </w:p>
    <w:p>
      <w:pPr>
        <w:spacing w:after="0" w:line="398" w:lineRule="exact"/>
        <w:rPr>
          <w:sz w:val="20"/>
          <w:szCs w:val="20"/>
          <w:color w:val="auto"/>
        </w:rPr>
      </w:pPr>
    </w:p>
    <w:p>
      <w:pPr>
        <w:jc w:val="center"/>
        <w:ind w:right="-127"/>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69850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8"/>
          </w:cols>
          <w:pgMar w:left="432" w:top="114" w:right="539" w:bottom="1440" w:gutter="0" w:footer="0" w:header="0"/>
        </w:sectPr>
      </w:pPr>
    </w:p>
    <w:bookmarkStart w:id="197" w:name="page198"/>
    <w:bookmarkEnd w:id="197"/>
    <w:p>
      <w:pPr>
        <w:jc w:val="both"/>
        <w:ind w:left="1572" w:right="400" w:firstLine="9"/>
        <w:spacing w:after="0" w:line="253" w:lineRule="auto"/>
        <w:tabs>
          <w:tab w:leader="none" w:pos="2357"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203" w:lineRule="exact"/>
        <w:rPr>
          <w:rFonts w:ascii="Times New Roman" w:cs="Times New Roman" w:eastAsia="Times New Roman" w:hAnsi="Times New Roman"/>
          <w:sz w:val="20"/>
          <w:szCs w:val="20"/>
          <w:color w:val="auto"/>
        </w:rPr>
      </w:pPr>
    </w:p>
    <w:p>
      <w:pPr>
        <w:ind w:left="1572" w:right="260" w:firstLine="9"/>
        <w:spacing w:after="0" w:line="246" w:lineRule="auto"/>
        <w:tabs>
          <w:tab w:leader="none" w:pos="237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832"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In order to effectuate a termination for Good Reason under this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the Employee shall, within ninety (90) days after the initial existence of the condition, deliver written Notice of Termination to the Company stating the grounds for Good Reason in support of termination and specifying the Termination Date, which shall be (A) not earlier than thirty (30) days after giving the Notice of Termination, and (B) not later than one hundred eighty (180) days after giving the Notice of Termination or the last day of the Protection Period.</w:t>
      </w:r>
    </w:p>
    <w:p>
      <w:pPr>
        <w:spacing w:after="0" w:line="198" w:lineRule="exact"/>
        <w:rPr>
          <w:sz w:val="20"/>
          <w:szCs w:val="20"/>
          <w:color w:val="auto"/>
        </w:rPr>
      </w:pPr>
    </w:p>
    <w:p>
      <w:pPr>
        <w:jc w:val="both"/>
        <w:ind w:left="832"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The Company may, within thirty (30) days after receipt of such Notice of Termination, remedy the condition, in which case the Good Reason for termination shall be deemed not to have occurred. For purposes of determining the amount of any cash payment payable to the Employee in accordance with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any reduction in compensation or benefit that would constitute Good Reason hereunder shall be deemed not to have occurred.</w:t>
      </w:r>
    </w:p>
    <w:p>
      <w:pPr>
        <w:spacing w:after="0" w:line="193" w:lineRule="exact"/>
        <w:rPr>
          <w:sz w:val="20"/>
          <w:szCs w:val="20"/>
          <w:color w:val="auto"/>
        </w:rPr>
      </w:pPr>
    </w:p>
    <w:p>
      <w:pPr>
        <w:ind w:left="872" w:right="380" w:hanging="4"/>
        <w:spacing w:after="0" w:line="254" w:lineRule="auto"/>
        <w:tabs>
          <w:tab w:leader="none" w:pos="1389"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The Company may terminate Employee’s employment without Cause upon written Notice of Termination to Employee. Employee may terminate Employee’s employment without Good Reason upon written Notice of Termination to Employee.</w:t>
      </w:r>
    </w:p>
    <w:p>
      <w:pPr>
        <w:spacing w:after="0" w:line="251" w:lineRule="exact"/>
        <w:rPr>
          <w:rFonts w:ascii="Times New Roman" w:cs="Times New Roman" w:eastAsia="Times New Roman" w:hAnsi="Times New Roman"/>
          <w:sz w:val="20"/>
          <w:szCs w:val="20"/>
          <w:color w:val="auto"/>
        </w:rPr>
      </w:pPr>
    </w:p>
    <w:p>
      <w:pPr>
        <w:ind w:left="752" w:hanging="752"/>
        <w:spacing w:after="0"/>
        <w:tabs>
          <w:tab w:leader="none" w:pos="752"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UPON TERMINATION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12" w:right="20" w:firstLine="749"/>
        <w:spacing w:after="0" w:line="269" w:lineRule="auto"/>
        <w:rPr>
          <w:sz w:val="20"/>
          <w:szCs w:val="20"/>
          <w:color w:val="auto"/>
        </w:rPr>
      </w:pPr>
      <w:r>
        <w:rPr>
          <w:rFonts w:ascii="Times New Roman" w:cs="Times New Roman" w:eastAsia="Times New Roman" w:hAnsi="Times New Roman"/>
          <w:sz w:val="20"/>
          <w:szCs w:val="20"/>
          <w:color w:val="auto"/>
        </w:rPr>
        <w:t>Upon termination of Employee’s employment effective during the Protection Period, Employee shall be entitled to the following compensation and benefits:</w:t>
      </w:r>
    </w:p>
    <w:p>
      <w:pPr>
        <w:spacing w:after="0" w:line="173" w:lineRule="exact"/>
        <w:rPr>
          <w:sz w:val="20"/>
          <w:szCs w:val="20"/>
          <w:color w:val="auto"/>
        </w:rPr>
      </w:pPr>
    </w:p>
    <w:p>
      <w:pPr>
        <w:ind w:left="872" w:hanging="10"/>
        <w:spacing w:after="0" w:line="242" w:lineRule="auto"/>
        <w:tabs>
          <w:tab w:leader="none" w:pos="174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Employee’s employment with the Company shall be terminated (i) by the Company for Cause or Disability, or (ii) by reason of Employee’s death, or (iii) by Employee without “Good Reason” pursuant to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 time off (collectively “</w:t>
      </w:r>
      <w:r>
        <w:rPr>
          <w:rFonts w:ascii="Times New Roman" w:cs="Times New Roman" w:eastAsia="Times New Roman" w:hAnsi="Times New Roman"/>
          <w:sz w:val="20"/>
          <w:szCs w:val="20"/>
          <w:b w:val="1"/>
          <w:b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w:t>
      </w:r>
      <w:r>
        <w:rPr>
          <w:rFonts w:ascii="Times New Roman" w:cs="Times New Roman" w:eastAsia="Times New Roman" w:hAnsi="Times New Roman"/>
          <w:sz w:val="20"/>
          <w:szCs w:val="20"/>
          <w:color w:val="auto"/>
        </w:rPr>
        <w:t>”), each in accordance with the applicable policies, plans and practices of the Company.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if the Employee’s employment is terminated by the Company for Disability or by reason of the Employee’s death, the Company shall pay to the Employee or Employee’s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pacing w:after="0" w:line="200" w:lineRule="exact"/>
        <w:rPr>
          <w:sz w:val="20"/>
          <w:szCs w:val="20"/>
          <w:color w:val="auto"/>
        </w:rPr>
      </w:pPr>
    </w:p>
    <w:p>
      <w:pPr>
        <w:spacing w:after="0" w:line="203"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118" w:right="519" w:bottom="1440" w:gutter="0" w:footer="0" w:header="0"/>
        </w:sectPr>
      </w:pPr>
    </w:p>
    <w:bookmarkStart w:id="198" w:name="page199"/>
    <w:bookmarkEnd w:id="198"/>
    <w:p>
      <w:pPr>
        <w:ind w:left="4" w:right="20" w:hanging="4"/>
        <w:spacing w:after="0" w:line="253" w:lineRule="auto"/>
        <w:tabs>
          <w:tab w:leader="none" w:pos="87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189" w:lineRule="exact"/>
        <w:rPr>
          <w:rFonts w:ascii="Times New Roman" w:cs="Times New Roman" w:eastAsia="Times New Roman" w:hAnsi="Times New Roman"/>
          <w:sz w:val="20"/>
          <w:szCs w:val="20"/>
          <w:color w:val="auto"/>
        </w:rPr>
      </w:pPr>
    </w:p>
    <w:p>
      <w:pPr>
        <w:ind w:left="724" w:right="340" w:firstLine="8"/>
        <w:spacing w:after="0" w:line="254" w:lineRule="auto"/>
        <w:tabs>
          <w:tab w:leader="none" w:pos="1523"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187" w:lineRule="exact"/>
        <w:rPr>
          <w:rFonts w:ascii="Times New Roman" w:cs="Times New Roman" w:eastAsia="Times New Roman" w:hAnsi="Times New Roman"/>
          <w:sz w:val="20"/>
          <w:szCs w:val="20"/>
          <w:color w:val="auto"/>
        </w:rPr>
      </w:pPr>
    </w:p>
    <w:p>
      <w:pPr>
        <w:ind w:left="724" w:right="40" w:firstLine="8"/>
        <w:spacing w:after="0" w:line="249" w:lineRule="auto"/>
        <w:tabs>
          <w:tab w:leader="none" w:pos="1533" w:val="left"/>
        </w:tabs>
        <w:numPr>
          <w:ilvl w:val="2"/>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Employee, in lieu of any further compensation for periods subsequent to the Termination Date, a lump sum severance payment, in cash, in an amount equal to two times (2x) the Employee’s Severance Compensation. The lump sum severance payment described in this paragraph shall be paid within sixty (60) days after the Termination Date.</w:t>
      </w:r>
    </w:p>
    <w:p>
      <w:pPr>
        <w:spacing w:after="0" w:line="247" w:lineRule="exact"/>
        <w:rPr>
          <w:rFonts w:ascii="Times New Roman" w:cs="Times New Roman" w:eastAsia="Times New Roman" w:hAnsi="Times New Roman"/>
          <w:sz w:val="20"/>
          <w:szCs w:val="20"/>
          <w:color w:val="auto"/>
        </w:rPr>
      </w:pPr>
    </w:p>
    <w:p>
      <w:pPr>
        <w:ind w:left="704" w:right="240" w:firstLine="9"/>
        <w:spacing w:after="0" w:line="244" w:lineRule="auto"/>
        <w:tabs>
          <w:tab w:leader="none" w:pos="150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condition of receiving payments and benefits provided in </w:t>
      </w:r>
      <w:r>
        <w:rPr>
          <w:rFonts w:ascii="Times New Roman" w:cs="Times New Roman" w:eastAsia="Times New Roman" w:hAnsi="Times New Roman"/>
          <w:sz w:val="20"/>
          <w:szCs w:val="20"/>
          <w:u w:val="single" w:color="auto"/>
          <w:color w:val="auto"/>
        </w:rPr>
        <w:t>this subsection 9(b) other than 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Employee shall execute and deliver to Company or Successor Employer the Waiver and Release Agreement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xml:space="preserve">”) in substantially the same form as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199" w:lineRule="exact"/>
        <w:rPr>
          <w:rFonts w:ascii="Times New Roman" w:cs="Times New Roman" w:eastAsia="Times New Roman" w:hAnsi="Times New Roman"/>
          <w:sz w:val="20"/>
          <w:szCs w:val="20"/>
          <w:color w:val="auto"/>
        </w:rPr>
      </w:pPr>
    </w:p>
    <w:p>
      <w:pPr>
        <w:ind w:left="704"/>
        <w:spacing w:after="0" w:line="241" w:lineRule="auto"/>
        <w:tabs>
          <w:tab w:leader="none" w:pos="1516"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shall have the same rights as any other similarly situated terminated employee under the Black Hills Corporation Employee Health Care Plan, Group Insurance Plan for the Employees of Black Hills Corporation, and/or Black Hills Corporation Employee Flexible Benefits Plan (the “Plans”). In addition, if Employee, prior to the Termination Date, was enrolled in the medical, dental, vision, employee assistance program (“EAP”) and/or executive physical program (“EPP”) benefits (the “Benefits”) provided under the Plans (or successors thereto), the Company or the Successor Employer, or any affiliate of the Successor Employer as determined under the rules of Code Sections 414(b) and (c), shall at its expense continue on behalf of Employee and Employee’s dependents, if dependents were enrolled prior to the Termination Date, for a period of eighteen (18) months following the Termination Date, the benefits no less favorable than the benefit levels and coverage provided to and enrolled by the Employee prior to the Termination Date. Employee shall pay the employee portion of applicable premiums required to be paid by similarly-situated active employees (or retired employees in the case that the Employee is retired) of the Company. At its election, the Company may provide Employee and Employee’s dependents with taxable cash in the amount of the value of equivalent benefits outside the Welfare Benefits plans. The Company’s obligation with respect to the foregoing benefit shall be discontinued in the event that Employee becomes eligible for health, dental or vision benefits of a subsequent employer. For purposes of this provision, Employee shall have a duty to inform Company as to the terms and conditions of any subsequent employment and the corresponding benefits the Employee is eligible for in connection with such employment. To the extent required to avoid accelerated taxation and/or tax penalties under Code Section 409A, amounts reimbursable to Employee under this Agreement shall be paid to Employee on or before the last day of the year following the year in which the expense was incurred and the amount of expenses eligible for reimbursement (and in-kind benefits provided to Employee) during one year may not</w:t>
      </w:r>
    </w:p>
    <w:p>
      <w:pPr>
        <w:spacing w:after="0" w:line="187"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69850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4"/>
          </w:cols>
          <w:pgMar w:left="1196" w:top="118" w:right="519" w:bottom="1440" w:gutter="0" w:footer="0" w:header="0"/>
        </w:sectPr>
      </w:pPr>
    </w:p>
    <w:bookmarkStart w:id="199" w:name="page200"/>
    <w:bookmarkEnd w:id="199"/>
    <w:p>
      <w:pPr>
        <w:ind w:left="1280"/>
        <w:spacing w:after="0"/>
        <w:rPr>
          <w:sz w:val="20"/>
          <w:szCs w:val="20"/>
          <w:color w:val="auto"/>
        </w:rPr>
      </w:pPr>
      <w:r>
        <w:rPr>
          <w:rFonts w:ascii="Times New Roman" w:cs="Times New Roman" w:eastAsia="Times New Roman" w:hAnsi="Times New Roman"/>
          <w:sz w:val="20"/>
          <w:szCs w:val="20"/>
          <w:color w:val="auto"/>
        </w:rPr>
        <w:t>affect amounts reimbursable or provided in any subsequent year.</w:t>
      </w:r>
    </w:p>
    <w:p>
      <w:pPr>
        <w:spacing w:after="0" w:line="282" w:lineRule="exact"/>
        <w:rPr>
          <w:sz w:val="20"/>
          <w:szCs w:val="20"/>
          <w:color w:val="auto"/>
        </w:rPr>
      </w:pPr>
    </w:p>
    <w:p>
      <w:pPr>
        <w:jc w:val="both"/>
        <w:ind w:left="460" w:right="140" w:firstLine="9"/>
        <w:spacing w:after="0" w:line="264" w:lineRule="auto"/>
        <w:tabs>
          <w:tab w:leader="none" w:pos="126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 was eligible for the Retiree Healthcare Plan immediately prior to a Change in Control, then as of Employee’s Termination Date, the Employee’s benefit under the Retiree Healthcare Plan shall be determined as if</w:t>
      </w:r>
    </w:p>
    <w:p>
      <w:pPr>
        <w:ind w:left="460" w:right="80" w:firstLine="9"/>
        <w:spacing w:after="0"/>
        <w:tabs>
          <w:tab w:leader="none" w:pos="69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had completed an additional two (2) Years of Plan Participation (as defined in the Retiree Healthcare Plan), and (ii) Employee were two (2) years older for determining eligibility for plan benefits. Furthermore, if the Employee is not eligible for benefits after the age and participation adjustment, then the Retirement Medical Savings Account (after adjustment for two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w:t>
      </w:r>
    </w:p>
    <w:p>
      <w:pPr>
        <w:spacing w:after="0" w:line="204" w:lineRule="exact"/>
        <w:rPr>
          <w:rFonts w:ascii="Times New Roman" w:cs="Times New Roman" w:eastAsia="Times New Roman" w:hAnsi="Times New Roman"/>
          <w:sz w:val="20"/>
          <w:szCs w:val="20"/>
          <w:color w:val="auto"/>
        </w:rPr>
      </w:pPr>
    </w:p>
    <w:p>
      <w:pPr>
        <w:ind w:left="460" w:firstLine="9"/>
        <w:spacing w:after="0" w:line="244" w:lineRule="auto"/>
        <w:tabs>
          <w:tab w:leader="none" w:pos="1267"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Employee was a participant in the Restoration Plan and the Pension Plan immediately prior to a Change in Control, then as of Employee’s Termination Date, Employee’s Restoration Plan benefit shall be determined as if (i) Employee completed two (2) additional years of Credited Service under the Pension Plan, and (ii) the Employee received Annual Compensation during each additional year of Credited Service. For purposes of this </w:t>
      </w:r>
      <w:r>
        <w:rPr>
          <w:rFonts w:ascii="Times New Roman" w:cs="Times New Roman" w:eastAsia="Times New Roman" w:hAnsi="Times New Roman"/>
          <w:sz w:val="20"/>
          <w:szCs w:val="20"/>
          <w:u w:val="single" w:color="auto"/>
          <w:color w:val="auto"/>
        </w:rPr>
        <w:t>subsection 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199" w:lineRule="exact"/>
        <w:rPr>
          <w:sz w:val="20"/>
          <w:szCs w:val="20"/>
          <w:color w:val="auto"/>
        </w:rPr>
      </w:pPr>
    </w:p>
    <w:p>
      <w:pPr>
        <w:ind w:left="460" w:right="20" w:firstLine="749"/>
        <w:spacing w:after="0" w:line="269" w:lineRule="auto"/>
        <w:rPr>
          <w:sz w:val="20"/>
          <w:szCs w:val="20"/>
          <w:color w:val="auto"/>
        </w:rPr>
      </w:pPr>
      <w:r>
        <w:rPr>
          <w:rFonts w:ascii="Times New Roman" w:cs="Times New Roman" w:eastAsia="Times New Roman" w:hAnsi="Times New Roman"/>
          <w:sz w:val="20"/>
          <w:szCs w:val="20"/>
          <w:color w:val="auto"/>
        </w:rPr>
        <w:t>Furthermore, the Employee shall be made 100% vested for purposes of the Restoration Plan, if the Employee is a participant in such plan (for purposes of this subsection) and is not already fully vested.</w:t>
      </w:r>
    </w:p>
    <w:p>
      <w:pPr>
        <w:spacing w:after="0" w:line="173" w:lineRule="exact"/>
        <w:rPr>
          <w:sz w:val="20"/>
          <w:szCs w:val="20"/>
          <w:color w:val="auto"/>
        </w:rPr>
      </w:pPr>
    </w:p>
    <w:p>
      <w:pPr>
        <w:ind w:left="460" w:right="120"/>
        <w:spacing w:after="0" w:line="244" w:lineRule="auto"/>
        <w:tabs>
          <w:tab w:leader="none" w:pos="1192"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two (2) additional Plan Years of participation and earned the related Supplemental Matching Contributions, Supplemental Retirement Contributions, and Supplemental Target Contributions (all as defined in the Nonqualified Deferred Compensation Plan); no investment earnings shall be attributed for this additional period, and (ii) Employee received Annual Compensation during each additional Plan Year of participation.</w:t>
      </w:r>
    </w:p>
    <w:p>
      <w:pPr>
        <w:spacing w:after="0" w:line="199" w:lineRule="exact"/>
        <w:rPr>
          <w:sz w:val="20"/>
          <w:szCs w:val="20"/>
          <w:color w:val="auto"/>
        </w:rPr>
      </w:pPr>
    </w:p>
    <w:p>
      <w:pPr>
        <w:ind w:left="460" w:right="320" w:firstLine="665"/>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subsection 9(b)(vii)</w:t>
      </w:r>
      <w:r>
        <w:rPr>
          <w:rFonts w:ascii="Times New Roman" w:cs="Times New Roman" w:eastAsia="Times New Roman" w:hAnsi="Times New Roman"/>
          <w:sz w:val="20"/>
          <w:szCs w:val="20"/>
          <w:color w:val="auto"/>
        </w:rPr>
        <w:t>, the additional contributions under the Nonqualified Deferred Compensation Plan (Supplemental Matching Contributions, Supplemental Retirement Contributions, and Supplemental Target Contributions) shall be determined without regard to any offsets from the Retirement Savings Plan. (This has the same effect as if the Supplemental Matching Contributions and Supplemental Retirement Contributions were determined on total pay rather than only on pay over IRS pay limits.)</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440" w:top="118" w:right="579" w:bottom="1440" w:gutter="0" w:footer="0" w:header="0"/>
        </w:sectPr>
      </w:pPr>
    </w:p>
    <w:bookmarkStart w:id="200" w:name="page201"/>
    <w:bookmarkEnd w:id="200"/>
    <w:p>
      <w:pPr>
        <w:ind w:left="1447" w:right="100"/>
        <w:spacing w:after="0" w:line="244" w:lineRule="auto"/>
        <w:tabs>
          <w:tab w:leader="none" w:pos="218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Employee is a “specified employee” (as defined for purposes of Code Section 409A), no payment of any amount under this Section 9 that constitutes deferred compensation subject to Code Section 409A shall be made before the date which is six (6) months after the date of the Employee’s Termination Date, or such earlier date upon which such amount can be paid or provided under Code Section 409A without being subject to additional taxes thereunder. To the extent that the Agreement provides for such nonqualified deferred compensation, it is intended to be compliant with Code Section 409A, and shall be interpreted and administered accordingly.</w:t>
      </w:r>
    </w:p>
    <w:p>
      <w:pPr>
        <w:spacing w:after="0" w:line="195"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MITIGATION OBLIGATION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747"/>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Employee shall not be required to mitigate the amount of any payment provided for in this Agreement by seeking other</w:t>
      </w:r>
    </w:p>
    <w:p>
      <w:pPr>
        <w:spacing w:after="0" w:line="22" w:lineRule="exact"/>
        <w:rPr>
          <w:sz w:val="20"/>
          <w:szCs w:val="20"/>
          <w:color w:val="auto"/>
        </w:rPr>
      </w:pPr>
    </w:p>
    <w:p>
      <w:pPr>
        <w:ind w:left="7" w:right="500"/>
        <w:spacing w:after="0" w:line="246" w:lineRule="auto"/>
        <w:rPr>
          <w:sz w:val="20"/>
          <w:szCs w:val="20"/>
          <w:color w:val="auto"/>
        </w:rPr>
      </w:pPr>
      <w:r>
        <w:rPr>
          <w:rFonts w:ascii="Times New Roman" w:cs="Times New Roman" w:eastAsia="Times New Roman" w:hAnsi="Times New Roman"/>
          <w:sz w:val="20"/>
          <w:szCs w:val="20"/>
          <w:color w:val="auto"/>
        </w:rPr>
        <w:t xml:space="preserve">employment or otherwise, and except as provided in </w:t>
      </w:r>
      <w:r>
        <w:rPr>
          <w:rFonts w:ascii="Times New Roman" w:cs="Times New Roman" w:eastAsia="Times New Roman" w:hAnsi="Times New Roman"/>
          <w:sz w:val="20"/>
          <w:szCs w:val="20"/>
          <w:u w:val="single" w:color="auto"/>
          <w:color w:val="auto"/>
        </w:rPr>
        <w:t>Section 9(b)(iv)</w:t>
      </w:r>
      <w:r>
        <w:rPr>
          <w:rFonts w:ascii="Times New Roman" w:cs="Times New Roman" w:eastAsia="Times New Roman" w:hAnsi="Times New Roman"/>
          <w:sz w:val="20"/>
          <w:szCs w:val="20"/>
          <w:color w:val="auto"/>
        </w:rPr>
        <w:t>, such payments shall not be reduced whether or not Employee obtains other employment.</w:t>
      </w:r>
    </w:p>
    <w:p>
      <w:pPr>
        <w:spacing w:after="0" w:line="191" w:lineRule="exact"/>
        <w:rPr>
          <w:sz w:val="20"/>
          <w:szCs w:val="20"/>
          <w:color w:val="auto"/>
        </w:rPr>
      </w:pPr>
    </w:p>
    <w:p>
      <w:pPr>
        <w:ind w:left="747" w:hanging="747"/>
        <w:spacing w:after="0"/>
        <w:tabs>
          <w:tab w:leader="none" w:pos="747"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 EFFECT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 w:right="220" w:firstLine="749"/>
        <w:spacing w:after="0" w:line="254" w:lineRule="auto"/>
        <w:rPr>
          <w:sz w:val="20"/>
          <w:szCs w:val="20"/>
          <w:color w:val="auto"/>
        </w:rPr>
      </w:pPr>
      <w:r>
        <w:rPr>
          <w:rFonts w:ascii="Times New Roman" w:cs="Times New Roman" w:eastAsia="Times New Roman" w:hAnsi="Times New Roman"/>
          <w:sz w:val="20"/>
          <w:szCs w:val="20"/>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188" w:lineRule="exact"/>
        <w:rPr>
          <w:sz w:val="20"/>
          <w:szCs w:val="20"/>
          <w:color w:val="auto"/>
        </w:rPr>
      </w:pPr>
    </w:p>
    <w:p>
      <w:pPr>
        <w:ind w:left="747"/>
        <w:spacing w:after="0"/>
        <w:rPr>
          <w:sz w:val="20"/>
          <w:szCs w:val="20"/>
          <w:color w:val="auto"/>
        </w:rPr>
      </w:pPr>
      <w:r>
        <w:rPr>
          <w:rFonts w:ascii="Times New Roman" w:cs="Times New Roman" w:eastAsia="Times New Roman" w:hAnsi="Times New Roman"/>
          <w:sz w:val="20"/>
          <w:szCs w:val="20"/>
          <w:color w:val="auto"/>
        </w:rPr>
        <w:t>Notwithstanding anything in this Agreement or any written or unwritten policy of the Company to the contrary, if it shall be</w:t>
      </w:r>
    </w:p>
    <w:p>
      <w:pPr>
        <w:spacing w:after="0" w:line="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determined that any payment or distribution by the Company to or for the benefit of the Employee, whether paid or payable or distributed</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or distributable pursuant to the terms of this Agreement, any other agreement between the Company and the Employee or otherwise (a</w:t>
      </w:r>
    </w:p>
    <w:p>
      <w:pPr>
        <w:ind w:left="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Payment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Payments</w:t>
      </w:r>
      <w:r>
        <w:rPr>
          <w:rFonts w:ascii="Times New Roman" w:cs="Times New Roman" w:eastAsia="Times New Roman" w:hAnsi="Times New Roman"/>
          <w:sz w:val="19"/>
          <w:szCs w:val="19"/>
          <w:color w:val="auto"/>
        </w:rPr>
        <w:t>”), would constitute a parachute payment (“</w:t>
      </w:r>
      <w:r>
        <w:rPr>
          <w:rFonts w:ascii="Times New Roman" w:cs="Times New Roman" w:eastAsia="Times New Roman" w:hAnsi="Times New Roman"/>
          <w:sz w:val="19"/>
          <w:szCs w:val="19"/>
          <w:b w:val="1"/>
          <w:bCs w:val="1"/>
          <w:color w:val="auto"/>
        </w:rPr>
        <w:t>Parachute Payment</w:t>
      </w:r>
      <w:r>
        <w:rPr>
          <w:rFonts w:ascii="Times New Roman" w:cs="Times New Roman" w:eastAsia="Times New Roman" w:hAnsi="Times New Roman"/>
          <w:sz w:val="19"/>
          <w:szCs w:val="19"/>
          <w:color w:val="auto"/>
        </w:rPr>
        <w:t>”) within the meaning of Section 280G of the</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 xml:space="preserve">Code and would, but for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be subject to the excise tax imposed under Section 4999 of the Code (or any successor provision</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thereto) or any similar tax imposed by state or local law or any interest or penalties with respect to such taxes (collectively, the “</w:t>
      </w:r>
      <w:r>
        <w:rPr>
          <w:rFonts w:ascii="Times New Roman" w:cs="Times New Roman" w:eastAsia="Times New Roman" w:hAnsi="Times New Roman"/>
          <w:sz w:val="20"/>
          <w:szCs w:val="20"/>
          <w:b w:val="1"/>
          <w:bCs w:val="1"/>
          <w:color w:val="auto"/>
        </w:rPr>
        <w:t>Excise</w:t>
      </w:r>
    </w:p>
    <w:p>
      <w:pPr>
        <w:ind w:left="7"/>
        <w:spacing w:after="0"/>
        <w:rPr>
          <w:sz w:val="20"/>
          <w:szCs w:val="20"/>
          <w:color w:val="auto"/>
        </w:rPr>
      </w:pPr>
      <w:r>
        <w:rPr>
          <w:rFonts w:ascii="Times New Roman" w:cs="Times New Roman" w:eastAsia="Times New Roman" w:hAnsi="Times New Roman"/>
          <w:sz w:val="19"/>
          <w:szCs w:val="19"/>
          <w:b w:val="1"/>
          <w:bCs w:val="1"/>
          <w:color w:val="auto"/>
        </w:rPr>
        <w:t>Tax</w:t>
      </w:r>
      <w:r>
        <w:rPr>
          <w:rFonts w:ascii="Times New Roman" w:cs="Times New Roman" w:eastAsia="Times New Roman" w:hAnsi="Times New Roman"/>
          <w:sz w:val="19"/>
          <w:szCs w:val="19"/>
          <w:color w:val="auto"/>
        </w:rPr>
        <w:t>”), then prior to making the Payments, a calculation shall be made comparing (i) the Net Benefit (as defined below) to the Employee</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of the Payments after payment of the Excise Tax to (ii) the Net Benefit to the Employee if the Payments are limited to the extent</w:t>
      </w:r>
    </w:p>
    <w:p>
      <w:pPr>
        <w:ind w:left="7"/>
        <w:spacing w:after="0"/>
        <w:rPr>
          <w:sz w:val="20"/>
          <w:szCs w:val="20"/>
          <w:color w:val="auto"/>
        </w:rPr>
      </w:pPr>
      <w:r>
        <w:rPr>
          <w:rFonts w:ascii="Times New Roman" w:cs="Times New Roman" w:eastAsia="Times New Roman" w:hAnsi="Times New Roman"/>
          <w:sz w:val="19"/>
          <w:szCs w:val="19"/>
          <w:color w:val="auto"/>
        </w:rPr>
        <w:t>necessary to avoid being subject to the Excise Tax. Only if the amount calculated under (i) above is less than the amount under (ii) above</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will the Payments be reduced to the minimum extent necessary to ensure that no portion of the Payments is subject to the Excise Tax.</w:t>
      </w:r>
    </w:p>
    <w:p>
      <w:pPr>
        <w:ind w:left="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Benefit</w:t>
      </w:r>
      <w:r>
        <w:rPr>
          <w:rFonts w:ascii="Times New Roman" w:cs="Times New Roman" w:eastAsia="Times New Roman" w:hAnsi="Times New Roman"/>
          <w:sz w:val="19"/>
          <w:szCs w:val="19"/>
          <w:color w:val="auto"/>
        </w:rPr>
        <w:t>” shall mean the present value of the Payments net of all federal, state, local, foreign income, employment and excise taxes.</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The Payments shall be reduced in a manner that maximizes the Employee’s economic position. In applying this principle, the reduction</w:t>
      </w:r>
    </w:p>
    <w:p>
      <w:pPr>
        <w:ind w:left="7"/>
        <w:spacing w:after="0"/>
        <w:rPr>
          <w:sz w:val="20"/>
          <w:szCs w:val="20"/>
          <w:color w:val="auto"/>
        </w:rPr>
      </w:pPr>
      <w:r>
        <w:rPr>
          <w:rFonts w:ascii="Times New Roman" w:cs="Times New Roman" w:eastAsia="Times New Roman" w:hAnsi="Times New Roman"/>
          <w:sz w:val="20"/>
          <w:szCs w:val="20"/>
          <w:color w:val="auto"/>
        </w:rPr>
        <w:t>shall be made in a manner consistent with the requirements of Section 409A of the Code, and where two economically equivalent</w:t>
      </w:r>
    </w:p>
    <w:p>
      <w:pPr>
        <w:ind w:left="7"/>
        <w:spacing w:after="0"/>
        <w:rPr>
          <w:sz w:val="20"/>
          <w:szCs w:val="20"/>
          <w:color w:val="auto"/>
        </w:rPr>
      </w:pPr>
      <w:r>
        <w:rPr>
          <w:rFonts w:ascii="Times New Roman" w:cs="Times New Roman" w:eastAsia="Times New Roman" w:hAnsi="Times New Roman"/>
          <w:sz w:val="19"/>
          <w:szCs w:val="19"/>
          <w:color w:val="auto"/>
        </w:rPr>
        <w:t>amounts are subject to reduction but payable at different times, such amounts shall be reduced on a pro rata basis but not below zero. Any</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 xml:space="preserve">determination required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including whether any payments or benefits are parachute payments, shall be made by an</w:t>
      </w:r>
    </w:p>
    <w:p>
      <w:pPr>
        <w:ind w:left="7"/>
        <w:spacing w:after="0"/>
        <w:rPr>
          <w:sz w:val="20"/>
          <w:szCs w:val="20"/>
          <w:color w:val="auto"/>
        </w:rPr>
      </w:pPr>
      <w:r>
        <w:rPr>
          <w:rFonts w:ascii="Times New Roman" w:cs="Times New Roman" w:eastAsia="Times New Roman" w:hAnsi="Times New Roman"/>
          <w:sz w:val="19"/>
          <w:szCs w:val="19"/>
          <w:color w:val="auto"/>
        </w:rPr>
        <w:t>independent third party expert retained by the Company. The Employee shall provide the Company with such information and documents</w:t>
      </w:r>
    </w:p>
    <w:p>
      <w:pPr>
        <w:spacing w:after="0" w:line="1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 xml:space="preserve">as the Company may reasonably request in order to make a determination under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The Company’s determination shall be</w:t>
      </w:r>
    </w:p>
    <w:p>
      <w:pPr>
        <w:ind w:left="7"/>
        <w:spacing w:after="0"/>
        <w:rPr>
          <w:sz w:val="20"/>
          <w:szCs w:val="20"/>
          <w:color w:val="auto"/>
        </w:rPr>
      </w:pPr>
      <w:r>
        <w:rPr>
          <w:rFonts w:ascii="Times New Roman" w:cs="Times New Roman" w:eastAsia="Times New Roman" w:hAnsi="Times New Roman"/>
          <w:sz w:val="20"/>
          <w:szCs w:val="20"/>
          <w:color w:val="auto"/>
        </w:rPr>
        <w:t>final and binding on the Employee. The parties acknowledge that the Employee is solely responsible for the payment of any Excise Tax</w:t>
      </w:r>
    </w:p>
    <w:p>
      <w:pPr>
        <w:ind w:left="7"/>
        <w:spacing w:after="0"/>
        <w:rPr>
          <w:sz w:val="20"/>
          <w:szCs w:val="20"/>
          <w:color w:val="auto"/>
        </w:rPr>
      </w:pPr>
      <w:r>
        <w:rPr>
          <w:rFonts w:ascii="Times New Roman" w:cs="Times New Roman" w:eastAsia="Times New Roman" w:hAnsi="Times New Roman"/>
          <w:sz w:val="20"/>
          <w:szCs w:val="20"/>
          <w:color w:val="auto"/>
        </w:rPr>
        <w:t>that is assessed based upon a payment made pursuant to this Agreement or any other payment made by the Company pursuant to any</w:t>
      </w:r>
    </w:p>
    <w:p>
      <w:pPr>
        <w:ind w:left="7"/>
        <w:spacing w:after="0"/>
        <w:rPr>
          <w:sz w:val="20"/>
          <w:szCs w:val="20"/>
          <w:color w:val="auto"/>
        </w:rPr>
      </w:pPr>
      <w:r>
        <w:rPr>
          <w:rFonts w:ascii="Times New Roman" w:cs="Times New Roman" w:eastAsia="Times New Roman" w:hAnsi="Times New Roman"/>
          <w:sz w:val="20"/>
          <w:szCs w:val="20"/>
          <w:color w:val="auto"/>
        </w:rPr>
        <w:t>other plan or obligation.</w:t>
      </w:r>
    </w:p>
    <w:p>
      <w:pPr>
        <w:spacing w:after="0" w:line="200" w:lineRule="exact"/>
        <w:rPr>
          <w:sz w:val="20"/>
          <w:szCs w:val="20"/>
          <w:color w:val="auto"/>
        </w:rPr>
      </w:pPr>
    </w:p>
    <w:p>
      <w:pPr>
        <w:spacing w:after="0" w:line="210"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69850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7"/>
          </w:cols>
          <w:pgMar w:left="453" w:top="171" w:right="539" w:bottom="1440" w:gutter="0" w:footer="0" w:header="0"/>
        </w:sectPr>
      </w:pPr>
    </w:p>
    <w:bookmarkStart w:id="201" w:name="page202"/>
    <w:bookmarkEnd w:id="201"/>
    <w:p>
      <w:pPr>
        <w:ind w:left="120" w:firstLine="749"/>
        <w:spacing w:after="0" w:line="255" w:lineRule="auto"/>
        <w:rPr>
          <w:sz w:val="20"/>
          <w:szCs w:val="20"/>
          <w:color w:val="auto"/>
        </w:rPr>
      </w:pPr>
      <w:r>
        <w:rPr>
          <w:rFonts w:ascii="Times New Roman" w:cs="Times New Roman" w:eastAsia="Times New Roman" w:hAnsi="Times New Roman"/>
          <w:sz w:val="19"/>
          <w:szCs w:val="19"/>
          <w:color w:val="auto"/>
        </w:rPr>
        <w:t>As a result of the uncertainty in the application of Sections 280G and 4999 of the Code at the time of the initial determination by the independent third party expert, however, it is possible that amounts will have been paid or distributed to or for the benefit of Employee which should not have been so paid or distributed (an “Overpayment”) or that additional amounts which shall not have been paid or distributed to or for the benefit of Employee should have been so paid or distributed (an “Underpayment”), in each case, consistent with the calculation of the amount. If the independent third party expert, based either upon the assertion of a deficiency by the Internal Revenue Service against the Company or Employee which the independent third party expert believes has a high probability of success or controlling precedent or other substantial authority, determines that an Overpayment has been made, any such Overpayment must be treated (if permitted by applicable law) for all purposes as a loan ab initio for which Employee must repay the Company together with interest at the applicable federal rate under Section 7872(f)(2) of the Code; provided, however, that no such loan may be deemed to have been made and no amount shall be payable by Employee to the Company if and to the extent that such deemed loan and payment would not either reduce the amount on which Employee is subject to tax under Section 4999 of the Code or generate a refund of such taxes. If the independent third party expert, based upon controlling precedent or other substantial authority, determines that an Underpayment has occurred, the independent third party expert must promptly notify the Company of the amount of the Underpayment and such amount, together with interest at the applicable federal rate under Section 7872(f)(2) of the Code, must be paid to Employee.</w:t>
      </w:r>
    </w:p>
    <w:p>
      <w:pPr>
        <w:spacing w:after="0" w:line="188" w:lineRule="exact"/>
        <w:rPr>
          <w:sz w:val="20"/>
          <w:szCs w:val="20"/>
          <w:color w:val="auto"/>
        </w:rPr>
      </w:pPr>
    </w:p>
    <w:p>
      <w:pPr>
        <w:ind w:left="760" w:hanging="752"/>
        <w:spacing w:after="0"/>
        <w:tabs>
          <w:tab w:leader="none" w:pos="76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OUTPLACEMENT SERVICES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40" w:right="100" w:firstLine="749"/>
        <w:spacing w:after="0" w:line="245" w:lineRule="auto"/>
        <w:rPr>
          <w:sz w:val="20"/>
          <w:szCs w:val="20"/>
          <w:color w:val="auto"/>
        </w:rPr>
      </w:pPr>
      <w:r>
        <w:rPr>
          <w:rFonts w:ascii="Times New Roman" w:cs="Times New Roman" w:eastAsia="Times New Roman" w:hAnsi="Times New Roman"/>
          <w:sz w:val="20"/>
          <w:szCs w:val="20"/>
          <w:color w:val="auto"/>
        </w:rPr>
        <w:t>Following a Termination without Cause or resignation for Good Reason during the Protection Period, the Company shall, at its expense, permit the Employee to participate in outplacement assistance services, as determined by the Company, which are: (a) as to executive officers, at a level appropriate for senior management of a public company; and (b) not more than six (6) 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315" w:lineRule="exact"/>
        <w:rPr>
          <w:sz w:val="20"/>
          <w:szCs w:val="20"/>
          <w:color w:val="auto"/>
        </w:rPr>
      </w:pPr>
    </w:p>
    <w:p>
      <w:pPr>
        <w:ind w:left="760" w:hanging="752"/>
        <w:spacing w:after="0"/>
        <w:tabs>
          <w:tab w:leader="none" w:pos="76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Successor Employer under this Agreement, in the same manner and to the same extent that the Company and each Successor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199"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20"/>
          <w:szCs w:val="20"/>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02" w:name="page203"/>
    <w:bookmarkEnd w:id="202"/>
    <w:p>
      <w:pPr>
        <w:ind w:left="760" w:hanging="752"/>
        <w:spacing w:after="0"/>
        <w:tabs>
          <w:tab w:leader="none" w:pos="76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FEES AND EXPENSES</w:t>
      </w:r>
      <w:r>
        <w:rPr>
          <w:rFonts w:ascii="Times New Roman" w:cs="Times New Roman" w:eastAsia="Times New Roman" w:hAnsi="Times New Roman"/>
          <w:sz w:val="20"/>
          <w:szCs w:val="20"/>
          <w:b w:val="1"/>
          <w:bCs w:val="1"/>
          <w:color w:val="auto"/>
        </w:rPr>
        <w:t>.</w:t>
      </w:r>
    </w:p>
    <w:p>
      <w:pPr>
        <w:spacing w:after="0" w:line="151" w:lineRule="exact"/>
        <w:rPr>
          <w:sz w:val="20"/>
          <w:szCs w:val="20"/>
          <w:color w:val="auto"/>
        </w:rPr>
      </w:pPr>
    </w:p>
    <w:p>
      <w:pPr>
        <w:ind w:left="120" w:firstLine="749"/>
        <w:spacing w:after="0" w:line="254" w:lineRule="auto"/>
        <w:rPr>
          <w:sz w:val="20"/>
          <w:szCs w:val="20"/>
          <w:color w:val="auto"/>
        </w:rPr>
      </w:pPr>
      <w:r>
        <w:rPr>
          <w:rFonts w:ascii="Times New Roman" w:cs="Times New Roman" w:eastAsia="Times New Roman" w:hAnsi="Times New Roman"/>
          <w:sz w:val="20"/>
          <w:szCs w:val="20"/>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188" w:lineRule="exact"/>
        <w:rPr>
          <w:sz w:val="20"/>
          <w:szCs w:val="20"/>
          <w:color w:val="auto"/>
        </w:rPr>
      </w:pPr>
    </w:p>
    <w:p>
      <w:pPr>
        <w:ind w:left="120" w:right="20"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the Employee will not be deemed to have incurred legal fees or expenses reasonably or in good faith if, following resolution of a dispute under this Agreement, Employee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 (30) 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209" w:lineRule="exact"/>
        <w:rPr>
          <w:sz w:val="20"/>
          <w:szCs w:val="20"/>
          <w:color w:val="auto"/>
        </w:rPr>
      </w:pPr>
    </w:p>
    <w:p>
      <w:pPr>
        <w:ind w:left="760" w:hanging="752"/>
        <w:spacing w:after="0"/>
        <w:tabs>
          <w:tab w:leader="none" w:pos="76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 the Board of the Company. All 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261" w:lineRule="exact"/>
        <w:rPr>
          <w:sz w:val="20"/>
          <w:szCs w:val="20"/>
          <w:color w:val="auto"/>
        </w:rPr>
      </w:pPr>
    </w:p>
    <w:p>
      <w:pPr>
        <w:ind w:left="760" w:hanging="752"/>
        <w:spacing w:after="0"/>
        <w:tabs>
          <w:tab w:leader="none" w:pos="76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NONEXCLUSIVITY OF RIGHTS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9"/>
          <w:szCs w:val="19"/>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 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1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4" w:right="559" w:bottom="1440" w:gutter="0" w:footer="0" w:header="0"/>
        </w:sectPr>
      </w:pPr>
    </w:p>
    <w:bookmarkStart w:id="203" w:name="page204"/>
    <w:bookmarkEnd w:id="203"/>
    <w:p>
      <w:pPr>
        <w:ind w:left="760" w:hanging="752"/>
        <w:spacing w:after="0"/>
        <w:tabs>
          <w:tab w:leader="none" w:pos="760"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7" w:lineRule="exact"/>
        <w:rPr>
          <w:sz w:val="20"/>
          <w:szCs w:val="20"/>
          <w:color w:val="auto"/>
        </w:rPr>
      </w:pPr>
    </w:p>
    <w:p>
      <w:pPr>
        <w:ind w:left="760" w:hanging="752"/>
        <w:spacing w:after="0"/>
        <w:tabs>
          <w:tab w:leader="none" w:pos="76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shall be governed by and construed and enforced in accordance with the laws of the State of South Dakota.</w:t>
      </w:r>
    </w:p>
    <w:p>
      <w:pPr>
        <w:spacing w:after="0" w:line="225"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360" w:firstLine="749"/>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shall be deemed severable and the invalidity or unenforceability of any provision shall not affect the validity or enforceability of the other provisions hereof.</w:t>
      </w:r>
    </w:p>
    <w:p>
      <w:pPr>
        <w:spacing w:after="0" w:line="169" w:lineRule="exact"/>
        <w:rPr>
          <w:sz w:val="20"/>
          <w:szCs w:val="20"/>
          <w:color w:val="auto"/>
        </w:rPr>
      </w:pPr>
    </w:p>
    <w:p>
      <w:pPr>
        <w:ind w:left="880" w:hanging="872"/>
        <w:spacing w:after="0"/>
        <w:tabs>
          <w:tab w:leader="none" w:pos="880" w:val="left"/>
        </w:tabs>
        <w:numPr>
          <w:ilvl w:val="0"/>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GUARANTEED EMPLOYMENT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9"/>
          <w:szCs w:val="19"/>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188" w:lineRule="exact"/>
        <w:rPr>
          <w:sz w:val="20"/>
          <w:szCs w:val="20"/>
          <w:color w:val="auto"/>
        </w:rPr>
      </w:pPr>
    </w:p>
    <w:p>
      <w:pPr>
        <w:ind w:left="880" w:hanging="872"/>
        <w:spacing w:after="0"/>
        <w:tabs>
          <w:tab w:leader="none" w:pos="88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SUBSIDIARY DEEMED TO BE COMPANY FOR PORTIONS OF AGREEMENT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42" w:right="619" w:bottom="1440" w:gutter="0" w:footer="0" w:header="0"/>
        </w:sectPr>
      </w:pPr>
    </w:p>
    <w:bookmarkStart w:id="204" w:name="page205"/>
    <w:bookmarkEnd w:id="204"/>
    <w:p>
      <w:pPr>
        <w:ind w:left="880" w:hanging="872"/>
        <w:spacing w:after="0"/>
        <w:tabs>
          <w:tab w:leader="none" w:pos="880"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w:t>
      </w:r>
    </w:p>
    <w:p>
      <w:pPr>
        <w:spacing w:after="0" w:line="21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Agreement constitutes the entire agreement between the parties hereto and supersedes all prior agreements, if any, understandings and arrangements, oral or written, between the parties hereto with respect to the subject matter hereof.</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 this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November, 2022.</w:t>
      </w:r>
    </w:p>
    <w:p>
      <w:pPr>
        <w:spacing w:after="0" w:line="1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-10795</wp:posOffset>
            </wp:positionV>
            <wp:extent cx="3206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2">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Linden R. Evans</w:t>
      </w:r>
    </w:p>
    <w:p>
      <w:pPr>
        <w:ind w:left="56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ind w:left="5240"/>
        <w:spacing w:after="0"/>
        <w:rPr>
          <w:sz w:val="20"/>
          <w:szCs w:val="20"/>
          <w:color w:val="auto"/>
        </w:rPr>
      </w:pPr>
      <w:r>
        <w:rPr>
          <w:rFonts w:ascii="Times New Roman" w:cs="Times New Roman" w:eastAsia="Times New Roman" w:hAnsi="Times New Roman"/>
          <w:sz w:val="20"/>
          <w:szCs w:val="20"/>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114" w:right="139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WAIVER AND RELEASE AGREEMENT</w:t>
      </w:r>
    </w:p>
    <w:p>
      <w:pPr>
        <w:spacing w:after="0" w:line="172" w:lineRule="exact"/>
        <w:rPr>
          <w:sz w:val="20"/>
          <w:szCs w:val="20"/>
          <w:color w:val="auto"/>
        </w:rPr>
      </w:pPr>
    </w:p>
    <w:p>
      <w:pPr>
        <w:ind w:right="560" w:firstLine="749"/>
        <w:spacing w:after="0" w:line="27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Waiver and Release Agreement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Waiver and Release</w:t>
      </w:r>
      <w:r>
        <w:rPr>
          <w:rFonts w:ascii="Times New Roman" w:cs="Times New Roman" w:eastAsia="Times New Roman" w:hAnsi="Times New Roman"/>
          <w:sz w:val="20"/>
          <w:szCs w:val="20"/>
          <w:color w:val="auto"/>
        </w:rPr>
        <w:t>”) is entered into by and among Black Hills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____________________(“</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this ___ day of _________________, 202_,</w:t>
      </w:r>
    </w:p>
    <w:p>
      <w:pPr>
        <w:spacing w:after="0" w:line="165" w:lineRule="exact"/>
        <w:rPr>
          <w:sz w:val="20"/>
          <w:szCs w:val="20"/>
          <w:color w:val="auto"/>
        </w:rPr>
      </w:pPr>
    </w:p>
    <w:p>
      <w:pPr>
        <w:ind w:left="720" w:right="20" w:firstLine="749"/>
        <w:spacing w:after="0" w:line="241" w:lineRule="auto"/>
        <w:tabs>
          <w:tab w:leader="none" w:pos="2331" w:val="left"/>
        </w:tabs>
        <w:numPr>
          <w:ilvl w:val="1"/>
          <w:numId w:val="1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Waiver and Release. </w:t>
      </w:r>
      <w:r>
        <w:rPr>
          <w:rFonts w:ascii="Times New Roman" w:cs="Times New Roman" w:eastAsia="Times New Roman" w:hAnsi="Times New Roman"/>
          <w:sz w:val="20"/>
          <w:szCs w:val="20"/>
          <w:color w:val="auto"/>
        </w:rPr>
        <w:t>For and in consideration of the agreement of Company to provide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the severance benefits described in that certain Change in Control Agreement, dated as of ____________, 202_, between Employee and the Company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Times New Roman" w:cs="Times New Roman" w:eastAsia="Times New Roman" w:hAnsi="Times New Roman"/>
          <w:sz w:val="20"/>
          <w:szCs w:val="20"/>
          <w:b w:val="1"/>
          <w:bCs w:val="1"/>
          <w:color w:val="auto"/>
        </w:rPr>
        <w:t>Released Parties</w:t>
      </w:r>
      <w:r>
        <w:rPr>
          <w:rFonts w:ascii="Times New Roman" w:cs="Times New Roman" w:eastAsia="Times New Roman" w:hAnsi="Times New Roman"/>
          <w:sz w:val="20"/>
          <w:szCs w:val="20"/>
          <w:color w:val="auto"/>
        </w:rPr>
        <w:t>”) from any and all claims, charges, actions, causes of action, sums of money due, suites, debts, covenants, contracts, agreements, rights, damages, promises, demands or liabilities (hereinafter collectively referred to as “</w:t>
      </w:r>
      <w:r>
        <w:rPr>
          <w:rFonts w:ascii="Times New Roman" w:cs="Times New Roman" w:eastAsia="Times New Roman" w:hAnsi="Times New Roman"/>
          <w:sz w:val="20"/>
          <w:szCs w:val="20"/>
          <w:b w:val="1"/>
          <w:bCs w:val="1"/>
          <w:color w:val="auto"/>
        </w:rPr>
        <w:t>Claims</w:t>
      </w:r>
      <w:r>
        <w:rPr>
          <w:rFonts w:ascii="Times New Roman" w:cs="Times New Roman" w:eastAsia="Times New Roman" w:hAnsi="Times New Roman"/>
          <w:sz w:val="20"/>
          <w:szCs w:val="20"/>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 way of limitation, Claims pursuant to federal, state or local statute, regulation, ordinance or common-law for (i) employment discrimination; (ii) 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210" w:lineRule="exact"/>
        <w:rPr>
          <w:rFonts w:ascii="Times New Roman" w:cs="Times New Roman" w:eastAsia="Times New Roman" w:hAnsi="Times New Roman"/>
          <w:sz w:val="20"/>
          <w:szCs w:val="20"/>
          <w:b w:val="1"/>
          <w:bCs w:val="1"/>
          <w:color w:val="auto"/>
        </w:rPr>
      </w:pPr>
    </w:p>
    <w:p>
      <w:pPr>
        <w:ind w:left="1440" w:right="620" w:hanging="699"/>
        <w:spacing w:after="0" w:line="269" w:lineRule="auto"/>
        <w:tabs>
          <w:tab w:leader="none" w:pos="144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obligations of the Company and its Affiliates to pay benefits upon termination of employment as set forth in the Agreement, pursuant to which this Waiver and Release is being executed and delivered;</w:t>
      </w:r>
    </w:p>
    <w:p>
      <w:pPr>
        <w:spacing w:after="0" w:line="172" w:lineRule="exact"/>
        <w:rPr>
          <w:rFonts w:ascii="Times New Roman" w:cs="Times New Roman" w:eastAsia="Times New Roman" w:hAnsi="Times New Roman"/>
          <w:sz w:val="20"/>
          <w:szCs w:val="20"/>
          <w:color w:val="auto"/>
        </w:rPr>
      </w:pPr>
    </w:p>
    <w:p>
      <w:pPr>
        <w:ind w:left="1480" w:hanging="739"/>
        <w:spacing w:after="0" w:line="245" w:lineRule="auto"/>
        <w:tabs>
          <w:tab w:leader="none" w:pos="14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197" w:lineRule="exact"/>
        <w:rPr>
          <w:rFonts w:ascii="Times New Roman" w:cs="Times New Roman" w:eastAsia="Times New Roman" w:hAnsi="Times New Roman"/>
          <w:sz w:val="20"/>
          <w:szCs w:val="20"/>
          <w:color w:val="auto"/>
        </w:rPr>
      </w:pPr>
    </w:p>
    <w:p>
      <w:pPr>
        <w:jc w:val="both"/>
        <w:ind w:left="1460" w:right="240" w:hanging="719"/>
        <w:spacing w:after="0" w:line="254" w:lineRule="auto"/>
        <w:tabs>
          <w:tab w:leader="none" w:pos="14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116" w:right="499" w:bottom="1440" w:gutter="0" w:footer="0" w:header="0"/>
        </w:sectPr>
      </w:pPr>
    </w:p>
    <w:bookmarkStart w:id="206" w:name="page207"/>
    <w:bookmarkEnd w:id="206"/>
    <w:p>
      <w:pPr>
        <w:ind w:firstLine="749"/>
        <w:spacing w:after="0" w:line="246" w:lineRule="auto"/>
        <w:rPr>
          <w:sz w:val="20"/>
          <w:szCs w:val="20"/>
          <w:color w:val="auto"/>
        </w:rPr>
      </w:pPr>
      <w:r>
        <w:rPr>
          <w:rFonts w:ascii="Times New Roman" w:cs="Times New Roman" w:eastAsia="Times New Roman" w:hAnsi="Times New Roman"/>
          <w:sz w:val="20"/>
          <w:szCs w:val="20"/>
          <w:color w:val="auto"/>
        </w:rPr>
        <w:t>Employee further understands and agrees that, subject to the exceptions in 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pacing w:after="0" w:line="181" w:lineRule="exact"/>
        <w:rPr>
          <w:sz w:val="20"/>
          <w:szCs w:val="20"/>
          <w:color w:val="auto"/>
        </w:rPr>
      </w:pPr>
    </w:p>
    <w:p>
      <w:pPr>
        <w:ind w:right="20" w:firstLine="749"/>
        <w:spacing w:after="0" w:line="241" w:lineRule="auto"/>
        <w:tabs>
          <w:tab w:leader="none" w:pos="1611"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Waiver and Release of ADEA Claims. </w:t>
      </w:r>
      <w:r>
        <w:rPr>
          <w:rFonts w:ascii="Times New Roman" w:cs="Times New Roman" w:eastAsia="Times New Roman" w:hAnsi="Times New Roman"/>
          <w:sz w:val="20"/>
          <w:szCs w:val="20"/>
          <w:color w:val="auto"/>
        </w:rPr>
        <w:t>Without limiting the generality of the foregoing, and also for and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of the Company’s agreement to provide Employee severance payments and benefits as described in the Agreement, Employee specifically acknowledges and agrees that Employee does hereby knowingly and voluntarily release the Company and all other Released Parties from any and all claims arising under the Age Discrimination in Employment Act, 29 U.S.C. Section 621, et seq. (“</w:t>
      </w:r>
      <w:r>
        <w:rPr>
          <w:rFonts w:ascii="Times New Roman" w:cs="Times New Roman" w:eastAsia="Times New Roman" w:hAnsi="Times New Roman"/>
          <w:sz w:val="20"/>
          <w:szCs w:val="20"/>
          <w:b w:val="1"/>
          <w:bCs w:val="1"/>
          <w:color w:val="auto"/>
        </w:rPr>
        <w:t>ADEA</w:t>
      </w:r>
      <w:r>
        <w:rPr>
          <w:rFonts w:ascii="Times New Roman" w:cs="Times New Roman" w:eastAsia="Times New Roman" w:hAnsi="Times New Roman"/>
          <w:sz w:val="20"/>
          <w:szCs w:val="20"/>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at any time within seven (7) days following its execution and that, if Employee revokes this waiver and Release within such seven (7) day period, it shall not be effective or enforceable and Employee will not receive the above-described consideration or any payments provided for in the Agreement.</w:t>
      </w:r>
    </w:p>
    <w:p>
      <w:pPr>
        <w:spacing w:after="0" w:line="206" w:lineRule="exact"/>
        <w:rPr>
          <w:rFonts w:ascii="Times New Roman" w:cs="Times New Roman" w:eastAsia="Times New Roman" w:hAnsi="Times New Roman"/>
          <w:sz w:val="20"/>
          <w:szCs w:val="20"/>
          <w:b w:val="1"/>
          <w:bCs w:val="1"/>
          <w:color w:val="auto"/>
        </w:rPr>
      </w:pPr>
    </w:p>
    <w:p>
      <w:pPr>
        <w:ind w:right="60" w:firstLine="749"/>
        <w:spacing w:after="0" w:line="256" w:lineRule="auto"/>
        <w:tabs>
          <w:tab w:leader="none" w:pos="1608"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Denial of Liability. </w:t>
      </w:r>
      <w:r>
        <w:rPr>
          <w:rFonts w:ascii="Times New Roman" w:cs="Times New Roman" w:eastAsia="Times New Roman" w:hAnsi="Times New Roman"/>
          <w:sz w:val="20"/>
          <w:szCs w:val="20"/>
          <w:color w:val="auto"/>
        </w:rPr>
        <w:t>Employee acknowledges and agrees that neither the payment of severance payments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benefits under the Agreement nor this Waiver and Release is to be construed in any way as an admission of any liability whatsoever by Company or any of the other Released Parties, by whom liability is expressly denied.</w:t>
      </w:r>
    </w:p>
    <w:p>
      <w:pPr>
        <w:spacing w:after="0" w:line="182" w:lineRule="exact"/>
        <w:rPr>
          <w:rFonts w:ascii="Times New Roman" w:cs="Times New Roman" w:eastAsia="Times New Roman" w:hAnsi="Times New Roman"/>
          <w:sz w:val="20"/>
          <w:szCs w:val="20"/>
          <w:b w:val="1"/>
          <w:bCs w:val="1"/>
          <w:color w:val="auto"/>
        </w:rPr>
      </w:pPr>
    </w:p>
    <w:p>
      <w:pPr>
        <w:ind w:firstLine="749"/>
        <w:spacing w:after="0" w:line="245" w:lineRule="auto"/>
        <w:tabs>
          <w:tab w:leader="none" w:pos="1611"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Entitlement to Further Relief. </w:t>
      </w:r>
      <w:r>
        <w:rPr>
          <w:rFonts w:ascii="Times New Roman" w:cs="Times New Roman" w:eastAsia="Times New Roman" w:hAnsi="Times New Roman"/>
          <w:sz w:val="20"/>
          <w:szCs w:val="20"/>
          <w:color w:val="auto"/>
        </w:rPr>
        <w:t>Employee acknowledges and agrees that Employee has not,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 hereby waives any right to accept any relief or recovery, including costs and attorneys’ fees, that may arise from any charge or complaint before any federal, state or local court or administrative agency against the Released Parties.</w:t>
      </w:r>
    </w:p>
    <w:p>
      <w:pPr>
        <w:spacing w:after="0" w:line="3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69850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160" w:top="171" w:right="499" w:bottom="1440" w:gutter="0" w:footer="0" w:header="0"/>
        </w:sectPr>
      </w:pPr>
    </w:p>
    <w:bookmarkStart w:id="207" w:name="page208"/>
    <w:bookmarkEnd w:id="207"/>
    <w:p>
      <w:pPr>
        <w:ind w:right="20" w:firstLine="749"/>
        <w:spacing w:after="0" w:line="244" w:lineRule="auto"/>
        <w:tabs>
          <w:tab w:leader="none" w:pos="1611"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Company Property and Confidential Information. </w:t>
      </w:r>
      <w:r>
        <w:rPr>
          <w:rFonts w:ascii="Times New Roman" w:cs="Times New Roman" w:eastAsia="Times New Roman" w:hAnsi="Times New Roman"/>
          <w:sz w:val="20"/>
          <w:szCs w:val="20"/>
          <w:color w:val="auto"/>
        </w:rPr>
        <w:t>Employee agrees that Employee will not retain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destroy, and 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 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198"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 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 Notwithstanding any other language in this Waiver and Release to the contrary, Employee understands that Employee may not be held criminally or civilly liable under any federal or state trade secret law for the disclosure of a trade secret that is made (i) in confidence to a federal, state or local government official, either directly or indirectly, or to an attorney if such disclosure is made solely for the purpose of reporting or investigating a suspected violation of law or for pursuing an anti-retaliation lawsuit; or (ii) in a complaint or other document filed in a lawsuit or other proceeding, if such filing is made under seal and Employee does not disclose the trade secret except pursuant to a court order.</w:t>
      </w:r>
    </w:p>
    <w:p>
      <w:pPr>
        <w:spacing w:after="0" w:line="197" w:lineRule="exact"/>
        <w:rPr>
          <w:sz w:val="20"/>
          <w:szCs w:val="20"/>
          <w:color w:val="auto"/>
        </w:rPr>
      </w:pPr>
    </w:p>
    <w:p>
      <w:pPr>
        <w:ind w:right="120" w:firstLine="749"/>
        <w:spacing w:after="0" w:line="246" w:lineRule="auto"/>
        <w:tabs>
          <w:tab w:leader="none" w:pos="1607"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Non-Competition. </w:t>
      </w:r>
      <w:r>
        <w:rPr>
          <w:rFonts w:ascii="Times New Roman" w:cs="Times New Roman" w:eastAsia="Times New Roman" w:hAnsi="Times New Roman"/>
          <w:sz w:val="20"/>
          <w:szCs w:val="20"/>
          <w:color w:val="auto"/>
        </w:rPr>
        <w:t>Employee agrees that for a period of one (1) year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192" w:lineRule="exact"/>
        <w:rPr>
          <w:rFonts w:ascii="Times New Roman" w:cs="Times New Roman" w:eastAsia="Times New Roman" w:hAnsi="Times New Roman"/>
          <w:sz w:val="20"/>
          <w:szCs w:val="20"/>
          <w:b w:val="1"/>
          <w:bCs w:val="1"/>
          <w:color w:val="auto"/>
        </w:rPr>
      </w:pPr>
    </w:p>
    <w:p>
      <w:pPr>
        <w:ind w:right="160" w:firstLine="749"/>
        <w:spacing w:after="0" w:line="247" w:lineRule="auto"/>
        <w:tabs>
          <w:tab w:leader="none" w:pos="1607"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Non-Solicitation. </w:t>
      </w:r>
      <w:r>
        <w:rPr>
          <w:rFonts w:ascii="Times New Roman" w:cs="Times New Roman" w:eastAsia="Times New Roman" w:hAnsi="Times New Roman"/>
          <w:sz w:val="20"/>
          <w:szCs w:val="20"/>
          <w:color w:val="auto"/>
        </w:rPr>
        <w:t>Employee agrees that for a period of two (2) years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directly or indirectly, whether for Employee’s own benefit or on behalf of another: (i) hire or offer to hire any of the Company’s officers, employees or agents; (ii) persuade, or attempt to persuade, any officer, employee or agent of the Company to discontinue any relationship with the Company; or (iii) solicit or divert or attempt to divert any customer or supplier of the Company then doing business in the Company’s service territory.</w:t>
      </w:r>
    </w:p>
    <w:p>
      <w:pPr>
        <w:spacing w:after="0" w:line="40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69850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160" w:top="114" w:right="499" w:bottom="1440" w:gutter="0" w:footer="0" w:header="0"/>
        </w:sectPr>
      </w:pPr>
    </w:p>
    <w:bookmarkStart w:id="208" w:name="page209"/>
    <w:bookmarkEnd w:id="208"/>
    <w:p>
      <w:pPr>
        <w:ind w:left="-280" w:right="100" w:firstLine="740"/>
        <w:spacing w:after="0" w:line="244" w:lineRule="auto"/>
        <w:tabs>
          <w:tab w:leader="none" w:pos="1327"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Non-Disparagement. </w:t>
      </w:r>
      <w:r>
        <w:rPr>
          <w:rFonts w:ascii="Times New Roman" w:cs="Times New Roman" w:eastAsia="Times New Roman" w:hAnsi="Times New Roman"/>
          <w:sz w:val="20"/>
          <w:szCs w:val="20"/>
          <w:color w:val="auto"/>
        </w:rPr>
        <w:t>Employee agrees that for a period of two (2) years following the Termination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shall not, directly or indirectly, disparage, criticize, or otherwise make derogatory statements regarding the Company or any aspect of management policies, operations, practices, or personnel of the Company. Notwithstanding the foregoing, nothing contained herein will be deemed to restrict the Employee from providing information to any governmental or regulatory agency (or in any way limit the content of such information) to the extent the Employee is required to provide such information pursuant to applicable law or regulation; nor will the foregoing restrict the Employee from enforcing Employee’s rights under this Waiver and Release.</w:t>
      </w:r>
    </w:p>
    <w:p>
      <w:pPr>
        <w:spacing w:after="0" w:line="212" w:lineRule="exact"/>
        <w:rPr>
          <w:rFonts w:ascii="Times New Roman" w:cs="Times New Roman" w:eastAsia="Times New Roman" w:hAnsi="Times New Roman"/>
          <w:sz w:val="20"/>
          <w:szCs w:val="20"/>
          <w:b w:val="1"/>
          <w:bCs w:val="1"/>
          <w:color w:val="auto"/>
        </w:rPr>
      </w:pPr>
    </w:p>
    <w:p>
      <w:pPr>
        <w:ind w:left="-280" w:right="180" w:firstLine="747"/>
        <w:spacing w:after="0" w:line="245" w:lineRule="auto"/>
        <w:tabs>
          <w:tab w:leader="none" w:pos="1326"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Permitted Activities. </w:t>
      </w:r>
      <w:r>
        <w:rPr>
          <w:rFonts w:ascii="Times New Roman" w:cs="Times New Roman" w:eastAsia="Times New Roman" w:hAnsi="Times New Roman"/>
          <w:sz w:val="20"/>
          <w:szCs w:val="20"/>
          <w:color w:val="auto"/>
        </w:rPr>
        <w:t>Notwithstanding any other provision hereof, nothing contained in this Waiver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 is 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192" w:lineRule="exact"/>
        <w:rPr>
          <w:rFonts w:ascii="Times New Roman" w:cs="Times New Roman" w:eastAsia="Times New Roman" w:hAnsi="Times New Roman"/>
          <w:sz w:val="20"/>
          <w:szCs w:val="20"/>
          <w:b w:val="1"/>
          <w:bCs w:val="1"/>
          <w:color w:val="auto"/>
        </w:rPr>
      </w:pPr>
    </w:p>
    <w:p>
      <w:pPr>
        <w:jc w:val="both"/>
        <w:ind w:left="-280" w:right="200" w:firstLine="747"/>
        <w:spacing w:after="0" w:line="250" w:lineRule="auto"/>
        <w:tabs>
          <w:tab w:leader="none" w:pos="1326"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Supersedes All Other Non-Competition, Non-Solicitation and Non- Disparagement Agreements. </w:t>
      </w:r>
      <w:r>
        <w:rPr>
          <w:rFonts w:ascii="Times New Roman" w:cs="Times New Roman" w:eastAsia="Times New Roman" w:hAnsi="Times New Roman"/>
          <w:sz w:val="20"/>
          <w:szCs w:val="20"/>
          <w:color w:val="auto"/>
        </w:rPr>
        <w:t>Employee agrees, that in the event of a Termination Date under the Agreement, the foregoing Section 6. Non-Competition, Section 7. Non- Solicitation and Section 8. Non-Disparagement supersedes any other non-competition, non-solicitation or non-disparagement agreements or provisions that may have been in place prior to the Termination Date.</w:t>
      </w:r>
    </w:p>
    <w:p>
      <w:pPr>
        <w:spacing w:after="0" w:line="189" w:lineRule="exact"/>
        <w:rPr>
          <w:rFonts w:ascii="Times New Roman" w:cs="Times New Roman" w:eastAsia="Times New Roman" w:hAnsi="Times New Roman"/>
          <w:sz w:val="20"/>
          <w:szCs w:val="20"/>
          <w:b w:val="1"/>
          <w:bCs w:val="1"/>
          <w:color w:val="auto"/>
        </w:rPr>
      </w:pPr>
    </w:p>
    <w:p>
      <w:pPr>
        <w:ind w:left="-280" w:right="160" w:firstLine="749"/>
        <w:spacing w:after="0" w:line="276" w:lineRule="auto"/>
        <w:tabs>
          <w:tab w:leader="none" w:pos="1333" w:val="left"/>
        </w:tabs>
        <w:numPr>
          <w:ilvl w:val="0"/>
          <w:numId w:val="2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Confidentiality Agreement. </w:t>
      </w:r>
      <w:r>
        <w:rPr>
          <w:rFonts w:ascii="Times New Roman" w:cs="Times New Roman" w:eastAsia="Times New Roman" w:hAnsi="Times New Roman"/>
          <w:sz w:val="19"/>
          <w:szCs w:val="19"/>
          <w:color w:val="auto"/>
        </w:rPr>
        <w:t>Employee acknowledges that the terms of this Waiver and Release must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kept 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64" w:lineRule="exact"/>
        <w:rPr>
          <w:rFonts w:ascii="Times New Roman" w:cs="Times New Roman" w:eastAsia="Times New Roman" w:hAnsi="Times New Roman"/>
          <w:sz w:val="19"/>
          <w:szCs w:val="19"/>
          <w:b w:val="1"/>
          <w:bCs w:val="1"/>
          <w:color w:val="auto"/>
        </w:rPr>
      </w:pPr>
    </w:p>
    <w:p>
      <w:pPr>
        <w:ind w:left="-280" w:right="460" w:firstLine="749"/>
        <w:spacing w:after="0" w:line="256" w:lineRule="auto"/>
        <w:tabs>
          <w:tab w:leader="none" w:pos="1322"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Employee agrees to cooperate with the Company and its attorneys in connection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lawsuits, claims, investigations, or similar proceedings, including the provision of testimony as my reasonably be required, arising out of or in any way related to Employee’s employment by the Company or any of its Subsidiaries.</w:t>
      </w:r>
    </w:p>
    <w:p>
      <w:pPr>
        <w:spacing w:after="0" w:line="182" w:lineRule="exact"/>
        <w:rPr>
          <w:rFonts w:ascii="Times New Roman" w:cs="Times New Roman" w:eastAsia="Times New Roman" w:hAnsi="Times New Roman"/>
          <w:sz w:val="20"/>
          <w:szCs w:val="20"/>
          <w:b w:val="1"/>
          <w:bCs w:val="1"/>
          <w:color w:val="auto"/>
        </w:rPr>
      </w:pPr>
    </w:p>
    <w:p>
      <w:pPr>
        <w:ind w:left="-280" w:firstLine="749"/>
        <w:spacing w:after="0" w:line="247" w:lineRule="auto"/>
        <w:tabs>
          <w:tab w:leader="none" w:pos="1335"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Acknowledgement. </w:t>
      </w:r>
      <w:r>
        <w:rPr>
          <w:rFonts w:ascii="Times New Roman" w:cs="Times New Roman" w:eastAsia="Times New Roman" w:hAnsi="Times New Roman"/>
          <w:sz w:val="20"/>
          <w:szCs w:val="20"/>
          <w:color w:val="auto"/>
        </w:rPr>
        <w:t>Employee acknowledges that Employee has carefully read and fully understands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of this Waiver and Release and the Agreement and that this Waiver and Release is executed by Employee voluntarily and is not based upon any representations or statements of any kind made by the Company or any of the other Released Parties. Employee further acknowledges that Employee has had a full and reasonable opportunity to consider this waiver Release and that Employee has not been pressured or in any way coerced into executing this Waiver and Release.</w:t>
      </w:r>
    </w:p>
    <w:p>
      <w:pPr>
        <w:spacing w:after="0" w:line="193" w:lineRule="exact"/>
        <w:rPr>
          <w:rFonts w:ascii="Times New Roman" w:cs="Times New Roman" w:eastAsia="Times New Roman" w:hAnsi="Times New Roman"/>
          <w:sz w:val="20"/>
          <w:szCs w:val="20"/>
          <w:b w:val="1"/>
          <w:bCs w:val="1"/>
          <w:color w:val="auto"/>
        </w:rPr>
      </w:pPr>
    </w:p>
    <w:p>
      <w:pPr>
        <w:ind w:left="-280" w:right="680" w:firstLine="749"/>
        <w:spacing w:after="0" w:line="273" w:lineRule="auto"/>
        <w:tabs>
          <w:tab w:leader="none" w:pos="1327"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Laws. </w:t>
      </w:r>
      <w:r>
        <w:rPr>
          <w:rFonts w:ascii="Times New Roman" w:cs="Times New Roman" w:eastAsia="Times New Roman" w:hAnsi="Times New Roman"/>
          <w:sz w:val="20"/>
          <w:szCs w:val="20"/>
          <w:color w:val="auto"/>
        </w:rPr>
        <w:t>This Waiver and Release and the rights and obligation so the parties hereto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governed and construed in accordance with the laws of the State of South Dakota.</w:t>
      </w:r>
    </w:p>
    <w:p>
      <w:pPr>
        <w:spacing w:after="0" w:line="3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14" w:right="479" w:bottom="1440" w:gutter="0" w:footer="0" w:header="0"/>
        </w:sectPr>
      </w:pPr>
    </w:p>
    <w:bookmarkStart w:id="209" w:name="page210"/>
    <w:bookmarkEnd w:id="209"/>
    <w:p>
      <w:pPr>
        <w:ind w:left="740" w:firstLine="745"/>
        <w:spacing w:after="0" w:line="258" w:lineRule="auto"/>
        <w:tabs>
          <w:tab w:leader="none" w:pos="2347"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Severability. </w:t>
      </w:r>
      <w:r>
        <w:rPr>
          <w:rFonts w:ascii="Times New Roman" w:cs="Times New Roman" w:eastAsia="Times New Roman" w:hAnsi="Times New Roman"/>
          <w:sz w:val="19"/>
          <w:szCs w:val="19"/>
          <w:color w:val="auto"/>
        </w:rPr>
        <w:t>With the exception of the waiver and releases contained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Sections 1 and 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 if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provision of 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Times New Roman" w:cs="Times New Roman" w:eastAsia="Times New Roman" w:hAnsi="Times New Roman"/>
          <w:sz w:val="19"/>
          <w:szCs w:val="19"/>
          <w:u w:val="single" w:color="auto"/>
          <w:color w:val="auto"/>
        </w:rPr>
        <w:t>Sections 1 and 2</w:t>
      </w:r>
      <w:r>
        <w:rPr>
          <w:rFonts w:ascii="Times New Roman" w:cs="Times New Roman" w:eastAsia="Times New Roman" w:hAnsi="Times New Roman"/>
          <w:sz w:val="19"/>
          <w:szCs w:val="19"/>
          <w:color w:val="auto"/>
        </w:rPr>
        <w:t xml:space="preserve"> are unenforceable or are held to be unenforceable, the parties understand and agree that the remaining provisions of this Waiver and Release shall be rendered null and void and that neither party shall have any further obligation under any provision of this Waiver and Release.</w:t>
      </w:r>
    </w:p>
    <w:p>
      <w:pPr>
        <w:spacing w:after="0" w:line="240" w:lineRule="exact"/>
        <w:rPr>
          <w:rFonts w:ascii="Times New Roman" w:cs="Times New Roman" w:eastAsia="Times New Roman" w:hAnsi="Times New Roman"/>
          <w:sz w:val="19"/>
          <w:szCs w:val="19"/>
          <w:b w:val="1"/>
          <w:bCs w:val="1"/>
          <w:color w:val="auto"/>
        </w:rPr>
      </w:pPr>
    </w:p>
    <w:p>
      <w:pPr>
        <w:ind w:left="740" w:right="120" w:firstLine="751"/>
        <w:spacing w:after="0" w:line="273" w:lineRule="auto"/>
        <w:tabs>
          <w:tab w:leader="none" w:pos="2348"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Defined Terms. </w:t>
      </w:r>
      <w:r>
        <w:rPr>
          <w:rFonts w:ascii="Times New Roman" w:cs="Times New Roman" w:eastAsia="Times New Roman" w:hAnsi="Times New Roman"/>
          <w:sz w:val="20"/>
          <w:szCs w:val="20"/>
          <w:color w:val="auto"/>
        </w:rPr>
        <w:t>Capitalized terms that are not defined in this Waiver and Release shall have the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the Agreement.</w:t>
      </w:r>
    </w:p>
    <w:p>
      <w:pPr>
        <w:spacing w:after="0" w:line="165" w:lineRule="exact"/>
        <w:rPr>
          <w:rFonts w:ascii="Times New Roman" w:cs="Times New Roman" w:eastAsia="Times New Roman" w:hAnsi="Times New Roman"/>
          <w:sz w:val="20"/>
          <w:szCs w:val="20"/>
          <w:b w:val="1"/>
          <w:bCs w:val="1"/>
          <w:color w:val="auto"/>
        </w:rPr>
      </w:pPr>
    </w:p>
    <w:p>
      <w:pPr>
        <w:jc w:val="both"/>
        <w:ind w:left="740" w:right="160" w:firstLine="751"/>
        <w:spacing w:after="0" w:line="250" w:lineRule="auto"/>
        <w:tabs>
          <w:tab w:leader="none" w:pos="2348"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document contains all terms of the Waiver and Release and supersedes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invalidates any previous agreements or contracts regarding the same subject matter; provided, however, the terms of the Agreement that survive the Termination Date shall remain in effect. No representations, inducements, promises or agreements, oral or otherwise, which are not embodies herein shall be of any force or effect.</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9"/>
          <w:szCs w:val="29"/>
          <w:b w:val="1"/>
          <w:bCs w:val="1"/>
          <w:i w:val="1"/>
          <w:iCs w:val="1"/>
          <w:color w:val="auto"/>
        </w:rPr>
        <w:t>Please read this document carefully, as it includes a release of claims.</w:t>
      </w:r>
    </w:p>
    <w:p>
      <w:pPr>
        <w:spacing w:after="0" w:line="247"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acknowledges that Employee has read this Waiver and Release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Employee’s hand and seal this __ day of ________________, 2022_.</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425450</wp:posOffset>
            </wp:positionV>
            <wp:extent cx="15074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8">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-10795</wp:posOffset>
            </wp:positionV>
            <wp:extent cx="13258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-24765</wp:posOffset>
            </wp:positionV>
            <wp:extent cx="12401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69850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60" w:top="167" w:right="5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10.28</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Short-Term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(Effective for Plan Years Beginning on or after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Short-Term Incentive</w:t>
      </w:r>
    </w:p>
    <w:p>
      <w:pPr>
        <w:spacing w:after="0" w:line="2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Plan (the “STIP”). The STIP is granted under the cash-based awards provisions of the Black Hills Corporation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pacing w:after="0" w:line="31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Participant:</w:t>
      </w:r>
      <w:r>
        <w:rPr>
          <w:sz w:val="20"/>
          <w:szCs w:val="20"/>
          <w:color w:val="auto"/>
        </w:rPr>
        <w:tab/>
      </w: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______________________</w:t>
      </w:r>
    </w:p>
    <w:p>
      <w:pPr>
        <w:spacing w:after="0" w:line="24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1"/>
          <w:szCs w:val="21"/>
          <w:b w:val="1"/>
          <w:bCs w:val="1"/>
          <w:color w:val="auto"/>
        </w:rPr>
        <w:t>Target STIP Award:</w:t>
      </w:r>
      <w:r>
        <w:rPr>
          <w:sz w:val="20"/>
          <w:szCs w:val="20"/>
          <w:color w:val="auto"/>
        </w:rPr>
        <w:tab/>
      </w:r>
      <w:r>
        <w:rPr>
          <w:rFonts w:ascii="Times New Roman" w:cs="Times New Roman" w:eastAsia="Times New Roman" w:hAnsi="Times New Roman"/>
          <w:sz w:val="20"/>
          <w:szCs w:val="20"/>
          <w:color w:val="auto"/>
        </w:rPr>
        <w:t>X (XX) percent of Eligible Earnings</w:t>
      </w:r>
    </w:p>
    <w:p>
      <w:pPr>
        <w:spacing w:after="0" w:line="24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Performance Period:</w:t>
      </w:r>
      <w:r>
        <w:rPr>
          <w:sz w:val="20"/>
          <w:szCs w:val="20"/>
          <w:color w:val="auto"/>
        </w:rPr>
        <w:tab/>
      </w:r>
      <w:r>
        <w:rPr>
          <w:rFonts w:ascii="Times New Roman" w:cs="Times New Roman" w:eastAsia="Times New Roman" w:hAnsi="Times New Roman"/>
          <w:sz w:val="20"/>
          <w:szCs w:val="20"/>
          <w:color w:val="auto"/>
        </w:rPr>
        <w:t>January 1, 2023 to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Effective Date and Purpose of Plan</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Performance Period commences on January 1, 2023 and ends on December 31,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Definitions</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Unless the context otherwise specifically requires, the following words as used herein shall have the following meanings:</w:t>
      </w:r>
    </w:p>
    <w:p>
      <w:pPr>
        <w:spacing w:after="0" w:line="24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Eligible Earnings </w:t>
      </w:r>
      <w:r>
        <w:rPr>
          <w:rFonts w:ascii="Times New Roman" w:cs="Times New Roman" w:eastAsia="Times New Roman" w:hAnsi="Times New Roman"/>
          <w:sz w:val="21"/>
          <w:szCs w:val="21"/>
          <w:color w:val="auto"/>
        </w:rPr>
        <w:t>means the Participant’s regular compensation such as base salary and lump sum in lieu of merit increase.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Eligible Earnings exclude, but are not limited to, non-cash compensation, payments-in-kind, incentive compensation, bonus payments, allowances, and deferred compensation.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means the Board of Directors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11" w:name="page212"/>
    <w:bookmarkEnd w:id="211"/>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Compensation Committee of the Board.</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means Black Hills Corporation, a South Dakota corporation with principal offices in the state of South Dakota.</w:t>
      </w:r>
    </w:p>
    <w:p>
      <w:pPr>
        <w:spacing w:after="0" w:line="245" w:lineRule="exact"/>
        <w:rPr>
          <w:sz w:val="20"/>
          <w:szCs w:val="20"/>
          <w:color w:val="auto"/>
        </w:rPr>
      </w:pPr>
    </w:p>
    <w:p>
      <w:pPr>
        <w:ind w:firstLine="852"/>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Employee </w:t>
      </w:r>
      <w:r>
        <w:rPr>
          <w:rFonts w:ascii="Times New Roman" w:cs="Times New Roman" w:eastAsia="Times New Roman" w:hAnsi="Times New Roman"/>
          <w:sz w:val="21"/>
          <w:szCs w:val="21"/>
          <w:color w:val="auto"/>
        </w:rPr>
        <w:t>means any person who is in the regular full-time employment of the Company or a Subsidiary, as determined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personnel rules and practices of the Company or a Subsidiary. The term does not include persons who are retained by the Company or a Subsidiary solely as consultants.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Incentive Award </w:t>
      </w:r>
      <w:r>
        <w:rPr>
          <w:rFonts w:ascii="Times New Roman" w:cs="Times New Roman" w:eastAsia="Times New Roman" w:hAnsi="Times New Roman"/>
          <w:sz w:val="21"/>
          <w:szCs w:val="21"/>
          <w:color w:val="auto"/>
        </w:rPr>
        <w:t>means the incentive compensation to be awarded to a Participant as determined under Article 5.</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Participants </w:t>
      </w:r>
      <w:r>
        <w:rPr>
          <w:rFonts w:ascii="Times New Roman" w:cs="Times New Roman" w:eastAsia="Times New Roman" w:hAnsi="Times New Roman"/>
          <w:sz w:val="21"/>
          <w:szCs w:val="21"/>
          <w:color w:val="auto"/>
        </w:rPr>
        <w:t>means those eligible Employees to whom an Incentive Award is granted.</w:t>
      </w:r>
    </w:p>
    <w:p>
      <w:pPr>
        <w:spacing w:after="0" w:line="245" w:lineRule="exact"/>
        <w:rPr>
          <w:sz w:val="20"/>
          <w:szCs w:val="20"/>
          <w:color w:val="auto"/>
        </w:rPr>
      </w:pPr>
    </w:p>
    <w:p>
      <w:pPr>
        <w:ind w:right="800" w:firstLine="801"/>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Performance Period </w:t>
      </w:r>
      <w:r>
        <w:rPr>
          <w:rFonts w:ascii="Times New Roman" w:cs="Times New Roman" w:eastAsia="Times New Roman" w:hAnsi="Times New Roman"/>
          <w:sz w:val="21"/>
          <w:szCs w:val="21"/>
          <w:color w:val="auto"/>
        </w:rPr>
        <w:t>means the period of time selected by the Committee over which the attainment of one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goals will be measured.</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 xml:space="preserve">Plan </w:t>
      </w:r>
      <w:r>
        <w:rPr>
          <w:rFonts w:ascii="Times New Roman" w:cs="Times New Roman" w:eastAsia="Times New Roman" w:hAnsi="Times New Roman"/>
          <w:sz w:val="21"/>
          <w:szCs w:val="21"/>
          <w:color w:val="auto"/>
        </w:rPr>
        <w:t>means the 2015 Amended and Restated Omnibus Incentive Plan.</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Plan Year </w:t>
      </w:r>
      <w:r>
        <w:rPr>
          <w:rFonts w:ascii="Times New Roman" w:cs="Times New Roman" w:eastAsia="Times New Roman" w:hAnsi="Times New Roman"/>
          <w:sz w:val="21"/>
          <w:szCs w:val="21"/>
          <w:color w:val="auto"/>
        </w:rPr>
        <w:t>means the 12 months beginning on January 1 and ending on the following December 31.</w:t>
      </w:r>
    </w:p>
    <w:p>
      <w:pPr>
        <w:spacing w:after="0" w:line="245" w:lineRule="exact"/>
        <w:rPr>
          <w:sz w:val="20"/>
          <w:szCs w:val="20"/>
          <w:color w:val="auto"/>
        </w:rPr>
      </w:pPr>
    </w:p>
    <w:p>
      <w:pPr>
        <w:ind w:right="18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Retirement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Retires </w:t>
      </w:r>
      <w:r>
        <w:rPr>
          <w:rFonts w:ascii="Times New Roman" w:cs="Times New Roman" w:eastAsia="Times New Roman" w:hAnsi="Times New Roman"/>
          <w:sz w:val="21"/>
          <w:szCs w:val="21"/>
          <w:color w:val="auto"/>
        </w:rPr>
        <w:t>means a Separation from Service by a Participant on or after (i) attaining the age of 55 with at least 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years of service, or (ii) attaining the age of 65.</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Separation of Service </w:t>
      </w:r>
      <w:r>
        <w:rPr>
          <w:rFonts w:ascii="Times New Roman" w:cs="Times New Roman" w:eastAsia="Times New Roman" w:hAnsi="Times New Roman"/>
          <w:sz w:val="21"/>
          <w:szCs w:val="21"/>
          <w:color w:val="auto"/>
        </w:rPr>
        <w:t>(as defined in Treasury Regulation Section 1.409A-1(h)) during the Performance Period other than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due to Retirement, disability or death, or (ii) following a change in control shall require forfeiture of this entire award, with no payment to the Participant.</w:t>
      </w:r>
    </w:p>
    <w:p>
      <w:pPr>
        <w:spacing w:after="0" w:line="199" w:lineRule="exact"/>
        <w:rPr>
          <w:sz w:val="20"/>
          <w:szCs w:val="20"/>
          <w:color w:val="auto"/>
        </w:rPr>
      </w:pPr>
    </w:p>
    <w:p>
      <w:pPr>
        <w:ind w:right="460" w:firstLine="801"/>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Subsidiary </w:t>
      </w:r>
      <w:r>
        <w:rPr>
          <w:rFonts w:ascii="Times New Roman" w:cs="Times New Roman" w:eastAsia="Times New Roman" w:hAnsi="Times New Roman"/>
          <w:sz w:val="21"/>
          <w:szCs w:val="21"/>
          <w:color w:val="auto"/>
        </w:rPr>
        <w:t>shall mean any business organization in which Company, directly or indirectly, owns a majority of its 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voting equity securities or equity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3. Eligibility and Participants</w:t>
      </w:r>
    </w:p>
    <w:p>
      <w:pPr>
        <w:spacing w:after="0" w:line="2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Employees eligible to participate under this Agreement will be designated by the Committee.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Administration of the Plan</w:t>
      </w:r>
    </w:p>
    <w:p>
      <w:pPr>
        <w:spacing w:after="0" w:line="247"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1"/>
          <w:szCs w:val="21"/>
          <w:b w:val="1"/>
          <w:bCs w:val="1"/>
          <w:color w:val="auto"/>
        </w:rPr>
        <w:t>Article 5. Target Incentive Award and Performance Measures</w:t>
      </w:r>
    </w:p>
    <w:p>
      <w:pPr>
        <w:spacing w:after="0" w:line="247" w:lineRule="exact"/>
        <w:rPr>
          <w:sz w:val="20"/>
          <w:szCs w:val="20"/>
          <w:color w:val="auto"/>
        </w:rPr>
      </w:pPr>
    </w:p>
    <w:p>
      <w:pPr>
        <w:ind w:right="200" w:firstLine="749"/>
        <w:spacing w:after="0" w:line="248" w:lineRule="auto"/>
        <w:rPr>
          <w:sz w:val="20"/>
          <w:szCs w:val="20"/>
          <w:color w:val="auto"/>
        </w:rPr>
      </w:pPr>
      <w:r>
        <w:rPr>
          <w:rFonts w:ascii="Times New Roman" w:cs="Times New Roman" w:eastAsia="Times New Roman" w:hAnsi="Times New Roman"/>
          <w:sz w:val="21"/>
          <w:szCs w:val="21"/>
          <w:color w:val="auto"/>
        </w:rPr>
        <w:t>Participant was assigned a target Incentive Award determined as a percent of a Participant's Eligible Earnings. Participant shall have the opportunity to earn various percentages of the target Incentive Award. The percentage of the target Incentive Award to be earned by the Participant shall be determined by the application of objective performance measurements determined by the Committee, such as earnings per share. The application of the Participant's target Incentive Award to actual performance results creates the actual award for each Participant ("Incentive Award").</w:t>
      </w:r>
    </w:p>
    <w:p>
      <w:pPr>
        <w:spacing w:after="0" w:line="210" w:lineRule="exact"/>
        <w:rPr>
          <w:sz w:val="20"/>
          <w:szCs w:val="20"/>
          <w:color w:val="auto"/>
        </w:rPr>
      </w:pPr>
    </w:p>
    <w:p>
      <w:pPr>
        <w:ind w:right="200" w:firstLine="414"/>
        <w:spacing w:after="0" w:line="255" w:lineRule="auto"/>
        <w:rPr>
          <w:sz w:val="20"/>
          <w:szCs w:val="20"/>
          <w:color w:val="auto"/>
        </w:rPr>
      </w:pPr>
      <w:r>
        <w:rPr>
          <w:rFonts w:ascii="Times New Roman" w:cs="Times New Roman" w:eastAsia="Times New Roman" w:hAnsi="Times New Roman"/>
          <w:sz w:val="21"/>
          <w:szCs w:val="21"/>
          <w:color w:val="auto"/>
        </w:rPr>
        <w:t>If Participant is promoted, transferred or demoted during the Plan Year, determination of the target Incentive Award and performance measures are based on the target Incentive Award and performance measures in place for the Employee as of September 30 or their termination date for eligible Participants as described in Article 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Termination Provisions</w:t>
      </w:r>
    </w:p>
    <w:p>
      <w:pPr>
        <w:spacing w:after="0" w:line="24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21"/>
          <w:szCs w:val="21"/>
          <w:color w:val="auto"/>
        </w:rPr>
        <w:t>Except as provided below in this Article 6 and in Article 7, a Participant shall be eligible for payment of the Incentive Award, as determined in Article 5, only if the Participant’s employment with the Company or a Subsidiary continues through the date of payment.</w:t>
      </w:r>
    </w:p>
    <w:p>
      <w:pPr>
        <w:spacing w:after="0" w:line="20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1"/>
          <w:szCs w:val="21"/>
          <w:color w:val="auto"/>
        </w:rPr>
        <w:t>If Participant Retires, suffers a disability, or dies during the Performance Period, the Participant (or the Participant’s estate) shall be entitled to that proportion of the Incentive Award as such Participant is entitled to under Article 5 for such Performance Period. The form and timing of the payment of such Performance Shares shall be as set forth in Article 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Change in Control</w:t>
      </w:r>
    </w:p>
    <w:p>
      <w:pPr>
        <w:spacing w:after="0" w:line="247" w:lineRule="exact"/>
        <w:rPr>
          <w:sz w:val="20"/>
          <w:szCs w:val="20"/>
          <w:color w:val="auto"/>
        </w:rPr>
      </w:pPr>
    </w:p>
    <w:p>
      <w:pPr>
        <w:jc w:val="both"/>
        <w:ind w:right="180" w:firstLine="749"/>
        <w:spacing w:after="0" w:line="255"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of a Change in Control, the Participant shall be entitled to that proportionate target Incentive Award as such Participant is entitled to under Article 5 for such Performance Period (as of the effective date of the Change in Control).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Forfeiture and Repayment.</w:t>
      </w:r>
    </w:p>
    <w:p>
      <w:pPr>
        <w:spacing w:after="0" w:line="247" w:lineRule="exact"/>
        <w:rPr>
          <w:sz w:val="20"/>
          <w:szCs w:val="20"/>
          <w:color w:val="auto"/>
        </w:rPr>
      </w:pPr>
    </w:p>
    <w:p>
      <w:pPr>
        <w:ind w:left="1500" w:hanging="743"/>
        <w:spacing w:after="0" w:line="270" w:lineRule="auto"/>
        <w:tabs>
          <w:tab w:leader="none" w:pos="150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Participant incurs a separation from service for a reason other than those described in Article 6 herein during the Performance Period this entire award will be forfeited.</w:t>
      </w:r>
    </w:p>
    <w:p>
      <w:pPr>
        <w:spacing w:after="0" w:line="158" w:lineRule="exact"/>
        <w:rPr>
          <w:rFonts w:ascii="Times New Roman" w:cs="Times New Roman" w:eastAsia="Times New Roman" w:hAnsi="Times New Roman"/>
          <w:sz w:val="21"/>
          <w:szCs w:val="21"/>
          <w:color w:val="auto"/>
        </w:rPr>
      </w:pPr>
    </w:p>
    <w:p>
      <w:pPr>
        <w:jc w:val="both"/>
        <w:ind w:left="1500" w:right="620" w:hanging="743"/>
        <w:spacing w:after="0" w:line="274" w:lineRule="auto"/>
        <w:tabs>
          <w:tab w:leader="none" w:pos="15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Article 8(a), the Committee reserves the right to cancel the Incentive Award awarded hereunder, whether or not earned, and require the Participant to repay all income or gains previously realized in respect of such Incentive Award, in the event of the occurrence of any of the following events:</w:t>
      </w:r>
    </w:p>
    <w:p>
      <w:pPr>
        <w:spacing w:after="0" w:line="157"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2260" w:right="140" w:hanging="755"/>
        <w:spacing w:after="0" w:line="249" w:lineRule="auto"/>
        <w:tabs>
          <w:tab w:leader="none" w:pos="2260"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3" w:name="page214"/>
    <w:bookmarkEnd w:id="213"/>
    <w:p>
      <w:pPr>
        <w:ind w:left="1503" w:right="300" w:hanging="755"/>
        <w:spacing w:after="0" w:line="258" w:lineRule="auto"/>
        <w:tabs>
          <w:tab w:leader="none" w:pos="150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2243" w:right="20" w:hanging="746"/>
        <w:spacing w:after="0" w:line="274" w:lineRule="auto"/>
        <w:tabs>
          <w:tab w:leader="none" w:pos="190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2243" w:right="20" w:hanging="746"/>
        <w:spacing w:after="0" w:line="247" w:lineRule="auto"/>
        <w:tabs>
          <w:tab w:leader="none" w:pos="1908"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as amended, supplemented or replaced from time to time); or</w:t>
      </w:r>
    </w:p>
    <w:p>
      <w:pPr>
        <w:spacing w:after="0" w:line="183" w:lineRule="exact"/>
        <w:rPr>
          <w:sz w:val="20"/>
          <w:szCs w:val="20"/>
          <w:color w:val="auto"/>
        </w:rPr>
      </w:pPr>
    </w:p>
    <w:p>
      <w:pPr>
        <w:ind w:left="1503" w:right="420" w:hanging="755"/>
        <w:spacing w:after="0" w:line="249" w:lineRule="auto"/>
        <w:tabs>
          <w:tab w:leader="none" w:pos="1503"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1" w:lineRule="exact"/>
        <w:rPr>
          <w:rFonts w:ascii="Times New Roman" w:cs="Times New Roman" w:eastAsia="Times New Roman" w:hAnsi="Times New Roman"/>
          <w:sz w:val="22"/>
          <w:szCs w:val="22"/>
          <w:color w:val="auto"/>
        </w:rPr>
      </w:pPr>
    </w:p>
    <w:p>
      <w:pPr>
        <w:ind w:left="743" w:hanging="743"/>
        <w:spacing w:after="0" w:line="255" w:lineRule="auto"/>
        <w:tabs>
          <w:tab w:leader="none" w:pos="743"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Article 8(b), in addition to any other remedies the Company has available to it, the Committee may in its sole discretion:</w:t>
      </w:r>
    </w:p>
    <w:p>
      <w:pPr>
        <w:spacing w:after="0" w:line="175" w:lineRule="exact"/>
        <w:rPr>
          <w:rFonts w:ascii="Times New Roman" w:cs="Times New Roman" w:eastAsia="Times New Roman" w:hAnsi="Times New Roman"/>
          <w:sz w:val="21"/>
          <w:szCs w:val="21"/>
          <w:color w:val="auto"/>
        </w:rPr>
      </w:pPr>
    </w:p>
    <w:p>
      <w:pPr>
        <w:ind w:left="1503" w:hanging="755"/>
        <w:spacing w:after="0"/>
        <w:tabs>
          <w:tab w:leader="none" w:pos="1503"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Incentive Award, whether or not issued; and/or</w:t>
      </w:r>
    </w:p>
    <w:p>
      <w:pPr>
        <w:spacing w:after="0" w:line="206" w:lineRule="exact"/>
        <w:rPr>
          <w:rFonts w:ascii="Times New Roman" w:cs="Times New Roman" w:eastAsia="Times New Roman" w:hAnsi="Times New Roman"/>
          <w:sz w:val="22"/>
          <w:szCs w:val="22"/>
          <w:color w:val="auto"/>
        </w:rPr>
      </w:pPr>
    </w:p>
    <w:p>
      <w:pPr>
        <w:ind w:left="1503" w:right="660" w:hanging="755"/>
        <w:spacing w:after="0" w:line="258" w:lineRule="auto"/>
        <w:tabs>
          <w:tab w:leader="none" w:pos="1503"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such Incentive Award.</w:t>
      </w:r>
    </w:p>
    <w:p>
      <w:pPr>
        <w:spacing w:after="0" w:line="170"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1"/>
          <w:szCs w:val="21"/>
          <w:color w:val="auto"/>
        </w:rPr>
        <w:t>There shall be no forfeiture or repayment under Article 8(b) following a Change in Control.</w:t>
      </w:r>
    </w:p>
    <w:p>
      <w:pPr>
        <w:spacing w:after="0" w:line="218" w:lineRule="exact"/>
        <w:rPr>
          <w:sz w:val="20"/>
          <w:szCs w:val="20"/>
          <w:color w:val="auto"/>
        </w:rPr>
      </w:pPr>
    </w:p>
    <w:p>
      <w:pPr>
        <w:ind w:left="743" w:right="100" w:hanging="743"/>
        <w:spacing w:after="0" w:line="247" w:lineRule="auto"/>
        <w:tabs>
          <w:tab w:leader="none" w:pos="74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Article 8(b) and whether and to what extent the Incentive Award shall be forfeited by Participant and/or a Participant shall be required to repay an amount pursuant to Article 8(c). The Committee shall have the authority to suspend the payment, delivery or settlement of all or any portion of such Participant’s outstanding Incentive Award pending an investigation of a bona fide dispute regarding Participant’s eligibility to receive a payment under the terms of this Agreement as determined by the Committee in good faith.</w:t>
      </w:r>
    </w:p>
    <w:p>
      <w:pPr>
        <w:spacing w:after="0" w:line="182" w:lineRule="exact"/>
        <w:rPr>
          <w:rFonts w:ascii="Times New Roman" w:cs="Times New Roman" w:eastAsia="Times New Roman" w:hAnsi="Times New Roman"/>
          <w:sz w:val="21"/>
          <w:szCs w:val="21"/>
          <w:color w:val="auto"/>
        </w:rPr>
      </w:pPr>
    </w:p>
    <w:p>
      <w:pPr>
        <w:ind w:left="743" w:right="180" w:hanging="743"/>
        <w:spacing w:after="0" w:line="255" w:lineRule="auto"/>
        <w:tabs>
          <w:tab w:leader="none" w:pos="743"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Article 8 are entered into in consideration of, and as a material inducement to, the agreements herein as well as an inducement for the Company to enter into this Agreement, and that, but for</w:t>
      </w:r>
    </w:p>
    <w:p>
      <w:pPr>
        <w:spacing w:after="0" w:line="17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227330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1077" w:top="336" w:right="439" w:bottom="1440" w:gutter="0" w:footer="0" w:header="0"/>
        </w:sectPr>
      </w:pPr>
    </w:p>
    <w:bookmarkStart w:id="214" w:name="page215"/>
    <w:bookmarkEnd w:id="214"/>
    <w:p>
      <w:pPr>
        <w:ind w:right="40" w:firstLine="1498"/>
        <w:spacing w:after="0" w:line="465" w:lineRule="auto"/>
        <w:rPr>
          <w:sz w:val="20"/>
          <w:szCs w:val="20"/>
          <w:color w:val="auto"/>
        </w:rPr>
      </w:pPr>
      <w:r>
        <w:rPr>
          <w:rFonts w:ascii="Times New Roman" w:cs="Times New Roman" w:eastAsia="Times New Roman" w:hAnsi="Times New Roman"/>
          <w:sz w:val="21"/>
          <w:szCs w:val="21"/>
          <w:color w:val="auto"/>
        </w:rPr>
        <w:t xml:space="preserve">Participant’s agreement to the provisions of this Article 8, the Company would not have entered into this Agreement. The Incentive Award is also subject to the provisions on forfeiture events and clawbacks set forth in Article 21 of the Plan. </w:t>
      </w:r>
      <w:r>
        <w:rPr>
          <w:rFonts w:ascii="Times New Roman" w:cs="Times New Roman" w:eastAsia="Times New Roman" w:hAnsi="Times New Roman"/>
          <w:sz w:val="21"/>
          <w:szCs w:val="21"/>
          <w:b w:val="1"/>
          <w:bCs w:val="1"/>
          <w:color w:val="auto"/>
        </w:rPr>
        <w:t>Article 9. Payment of Incentive Award</w:t>
      </w:r>
    </w:p>
    <w:p>
      <w:pPr>
        <w:ind w:left="420"/>
        <w:spacing w:after="0"/>
        <w:rPr>
          <w:sz w:val="20"/>
          <w:szCs w:val="20"/>
          <w:color w:val="auto"/>
        </w:rPr>
      </w:pPr>
      <w:r>
        <w:rPr>
          <w:rFonts w:ascii="Times New Roman" w:cs="Times New Roman" w:eastAsia="Times New Roman" w:hAnsi="Times New Roman"/>
          <w:sz w:val="21"/>
          <w:szCs w:val="21"/>
          <w:color w:val="auto"/>
        </w:rPr>
        <w:t>The Incentive Award shall be paid to the Participant in the form of cash after required tax withholding.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Assignability</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 right to receive payments under this Agreement shall be subject to voluntary or involuntary alienation, assignment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Right to Incentive Award</w:t>
      </w:r>
    </w:p>
    <w:p>
      <w:pPr>
        <w:spacing w:after="0" w:line="247"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1"/>
          <w:szCs w:val="21"/>
          <w:color w:val="auto"/>
        </w:rPr>
        <w:t>The Committee determines the amount of the Incentive Award, which determination is to be made in January of each Plan Year based on the application of the target incentives and performance measures to the preceding year and no Participant shall be considered to have earned any portion of any Incentive Award until determination by the Committee. Notwithstanding anything contained herein, no Participant shall have any right to receive any Incentive Award unless he/she is an Employee of the Company on the date the Incentive Award is issued, which shall be no later than March 15 of each Plan Year. In the event of a Change in Control, a Participant's Incentive Award shall be determined as of the date of the Change in Control and shall be paid 30 days after the day of the Change in Control.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12. Miscellaneous</w:t>
      </w:r>
    </w:p>
    <w:p>
      <w:pPr>
        <w:spacing w:after="0" w:line="247" w:lineRule="exact"/>
        <w:rPr>
          <w:sz w:val="20"/>
          <w:szCs w:val="20"/>
          <w:color w:val="auto"/>
        </w:rPr>
      </w:pPr>
    </w:p>
    <w:p>
      <w:pPr>
        <w:ind w:left="1320" w:right="80" w:hanging="563"/>
        <w:spacing w:after="0" w:line="248" w:lineRule="auto"/>
        <w:tabs>
          <w:tab w:leader="none" w:pos="1172"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10" w:lineRule="exact"/>
        <w:rPr>
          <w:rFonts w:ascii="Times New Roman" w:cs="Times New Roman" w:eastAsia="Times New Roman" w:hAnsi="Times New Roman"/>
          <w:sz w:val="21"/>
          <w:szCs w:val="21"/>
          <w:color w:val="auto"/>
        </w:rPr>
      </w:pPr>
    </w:p>
    <w:p>
      <w:pPr>
        <w:ind w:left="1320" w:right="120" w:hanging="563"/>
        <w:spacing w:after="0" w:line="255" w:lineRule="auto"/>
        <w:tabs>
          <w:tab w:leader="none" w:pos="158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202" w:lineRule="exact"/>
        <w:rPr>
          <w:rFonts w:ascii="Times New Roman" w:cs="Times New Roman" w:eastAsia="Times New Roman" w:hAnsi="Times New Roman"/>
          <w:sz w:val="21"/>
          <w:szCs w:val="21"/>
          <w:color w:val="auto"/>
        </w:rPr>
      </w:pPr>
    </w:p>
    <w:p>
      <w:pPr>
        <w:ind w:left="1320" w:hanging="563"/>
        <w:spacing w:after="0" w:line="270" w:lineRule="auto"/>
        <w:tabs>
          <w:tab w:leader="none" w:pos="1172"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580" w:hanging="823"/>
        <w:spacing w:after="0"/>
        <w:tabs>
          <w:tab w:leader="none" w:pos="15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preempted by federal law, this Agreement shall be governed by, and construed in accordance with,</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the laws of the State of South Dakota.</w:t>
      </w: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15" w:name="page216"/>
    <w:bookmarkEnd w:id="215"/>
    <w:p>
      <w:pPr>
        <w:ind w:left="1320" w:right="500" w:hanging="563"/>
        <w:spacing w:after="0" w:line="270" w:lineRule="auto"/>
        <w:tabs>
          <w:tab w:leader="none" w:pos="117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320" w:hanging="563"/>
        <w:spacing w:after="0" w:line="255" w:lineRule="auto"/>
        <w:tabs>
          <w:tab w:leader="none" w:pos="1172"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No Tax Qualified or ERISA Plan</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is not intended to be a tax qualified Plan nor a Plan for the purposes of ERISA.</w:t>
      </w:r>
    </w:p>
    <w:p>
      <w:pPr>
        <w:sectPr>
          <w:pgSz w:w="11900" w:h="16838" w:orient="portrait"/>
          <w:cols w:equalWidth="0" w:num="1">
            <w:col w:w="11160"/>
          </w:cols>
          <w:pgMar w:left="320" w:top="579" w:right="41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ectPr>
          <w:pgSz w:w="11900" w:h="16838" w:orient="portrait"/>
          <w:cols w:equalWidth="0" w:num="2">
            <w:col w:w="2600" w:space="720"/>
            <w:col w:w="7840"/>
          </w:cols>
          <w:pgMar w:left="320" w:top="579" w:right="419" w:bottom="1440" w:gutter="0" w:footer="0" w:header="0"/>
          <w:type w:val="continuous"/>
        </w:sectPr>
      </w:pPr>
    </w:p>
    <w:p>
      <w:pPr>
        <w:spacing w:after="0" w:line="56"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20"/>
          <w:szCs w:val="20"/>
          <w:color w:val="auto"/>
        </w:rPr>
        <w:t>____________________________________ Jennifer C. Landis – Senior Vice President – Chief Human Resources Officer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757" w:lineRule="exact"/>
        <w:rPr>
          <w:sz w:val="20"/>
          <w:szCs w:val="20"/>
          <w:color w:val="auto"/>
        </w:rPr>
      </w:pPr>
    </w:p>
    <w:p>
      <w:pPr>
        <w:sectPr>
          <w:pgSz w:w="11900" w:h="16838" w:orient="portrait"/>
          <w:cols w:equalWidth="0" w:num="2">
            <w:col w:w="3840" w:space="720"/>
            <w:col w:w="6600"/>
          </w:cols>
          <w:pgMar w:left="320" w:top="57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9" w:right="41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10.29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Long-Term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Performance Unit 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 xml:space="preserve">Performance Period </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9"/>
          <w:szCs w:val="29"/>
          <w:color w:val="auto"/>
        </w:rPr>
        <w:t xml:space="preserve"> January 1, 2023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666051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9">
                      <a:extLst>
                        <a:ext uri="{28A0092B-C50C-407E-A947-70E740481C1C}"/>
                      </a:extLst>
                    </a:blip>
                    <a:srcRect/>
                    <a:stretch>
                      <a:fillRect/>
                    </a:stretch>
                  </pic:blipFill>
                  <pic:spPr bwMode="auto">
                    <a:xfrm>
                      <a:off x="0" y="0"/>
                      <a:ext cx="6660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Long-Term Incentive Plan (the “LTIP”). This LTIP award is granted under the performance units and performance shares provisions of the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ectPr>
          <w:pgSz w:w="11900" w:h="16838" w:orient="portrait"/>
          <w:cols w:equalWidth="0" w:num="1">
            <w:col w:w="11240"/>
          </w:cols>
          <w:pgMar w:left="320" w:top="342" w:right="3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w:t>
      </w:r>
    </w:p>
    <w:p>
      <w:pPr>
        <w:spacing w:after="0" w:line="200" w:lineRule="exact"/>
        <w:rPr>
          <w:sz w:val="20"/>
          <w:szCs w:val="20"/>
          <w:color w:val="auto"/>
        </w:rPr>
      </w:pPr>
    </w:p>
    <w:p>
      <w:pPr>
        <w:sectPr>
          <w:pgSz w:w="11900" w:h="16838" w:orient="portrait"/>
          <w:cols w:equalWidth="0" w:num="2">
            <w:col w:w="1780" w:space="720"/>
            <w:col w:w="8740"/>
          </w:cols>
          <w:pgMar w:left="320" w:top="342"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Target Number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Units: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24" w:lineRule="exact"/>
        <w:rPr>
          <w:sz w:val="20"/>
          <w:szCs w:val="20"/>
          <w:color w:val="auto"/>
        </w:rPr>
      </w:pPr>
    </w:p>
    <w:p>
      <w:pPr>
        <w:sectPr>
          <w:pgSz w:w="11900" w:h="16838" w:orient="portrait"/>
          <w:cols w:equalWidth="0" w:num="2">
            <w:col w:w="2180" w:space="720"/>
            <w:col w:w="8340"/>
          </w:cols>
          <w:pgMar w:left="320" w:top="342"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 2023 to December 31, 2025</w:t>
      </w:r>
    </w:p>
    <w:p>
      <w:pPr>
        <w:spacing w:after="0" w:line="200" w:lineRule="exact"/>
        <w:rPr>
          <w:sz w:val="20"/>
          <w:szCs w:val="20"/>
          <w:color w:val="auto"/>
        </w:rPr>
      </w:pPr>
    </w:p>
    <w:p>
      <w:pPr>
        <w:sectPr>
          <w:pgSz w:w="11900" w:h="16838" w:orient="portrait"/>
          <w:cols w:equalWidth="0" w:num="2">
            <w:col w:w="1860" w:space="640"/>
            <w:col w:w="8740"/>
          </w:cols>
          <w:pgMar w:left="320" w:top="342"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Measures: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Appendix A</w:t>
      </w:r>
    </w:p>
    <w:p>
      <w:pPr>
        <w:spacing w:after="0" w:line="200" w:lineRule="exact"/>
        <w:rPr>
          <w:sz w:val="20"/>
          <w:szCs w:val="20"/>
          <w:color w:val="auto"/>
        </w:rPr>
      </w:pPr>
    </w:p>
    <w:p>
      <w:pPr>
        <w:sectPr>
          <w:pgSz w:w="11900" w:h="16838" w:orient="portrait"/>
          <w:cols w:equalWidth="0" w:num="2">
            <w:col w:w="2180" w:space="720"/>
            <w:col w:w="8340"/>
          </w:cols>
          <w:pgMar w:left="320" w:top="342"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Performance Period</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Performance Period commences on January 1, 2023 and ends on December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Award of Performance Units</w:t>
      </w:r>
    </w:p>
    <w:p>
      <w:pPr>
        <w:spacing w:after="0" w:line="247"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20"/>
          <w:szCs w:val="20"/>
          <w:color w:val="auto"/>
        </w:rPr>
        <w:t xml:space="preserve">Subject to the terms and conditions of this Agreement, the Company grants to the Participant a Performance Unit Award consisting of the Target Number of Performance Units set forth above, with the actual number of Performance Units earned depending on the degree to which the Company satisfies the Performance Goals specified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during the Performance Period. Each Performance Unit that vests in accordance with Article 3 represents the right to receive one Share. The Performance Units granted under this Agreement (the “Units”) will be credited to an account in the Participant’s name maintained by the Company. This account shall be unfunded and maintained for bookkeeping purposes only, with each Unit representing an unfunded and unsecured promise by the Company to issue to the Participant one Share in settlement of a vested Unit.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21"/>
          <w:szCs w:val="21"/>
          <w:b w:val="1"/>
          <w:bCs w:val="1"/>
          <w:color w:val="auto"/>
        </w:rPr>
        <w:t>Article 3. Scheduled Vesting of Performance Units</w:t>
      </w:r>
    </w:p>
    <w:p>
      <w:pPr>
        <w:spacing w:after="0" w:line="247" w:lineRule="exact"/>
        <w:rPr>
          <w:sz w:val="20"/>
          <w:szCs w:val="20"/>
          <w:color w:val="auto"/>
        </w:rPr>
      </w:pPr>
    </w:p>
    <w:p>
      <w:pPr>
        <w:ind w:right="60" w:firstLine="414"/>
        <w:spacing w:after="0" w:line="246" w:lineRule="auto"/>
        <w:rPr>
          <w:sz w:val="20"/>
          <w:szCs w:val="20"/>
          <w:color w:val="auto"/>
        </w:rPr>
      </w:pPr>
      <w:r>
        <w:rPr>
          <w:rFonts w:ascii="Times New Roman" w:cs="Times New Roman" w:eastAsia="Times New Roman" w:hAnsi="Times New Roman"/>
          <w:sz w:val="21"/>
          <w:szCs w:val="21"/>
          <w:color w:val="auto"/>
        </w:rPr>
        <w:t>For purposes of this Agreement, “Vesting Date” means any date, including the Scheduled Vesting Date (defined below), on which Units vest as provided in this Article 3 or in Article 4 or 5. For these purposes, the “Scheduled Vesting Date” means the date the Committee certifies the degree to which the applicable Performance Goals for the Performance Period have been satisfied, provided that such certification shall occur no later than February 1 of the calendar year immediately following the calendar year during which the Performance Period ended. The Units will vest on the Scheduled Vesting Date (i) if the Participant has not experienced a Separation from Service on or before the Scheduled Vesting Date, and (ii) only to the extent that the Units have been earned as provided below.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Termination Provisions</w:t>
      </w:r>
    </w:p>
    <w:p>
      <w:pPr>
        <w:spacing w:after="0" w:line="247" w:lineRule="exact"/>
        <w:rPr>
          <w:sz w:val="20"/>
          <w:szCs w:val="20"/>
          <w:color w:val="auto"/>
        </w:rPr>
      </w:pPr>
    </w:p>
    <w:p>
      <w:pPr>
        <w:ind w:right="180" w:firstLine="749"/>
        <w:spacing w:after="0" w:line="251" w:lineRule="auto"/>
        <w:rPr>
          <w:sz w:val="20"/>
          <w:szCs w:val="20"/>
          <w:color w:val="auto"/>
        </w:rPr>
      </w:pPr>
      <w:r>
        <w:rPr>
          <w:rFonts w:ascii="Times New Roman" w:cs="Times New Roman" w:eastAsia="Times New Roman" w:hAnsi="Times New Roman"/>
          <w:sz w:val="21"/>
          <w:szCs w:val="21"/>
          <w:color w:val="auto"/>
        </w:rPr>
        <w:t>If the Participant Retires, has a Separation of Service due to Disability, or dies during the Performance Period, then a portion of the Units subject to this Award will vest as of the Scheduled Vesting Date. That portion shall be equal to the number of Units as such Participant is entitled to under Article 3 for such Performance Period multiplied by a fraction, the numerator of which is the number of full months of participation during the Performance Period and the denominator is 36.</w:t>
      </w:r>
    </w:p>
    <w:p>
      <w:pPr>
        <w:spacing w:after="0" w:line="205" w:lineRule="exact"/>
        <w:rPr>
          <w:sz w:val="20"/>
          <w:szCs w:val="20"/>
          <w:color w:val="auto"/>
        </w:rPr>
      </w:pPr>
    </w:p>
    <w:p>
      <w:pPr>
        <w:ind w:right="80" w:firstLine="749"/>
        <w:spacing w:after="0" w:line="270" w:lineRule="auto"/>
        <w:rPr>
          <w:sz w:val="20"/>
          <w:szCs w:val="20"/>
          <w:color w:val="auto"/>
        </w:rPr>
      </w:pPr>
      <w:r>
        <w:rPr>
          <w:rFonts w:ascii="Times New Roman" w:cs="Times New Roman" w:eastAsia="Times New Roman" w:hAnsi="Times New Roman"/>
          <w:sz w:val="21"/>
          <w:szCs w:val="21"/>
          <w:color w:val="auto"/>
        </w:rPr>
        <w:t>“Retirement” or “Retires” means a Separation from Service by a Participant on or after (i) attaining the age of 55 with at least 5 years of service, or (ii) attaining the age of 65.</w:t>
      </w:r>
    </w:p>
    <w:p>
      <w:pPr>
        <w:spacing w:after="0" w:line="186" w:lineRule="exact"/>
        <w:rPr>
          <w:sz w:val="20"/>
          <w:szCs w:val="20"/>
          <w:color w:val="auto"/>
        </w:rPr>
      </w:pPr>
    </w:p>
    <w:p>
      <w:pPr>
        <w:ind w:right="80" w:firstLine="749"/>
        <w:spacing w:after="0" w:line="270" w:lineRule="auto"/>
        <w:rPr>
          <w:sz w:val="20"/>
          <w:szCs w:val="20"/>
          <w:color w:val="auto"/>
        </w:rPr>
      </w:pPr>
      <w:r>
        <w:rPr>
          <w:rFonts w:ascii="Times New Roman" w:cs="Times New Roman" w:eastAsia="Times New Roman" w:hAnsi="Times New Roman"/>
          <w:sz w:val="21"/>
          <w:szCs w:val="21"/>
          <w:color w:val="auto"/>
        </w:rPr>
        <w:t>Separation from Service during the Performance Period other than (i) due to Retirement, Disability, or death, or (ii) following a Change in Control shall require forfeiture of this entire award, with no payment to the Participant.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5. Change in Control</w:t>
      </w:r>
    </w:p>
    <w:p>
      <w:pPr>
        <w:spacing w:after="0" w:line="2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provisions of Article 17 of the Plan shall govern in the event of a Change in Control.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Earned Units</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The number of Units that the Participant will be deemed to have earned (the “Earned Units”) and that are eligible for vesting as of the Scheduled Vesting Date will be determined by the extent to which the Company has satisfied the Performance Goals for the Performance Period as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The portion of the Units subject to this Award that will be deemed Earned Units as of the Scheduled Vesting Date will be determined in accordance with the formula specified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and in no event will the number of Units that are deemed Earned Units exceed 200% of the Target Number of Performance Units. Any Units subject to this Agreement that are not earned and do not vest as of the Scheduled Vesting Date will be forfeited.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Settlement of Units</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After any Units vest pursuant to Article 3, 4 or 5, the Company will promptly, but in no event later than the next dividend payment date, cause to be issued and delivered to the Participant (or to the Participant’s estate in the event of the Participant’s death) one Share in payment and settlement of each vested Unit. Delivery of the Shares shall be effected by the delivery of a stock certificate evidencing the Shares, by an appropriate entry in the stock register maintained by the Company’s transfer agent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jc w:val="both"/>
        <w:spacing w:after="0" w:line="246" w:lineRule="auto"/>
        <w:rPr>
          <w:sz w:val="20"/>
          <w:szCs w:val="20"/>
          <w:color w:val="auto"/>
        </w:rPr>
      </w:pPr>
      <w:r>
        <w:rPr>
          <w:rFonts w:ascii="Times New Roman" w:cs="Times New Roman" w:eastAsia="Times New Roman" w:hAnsi="Times New Roman"/>
          <w:sz w:val="21"/>
          <w:szCs w:val="21"/>
          <w:color w:val="auto"/>
        </w:rPr>
        <w:t>with a notice of issuance provided to the Participant, or by the electronic delivery of the Shares to a brokerage account designated by the Participant, and shall be subject to the tax withholding provisions of Article 10 and compliance with all applicable legal requirements, including compliance with the requirements of applicable federal and state securities laws, and shall be in complete satisfaction and settlement of such vested Units. Upon settlement of the Units, the Participant will obtain, with respect to the Shares received in such settlement, full voting and other rights as a shareholder of the Company. If the Committee determines, in its sole discretion, that a Participant at any time has willfully engaged in any activity that the Committee determines was or is harmful to the Company, any unpaid or unsettled Unit will be forfeited by such Participant.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Forfeiture and Repayment.</w:t>
      </w:r>
    </w:p>
    <w:p>
      <w:pPr>
        <w:spacing w:after="0" w:line="247" w:lineRule="exact"/>
        <w:rPr>
          <w:sz w:val="20"/>
          <w:szCs w:val="20"/>
          <w:color w:val="auto"/>
        </w:rPr>
      </w:pPr>
    </w:p>
    <w:p>
      <w:pPr>
        <w:ind w:left="1500" w:right="220" w:hanging="690"/>
        <w:spacing w:after="0" w:line="295" w:lineRule="auto"/>
        <w:tabs>
          <w:tab w:leader="none" w:pos="121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incurs a Separation from Service for a reason other than those described in Article 4 herein during the Performance Period this entire award will be forfeited, except as otherwise provided in the Plan.</w:t>
      </w:r>
    </w:p>
    <w:p>
      <w:pPr>
        <w:spacing w:after="0" w:line="136" w:lineRule="exact"/>
        <w:rPr>
          <w:rFonts w:ascii="Times New Roman" w:cs="Times New Roman" w:eastAsia="Times New Roman" w:hAnsi="Times New Roman"/>
          <w:sz w:val="20"/>
          <w:szCs w:val="20"/>
          <w:color w:val="auto"/>
        </w:rPr>
      </w:pPr>
    </w:p>
    <w:p>
      <w:pPr>
        <w:ind w:left="1500" w:right="80" w:hanging="690"/>
        <w:spacing w:after="0" w:line="251" w:lineRule="auto"/>
        <w:tabs>
          <w:tab w:leader="none" w:pos="1219"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Article 8(a), the Company reserves the right to cancel all Units awarded hereunder, whether or not vested, and require the Participant to forfeit any Shares issued in settlement of the Units and repay all income or gains previously realized upon sale of any such Shares in the event of the occurrence of any of the following events:</w:t>
      </w:r>
    </w:p>
    <w:p>
      <w:pPr>
        <w:spacing w:after="0" w:line="177"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2260" w:right="420" w:hanging="754"/>
        <w:spacing w:after="0" w:line="249" w:lineRule="auto"/>
        <w:tabs>
          <w:tab w:leader="none" w:pos="1943"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1" w:lineRule="exact"/>
        <w:rPr>
          <w:rFonts w:ascii="Times New Roman" w:cs="Times New Roman" w:eastAsia="Times New Roman" w:hAnsi="Times New Roman"/>
          <w:sz w:val="22"/>
          <w:szCs w:val="22"/>
          <w:color w:val="auto"/>
        </w:rPr>
      </w:pPr>
    </w:p>
    <w:p>
      <w:pPr>
        <w:ind w:left="2260" w:right="720" w:hanging="754"/>
        <w:spacing w:after="0" w:line="258" w:lineRule="auto"/>
        <w:tabs>
          <w:tab w:leader="none" w:pos="1943"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 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3000" w:right="120" w:hanging="746"/>
        <w:spacing w:after="0" w:line="274" w:lineRule="auto"/>
        <w:tabs>
          <w:tab w:leader="none" w:pos="2665" w:val="left"/>
        </w:tabs>
        <w:numPr>
          <w:ilvl w:val="2"/>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3000" w:right="120" w:hanging="746"/>
        <w:spacing w:after="0" w:line="247" w:lineRule="auto"/>
        <w:tabs>
          <w:tab w:leader="none" w:pos="2665" w:val="left"/>
        </w:tabs>
        <w:numPr>
          <w:ilvl w:val="2"/>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as amended, supplemented or replaced from time to time);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9" w:name="page220"/>
    <w:bookmarkEnd w:id="219"/>
    <w:p>
      <w:pPr>
        <w:ind w:left="2260" w:right="840" w:hanging="754"/>
        <w:spacing w:after="0" w:line="249" w:lineRule="auto"/>
        <w:tabs>
          <w:tab w:leader="none" w:pos="1943"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1" w:lineRule="exact"/>
        <w:rPr>
          <w:rFonts w:ascii="Times New Roman" w:cs="Times New Roman" w:eastAsia="Times New Roman" w:hAnsi="Times New Roman"/>
          <w:sz w:val="22"/>
          <w:szCs w:val="22"/>
          <w:color w:val="auto"/>
        </w:rPr>
      </w:pPr>
    </w:p>
    <w:p>
      <w:pPr>
        <w:ind w:left="1500" w:right="400" w:hanging="690"/>
        <w:spacing w:after="0" w:line="255" w:lineRule="auto"/>
        <w:tabs>
          <w:tab w:leader="none" w:pos="1219"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Article 8(b), in addition to any other remedies the Company has available to it, the Company may in its sole discretion:</w:t>
      </w:r>
    </w:p>
    <w:p>
      <w:pPr>
        <w:spacing w:after="0" w:line="175"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Units awarded hereby, whether or not issued;</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any Shares issued upon settlement of the Units; and/or</w:t>
      </w:r>
    </w:p>
    <w:p>
      <w:pPr>
        <w:spacing w:after="0" w:line="206" w:lineRule="exact"/>
        <w:rPr>
          <w:rFonts w:ascii="Times New Roman" w:cs="Times New Roman" w:eastAsia="Times New Roman" w:hAnsi="Times New Roman"/>
          <w:sz w:val="22"/>
          <w:szCs w:val="22"/>
          <w:color w:val="auto"/>
        </w:rPr>
      </w:pPr>
    </w:p>
    <w:p>
      <w:pPr>
        <w:ind w:left="2260" w:right="340" w:hanging="754"/>
        <w:spacing w:after="0" w:line="258" w:lineRule="auto"/>
        <w:tabs>
          <w:tab w:leader="none" w:pos="1943"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Shares issued upon settlement of the Units.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There shall be no forfeiture or repayment under Article 8(b) following a Change in Control.</w:t>
      </w:r>
    </w:p>
    <w:p>
      <w:pPr>
        <w:spacing w:after="0" w:line="218" w:lineRule="exact"/>
        <w:rPr>
          <w:sz w:val="20"/>
          <w:szCs w:val="20"/>
          <w:color w:val="auto"/>
        </w:rPr>
      </w:pPr>
    </w:p>
    <w:p>
      <w:pPr>
        <w:ind w:left="1500" w:right="160" w:hanging="690"/>
        <w:spacing w:after="0" w:line="247" w:lineRule="auto"/>
        <w:tabs>
          <w:tab w:leader="none" w:pos="121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Article 8(b) and whether and to what extent the Units awarded hereby shall be forfeited by Participant and/or a Participant shall be required to repay an amount pursuant to Article 8(c). The Committee shall have the authority to suspend the payment, delivery or settlement of all or any portion of such Participant’s outstanding Units pending an investigation of a bona fide dispute regarding Participant’s eligibility to receive a payment under the terms of this Agreement as determined by the Committee in good faith.</w:t>
      </w:r>
    </w:p>
    <w:p>
      <w:pPr>
        <w:spacing w:after="0" w:line="182" w:lineRule="exact"/>
        <w:rPr>
          <w:rFonts w:ascii="Times New Roman" w:cs="Times New Roman" w:eastAsia="Times New Roman" w:hAnsi="Times New Roman"/>
          <w:sz w:val="21"/>
          <w:szCs w:val="21"/>
          <w:color w:val="auto"/>
        </w:rPr>
      </w:pPr>
    </w:p>
    <w:p>
      <w:pPr>
        <w:ind w:left="1500" w:right="60" w:hanging="690"/>
        <w:spacing w:after="0" w:line="251" w:lineRule="auto"/>
        <w:tabs>
          <w:tab w:leader="none" w:pos="1219"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Article 8 are entered into in consideration of, and as a material inducement to, the agreements by the Company herein as well as an inducement for the Company to enter into this Agreement, and that, but for Participant’s agreement to the provisions of this Article 8, the Company would not have entered into this Agreement.</w:t>
      </w:r>
    </w:p>
    <w:p>
      <w:pPr>
        <w:spacing w:after="0" w:line="178" w:lineRule="exact"/>
        <w:rPr>
          <w:sz w:val="20"/>
          <w:szCs w:val="20"/>
          <w:color w:val="auto"/>
        </w:rPr>
      </w:pPr>
    </w:p>
    <w:p>
      <w:pPr>
        <w:ind w:right="1080"/>
        <w:spacing w:after="0" w:line="469" w:lineRule="auto"/>
        <w:rPr>
          <w:sz w:val="20"/>
          <w:szCs w:val="20"/>
          <w:color w:val="auto"/>
        </w:rPr>
      </w:pPr>
      <w:r>
        <w:rPr>
          <w:rFonts w:ascii="Times New Roman" w:cs="Times New Roman" w:eastAsia="Times New Roman" w:hAnsi="Times New Roman"/>
          <w:sz w:val="21"/>
          <w:szCs w:val="21"/>
          <w:color w:val="auto"/>
        </w:rPr>
        <w:t xml:space="preserve">The Incentive Award is also subject to the provisions on forfeiture events and clawbacks set forth in Article 21 of the Plan. </w:t>
      </w:r>
      <w:r>
        <w:rPr>
          <w:rFonts w:ascii="Times New Roman" w:cs="Times New Roman" w:eastAsia="Times New Roman" w:hAnsi="Times New Roman"/>
          <w:sz w:val="21"/>
          <w:szCs w:val="21"/>
          <w:b w:val="1"/>
          <w:bCs w:val="1"/>
          <w:color w:val="auto"/>
        </w:rPr>
        <w:t>Article 9. Dividends</w:t>
      </w:r>
    </w:p>
    <w:p>
      <w:pPr>
        <w:spacing w:after="0" w:line="1"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If, during the Performance Period, a cash dividend is declared and paid by the Company with respect to its Shares, the Participant will be credited as of the applicable dividend payment date with an additional number of Units (the “Dividend Units”) equal to (i) the total cash dividend the Participant would have received if the Target Number of Performance Units credited to the Participant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If, after the Performance Period but before the Scheduled Vesting Date, a cash dividend is declared and paid by the Company with respect to its Shares, the Participant will be</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0" w:name="page221"/>
    <w:bookmarkEnd w:id="220"/>
    <w:p>
      <w:pPr>
        <w:ind w:right="460"/>
        <w:spacing w:after="0" w:line="248" w:lineRule="auto"/>
        <w:rPr>
          <w:sz w:val="20"/>
          <w:szCs w:val="20"/>
          <w:color w:val="auto"/>
        </w:rPr>
      </w:pPr>
      <w:r>
        <w:rPr>
          <w:rFonts w:ascii="Times New Roman" w:cs="Times New Roman" w:eastAsia="Times New Roman" w:hAnsi="Times New Roman"/>
          <w:sz w:val="21"/>
          <w:szCs w:val="21"/>
          <w:color w:val="auto"/>
        </w:rPr>
        <w:t>credited as of the applicable dividend payment date a number of Dividend Units equal to (i) the total cash dividend the Participant would have received if the Earned Units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Once credited to the Participant’s account, Dividend Units will be considered Units for all purposes of this Agreement.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Tax Withholding</w:t>
      </w:r>
    </w:p>
    <w:p>
      <w:pPr>
        <w:spacing w:after="0" w:line="247"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21"/>
          <w:szCs w:val="21"/>
          <w:color w:val="auto"/>
        </w:rPr>
        <w:t>Neither the Company nor any of its Affiliates shall be liable or responsible in any way for the tax consequences relating to the award of Units, their vesting and the settlement of vested Units in Shares. The Participant agrees to determine and be responsible for any and all tax consequences to the Participant relating to the award, vesting and settlement of Units hereunder. If the Company is obligated to withhold an amount on account of any tax imposed as a result of the grant, vesting or settlement of the Units, the provisions of Section 19.2 of the Plan regarding the satisfaction of tax withholding obligations shall apply (including any required payments by the Participant).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Transferability</w:t>
      </w:r>
    </w:p>
    <w:p>
      <w:pPr>
        <w:spacing w:after="0" w:line="24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Units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12. Administration</w:t>
      </w:r>
    </w:p>
    <w:p>
      <w:pPr>
        <w:spacing w:after="0" w:line="247"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Miscellaneous</w:t>
      </w:r>
    </w:p>
    <w:p>
      <w:pPr>
        <w:spacing w:after="0" w:line="247" w:lineRule="exact"/>
        <w:rPr>
          <w:sz w:val="20"/>
          <w:szCs w:val="20"/>
          <w:color w:val="auto"/>
        </w:rPr>
      </w:pPr>
    </w:p>
    <w:p>
      <w:pPr>
        <w:ind w:left="800" w:hanging="418"/>
        <w:spacing w:after="0"/>
        <w:tabs>
          <w:tab w:leader="none" w:pos="8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w:t>
      </w:r>
    </w:p>
    <w:p>
      <w:pPr>
        <w:spacing w:after="0" w:line="25" w:lineRule="exact"/>
        <w:rPr>
          <w:rFonts w:ascii="Times New Roman" w:cs="Times New Roman" w:eastAsia="Times New Roman" w:hAnsi="Times New Roman"/>
          <w:sz w:val="21"/>
          <w:szCs w:val="21"/>
          <w:color w:val="auto"/>
        </w:rPr>
      </w:pPr>
    </w:p>
    <w:p>
      <w:pPr>
        <w:ind w:left="1140"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1" w:name="page222"/>
    <w:bookmarkEnd w:id="221"/>
    <w:p>
      <w:pPr>
        <w:ind w:left="1140" w:right="220" w:hanging="758"/>
        <w:spacing w:after="0" w:line="255"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202" w:lineRule="exact"/>
        <w:rPr>
          <w:rFonts w:ascii="Times New Roman" w:cs="Times New Roman" w:eastAsia="Times New Roman" w:hAnsi="Times New Roman"/>
          <w:sz w:val="21"/>
          <w:szCs w:val="21"/>
          <w:color w:val="auto"/>
        </w:rPr>
      </w:pPr>
    </w:p>
    <w:p>
      <w:pPr>
        <w:ind w:left="1140" w:right="420" w:hanging="758"/>
        <w:spacing w:after="0" w:line="270"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have voting rights with respect to the Units. Participant shall obtain voting rights with respect to any Shares issued upon settlement of the Units.</w:t>
      </w:r>
    </w:p>
    <w:p>
      <w:pPr>
        <w:spacing w:after="0" w:line="185" w:lineRule="exact"/>
        <w:rPr>
          <w:rFonts w:ascii="Times New Roman" w:cs="Times New Roman" w:eastAsia="Times New Roman" w:hAnsi="Times New Roman"/>
          <w:sz w:val="21"/>
          <w:szCs w:val="21"/>
          <w:color w:val="auto"/>
        </w:rPr>
      </w:pPr>
    </w:p>
    <w:p>
      <w:pPr>
        <w:ind w:left="1140" w:right="380" w:hanging="758"/>
        <w:spacing w:after="0" w:line="270"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140" w:right="100" w:hanging="758"/>
        <w:spacing w:after="0" w:line="270"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preempted by federal law, this Agreement shall be governed by, and construed in accordance with, the laws of the State of South Dakota.</w:t>
      </w:r>
    </w:p>
    <w:p>
      <w:pPr>
        <w:spacing w:after="0" w:line="185" w:lineRule="exact"/>
        <w:rPr>
          <w:rFonts w:ascii="Times New Roman" w:cs="Times New Roman" w:eastAsia="Times New Roman" w:hAnsi="Times New Roman"/>
          <w:sz w:val="21"/>
          <w:szCs w:val="21"/>
          <w:color w:val="auto"/>
        </w:rPr>
      </w:pPr>
    </w:p>
    <w:p>
      <w:pPr>
        <w:ind w:left="1140" w:right="200" w:hanging="758"/>
        <w:spacing w:after="0" w:line="270"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awards received by Participant are subject to the provisions of the Stock Ownership Guidelines approved by the Board of Directors.</w:t>
      </w:r>
    </w:p>
    <w:p>
      <w:pPr>
        <w:spacing w:after="0" w:line="185" w:lineRule="exact"/>
        <w:rPr>
          <w:rFonts w:ascii="Times New Roman" w:cs="Times New Roman" w:eastAsia="Times New Roman" w:hAnsi="Times New Roman"/>
          <w:sz w:val="21"/>
          <w:szCs w:val="21"/>
          <w:color w:val="auto"/>
        </w:rPr>
      </w:pPr>
    </w:p>
    <w:p>
      <w:pPr>
        <w:ind w:left="1140" w:right="920" w:hanging="758"/>
        <w:spacing w:after="0" w:line="270"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140" w:hanging="758"/>
        <w:spacing w:after="0" w:line="255" w:lineRule="auto"/>
        <w:tabs>
          <w:tab w:leader="none" w:pos="805"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 Hills Corporation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Jennifer C. Landis – Senior Vice President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Chief Human Resources Officer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222" w:name="page223"/>
    <w:bookmarkEnd w:id="222"/>
    <w:p>
      <w:pPr>
        <w:ind w:left="1012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Earned Units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18"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determination of the number of Units that will be earned and vested as of the Scheduled Vesting Date specified above will be determined as follows: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728"/>
        </w:trPr>
        <w:tc>
          <w:tcPr>
            <w:tcW w:w="22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w:t>
            </w:r>
          </w:p>
        </w:tc>
        <w:tc>
          <w:tcPr>
            <w:tcW w:w="154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340" w:type="dxa"/>
            <w:vAlign w:val="bottom"/>
            <w:tcBorders>
              <w:top w:val="single" w:sz="8" w:color="auto"/>
              <w:right w:val="single" w:sz="8" w:color="auto"/>
            </w:tcBorders>
          </w:tcPr>
          <w:p>
            <w:pPr>
              <w:spacing w:after="0"/>
              <w:rPr>
                <w:sz w:val="24"/>
                <w:szCs w:val="24"/>
                <w:color w:val="auto"/>
              </w:rPr>
            </w:pPr>
          </w:p>
        </w:tc>
        <w:tc>
          <w:tcPr>
            <w:tcW w:w="3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Borders>
              <w:left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Measure (each as</w:t>
            </w:r>
          </w:p>
        </w:tc>
        <w:tc>
          <w:tcPr>
            <w:tcW w:w="15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defined below)</w:t>
            </w:r>
          </w:p>
        </w:tc>
        <w:tc>
          <w:tcPr>
            <w:tcW w:w="1540" w:type="dxa"/>
            <w:vAlign w:val="bottom"/>
            <w:tcBorders>
              <w:bottom w:val="single" w:sz="8" w:color="auto"/>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Weighting</w:t>
            </w:r>
          </w:p>
        </w:tc>
        <w:tc>
          <w:tcPr>
            <w:tcW w:w="110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Performance Goal</w:t>
            </w:r>
          </w:p>
        </w:tc>
        <w:tc>
          <w:tcPr>
            <w:tcW w:w="338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2"/>
                <w:szCs w:val="22"/>
                <w:b w:val="1"/>
                <w:bCs w:val="1"/>
                <w:color w:val="auto"/>
              </w:rPr>
              <w:t>Award Multiplier</w:t>
            </w:r>
          </w:p>
        </w:tc>
        <w:tc>
          <w:tcPr>
            <w:tcW w:w="0" w:type="dxa"/>
            <w:vAlign w:val="bottom"/>
          </w:tcPr>
          <w:p>
            <w:pPr>
              <w:spacing w:after="0"/>
              <w:rPr>
                <w:sz w:val="1"/>
                <w:szCs w:val="1"/>
                <w:color w:val="auto"/>
              </w:rPr>
            </w:pPr>
          </w:p>
        </w:tc>
      </w:tr>
      <w:tr>
        <w:trPr>
          <w:trHeight w:val="247"/>
        </w:trPr>
        <w:tc>
          <w:tcPr>
            <w:tcW w:w="22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Relative TSR</w:t>
            </w:r>
          </w:p>
        </w:tc>
        <w:tc>
          <w:tcPr>
            <w:tcW w:w="1540" w:type="dxa"/>
            <w:vAlign w:val="bottom"/>
            <w:tcBorders>
              <w:right w:val="single" w:sz="8" w:color="auto"/>
            </w:tcBorders>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60%</w:t>
            </w:r>
          </w:p>
        </w:tc>
        <w:tc>
          <w:tcPr>
            <w:tcW w:w="1100" w:type="dxa"/>
            <w:vAlign w:val="bottom"/>
            <w:tcBorders>
              <w:bottom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Maximum</w:t>
            </w:r>
          </w:p>
        </w:tc>
        <w:tc>
          <w:tcPr>
            <w:tcW w:w="680" w:type="dxa"/>
            <w:vAlign w:val="bottom"/>
            <w:tcBorders>
              <w:bottom w:val="single" w:sz="8" w:color="auto"/>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338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vMerge w:val="continue"/>
          </w:tcPr>
          <w:p>
            <w:pPr>
              <w:spacing w:after="0"/>
              <w:rPr>
                <w:sz w:val="22"/>
                <w:szCs w:val="22"/>
                <w:color w:val="auto"/>
              </w:rPr>
            </w:pPr>
          </w:p>
        </w:tc>
        <w:tc>
          <w:tcPr>
            <w:tcW w:w="1540" w:type="dxa"/>
            <w:vAlign w:val="bottom"/>
            <w:tcBorders>
              <w:right w:val="single" w:sz="8" w:color="auto"/>
            </w:tcBorders>
            <w:vMerge w:val="continue"/>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2"/>
                <w:szCs w:val="22"/>
                <w:color w:val="auto"/>
              </w:rPr>
              <w:t>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64"/>
        </w:trPr>
        <w:tc>
          <w:tcPr>
            <w:tcW w:w="22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Average EPS as</w:t>
            </w:r>
          </w:p>
        </w:tc>
        <w:tc>
          <w:tcPr>
            <w:tcW w:w="1540" w:type="dxa"/>
            <w:vAlign w:val="bottom"/>
            <w:tcBorders>
              <w:right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Maximum</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$____</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101"/>
        </w:trPr>
        <w:tc>
          <w:tcPr>
            <w:tcW w:w="2200" w:type="dxa"/>
            <w:vAlign w:val="bottom"/>
            <w:tcBorders>
              <w:left w:val="single" w:sz="8" w:color="auto"/>
              <w:right w:val="single" w:sz="8" w:color="auto"/>
            </w:tcBorders>
            <w:vMerge w:val="continue"/>
          </w:tcPr>
          <w:p>
            <w:pPr>
              <w:spacing w:after="0"/>
              <w:rPr>
                <w:sz w:val="8"/>
                <w:szCs w:val="8"/>
                <w:color w:val="auto"/>
              </w:rPr>
            </w:pPr>
          </w:p>
        </w:tc>
        <w:tc>
          <w:tcPr>
            <w:tcW w:w="1540" w:type="dxa"/>
            <w:vAlign w:val="bottom"/>
            <w:tcBorders>
              <w:right w:val="single" w:sz="8" w:color="auto"/>
            </w:tcBorders>
            <w:vMerge w:val="restart"/>
          </w:tcPr>
          <w:p>
            <w:pPr>
              <w:jc w:val="right"/>
              <w:ind w:right="952"/>
              <w:spacing w:after="0"/>
              <w:rPr>
                <w:sz w:val="20"/>
                <w:szCs w:val="20"/>
                <w:color w:val="auto"/>
              </w:rPr>
            </w:pPr>
            <w:r>
              <w:rPr>
                <w:rFonts w:ascii="Times New Roman" w:cs="Times New Roman" w:eastAsia="Times New Roman" w:hAnsi="Times New Roman"/>
                <w:sz w:val="22"/>
                <w:szCs w:val="22"/>
                <w:color w:val="auto"/>
              </w:rPr>
              <w:t>20%</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68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$____</w:t>
            </w:r>
          </w:p>
        </w:tc>
        <w:tc>
          <w:tcPr>
            <w:tcW w:w="3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162"/>
        </w:trPr>
        <w:tc>
          <w:tcPr>
            <w:tcW w:w="22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Adjusted</w:t>
            </w:r>
          </w:p>
        </w:tc>
        <w:tc>
          <w:tcPr>
            <w:tcW w:w="1540" w:type="dxa"/>
            <w:vAlign w:val="bottom"/>
            <w:tcBorders>
              <w:right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vMerge w:val="continue"/>
          </w:tcPr>
          <w:p>
            <w:pPr>
              <w:spacing w:after="0"/>
              <w:rPr>
                <w:sz w:val="14"/>
                <w:szCs w:val="14"/>
                <w:color w:val="auto"/>
              </w:rPr>
            </w:pPr>
          </w:p>
        </w:tc>
        <w:tc>
          <w:tcPr>
            <w:tcW w:w="33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200" w:type="dxa"/>
            <w:vAlign w:val="bottom"/>
            <w:tcBorders>
              <w:left w:val="single" w:sz="8" w:color="auto"/>
              <w:right w:val="single" w:sz="8" w:color="auto"/>
            </w:tcBorders>
            <w:vMerge w:val="continue"/>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68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$____</w:t>
            </w:r>
          </w:p>
        </w:tc>
        <w:tc>
          <w:tcPr>
            <w:tcW w:w="33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164"/>
        </w:trPr>
        <w:tc>
          <w:tcPr>
            <w:tcW w:w="2200" w:type="dxa"/>
            <w:vAlign w:val="bottom"/>
            <w:tcBorders>
              <w:left w:val="single" w:sz="8" w:color="auto"/>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right w:val="single" w:sz="8" w:color="auto"/>
            </w:tcBorders>
            <w:vMerge w:val="continue"/>
          </w:tcPr>
          <w:p>
            <w:pPr>
              <w:spacing w:after="0"/>
              <w:rPr>
                <w:sz w:val="14"/>
                <w:szCs w:val="14"/>
                <w:color w:val="auto"/>
              </w:rPr>
            </w:pPr>
          </w:p>
        </w:tc>
        <w:tc>
          <w:tcPr>
            <w:tcW w:w="33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Maximum</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___%</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Average Cost to Serve</w:t>
            </w:r>
          </w:p>
        </w:tc>
        <w:tc>
          <w:tcPr>
            <w:tcW w:w="1540" w:type="dxa"/>
            <w:vAlign w:val="bottom"/>
            <w:tcBorders>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rPr>
              <w:t>20%</w:t>
            </w: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___%</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200" w:type="dxa"/>
            <w:vAlign w:val="bottom"/>
            <w:tcBorders>
              <w:left w:val="single" w:sz="8" w:color="auto"/>
              <w:bottom w:val="single" w:sz="8" w:color="auto"/>
              <w:right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68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___%</w:t>
            </w:r>
          </w:p>
        </w:tc>
        <w:tc>
          <w:tcPr>
            <w:tcW w:w="33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1"/>
          <w:szCs w:val="21"/>
          <w:color w:val="auto"/>
        </w:rPr>
        <w:t xml:space="preserve">Based on the actual level of achievement of each Performance Measure, the applicable Award Multiplier will be calculated from the table above by determining where the Company’s actual performance falls relative to the Performance Goals specified in the applicable column of the table, and then selecting the corresponding Award Multiplier associated with each Performance Measure. </w:t>
      </w:r>
      <w:r>
        <w:rPr>
          <w:rFonts w:ascii="Times New Roman" w:cs="Times New Roman" w:eastAsia="Times New Roman" w:hAnsi="Times New Roman"/>
          <w:sz w:val="19"/>
          <w:szCs w:val="19"/>
          <w:color w:val="auto"/>
        </w:rPr>
        <w:t>If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actual amount of any of these Performance Measures is between two Performance Goal amounts shown in the applicable column of the table, the corresponding Award Multiplier will be determined by linear interpolation between the two relevant Award Multipliers shown in the table. If the actual amount of any of the Performance Measures for the Performance Period is less than the corresponding Threshold Performance Goal specified in the table, the corresponding Award Multiplier is zero, and if it is greater than the corresponding Maximum Performance Goal specified in the table, the corresponding Award Multiplier will be equal to the percentage specified for the Maximum Performance Goal.</w:t>
      </w:r>
    </w:p>
    <w:p>
      <w:pPr>
        <w:spacing w:after="0" w:line="197" w:lineRule="exact"/>
        <w:rPr>
          <w:sz w:val="20"/>
          <w:szCs w:val="20"/>
          <w:color w:val="auto"/>
        </w:rPr>
      </w:pPr>
    </w:p>
    <w:p>
      <w:pPr>
        <w:jc w:val="both"/>
        <w:ind w:right="60"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(i) if absolute TSR is negative during the Performance Period, the total number of Earned Units for the achievement of the Relative TSR Performance Goal will not exceed Target and (ii) if Relative TSR is below Threshold, but absolute TSR is above 35%, the Relative TSR Performance Measure will be deemed to be satisfied at Threshold.</w:t>
      </w:r>
    </w:p>
    <w:p>
      <w:pPr>
        <w:spacing w:after="0" w:line="188"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The number of Performance Units earned during the Performance Period that will vest as of the Vesting Date will be calculated using the following formula:</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[Relative TSR Weighting x (Target Number of Performance Units + Dividend Units credited during the Performance Period and before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Scheduled Vesting Date)] x Relative TSR Award Multiplier</w:t>
      </w: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3" w:name="page224"/>
    <w:bookmarkEnd w:id="223"/>
    <w:p>
      <w:pPr>
        <w:jc w:val="center"/>
        <w:ind w:right="20"/>
        <w:spacing w:after="0"/>
        <w:rPr>
          <w:sz w:val="20"/>
          <w:szCs w:val="20"/>
          <w:color w:val="auto"/>
        </w:rPr>
      </w:pPr>
      <w:r>
        <w:rPr>
          <w:rFonts w:ascii="Times New Roman" w:cs="Times New Roman" w:eastAsia="Times New Roman" w:hAnsi="Times New Roman"/>
          <w:sz w:val="19"/>
          <w:szCs w:val="19"/>
          <w:color w:val="auto"/>
        </w:rPr>
        <w:t>[Average EPS as Adjusted Weighting x (Target Number of Performance Units + Dividend Units credited during the Performance Period and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before the Scheduled Vesting Date)] x Average EPS as Adjusted Award Multiplier</w:t>
      </w: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jc w:val="center"/>
        <w:ind w:right="20"/>
        <w:spacing w:after="0"/>
        <w:rPr>
          <w:sz w:val="20"/>
          <w:szCs w:val="20"/>
          <w:color w:val="auto"/>
        </w:rPr>
      </w:pPr>
      <w:r>
        <w:rPr>
          <w:rFonts w:ascii="Times New Roman" w:cs="Times New Roman" w:eastAsia="Times New Roman" w:hAnsi="Times New Roman"/>
          <w:sz w:val="20"/>
          <w:szCs w:val="20"/>
          <w:color w:val="auto"/>
        </w:rPr>
        <w:t>[Average Cost to Serve Weighting x (Target Number of Performance Units + Dividend Units credited during the Performance Period and</w:t>
      </w:r>
    </w:p>
    <w:p>
      <w:pPr>
        <w:jc w:val="center"/>
        <w:ind w:right="-19"/>
        <w:spacing w:after="0"/>
        <w:rPr>
          <w:sz w:val="20"/>
          <w:szCs w:val="20"/>
          <w:color w:val="auto"/>
        </w:rPr>
      </w:pPr>
      <w:r>
        <w:rPr>
          <w:rFonts w:ascii="Times New Roman" w:cs="Times New Roman" w:eastAsia="Times New Roman" w:hAnsi="Times New Roman"/>
          <w:sz w:val="20"/>
          <w:szCs w:val="20"/>
          <w:color w:val="auto"/>
        </w:rPr>
        <w:t>before the Scheduled Vesting Date)] x Average Cost to Serve Award Multiplier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w:t>
      </w:r>
    </w:p>
    <w:p>
      <w:pPr>
        <w:spacing w:after="0" w:line="229" w:lineRule="exact"/>
        <w:rPr>
          <w:sz w:val="20"/>
          <w:szCs w:val="20"/>
          <w:color w:val="auto"/>
        </w:rPr>
      </w:pPr>
    </w:p>
    <w:p>
      <w:pPr>
        <w:ind w:left="940" w:right="40" w:hanging="370"/>
        <w:spacing w:after="0" w:line="269" w:lineRule="auto"/>
        <w:tabs>
          <w:tab w:leader="none" w:pos="961"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Weighting,” “Average EPS as Adjusted Weighting,” “Average EPS as Adjusted Weighting” and the applicable “Award Multiplier” are derived from the table above,</w:t>
      </w:r>
    </w:p>
    <w:p>
      <w:pPr>
        <w:spacing w:after="0" w:line="172"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Number of Performance Units” is the number set forth at the beginning of this Agreement; and</w:t>
      </w:r>
    </w:p>
    <w:p>
      <w:pPr>
        <w:spacing w:after="0" w:line="229"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Units is defined in Section 8 of the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Relative TSR Calculation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this purpose, Total Shareholder Return (TSR) shall be determined as follows (rounded to nearest basis point):</w:t>
      </w:r>
    </w:p>
    <w:p>
      <w:pPr>
        <w:spacing w:after="0" w:line="238"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Total Shareholder</w:t>
            </w: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21"/>
                <w:szCs w:val="21"/>
                <w:color w:val="auto"/>
              </w:rPr>
              <w:t>=</w:t>
            </w: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Change in Stock Price + Dividends Paid</w:t>
            </w:r>
          </w:p>
        </w:tc>
      </w:tr>
      <w:tr>
        <w:trPr>
          <w:trHeight w:val="27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Return</w:t>
            </w:r>
          </w:p>
        </w:tc>
        <w:tc>
          <w:tcPr>
            <w:tcW w:w="112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21"/>
                <w:szCs w:val="21"/>
                <w:color w:val="auto"/>
              </w:rPr>
              <w:t>Beginning Stock Price</w:t>
            </w:r>
          </w:p>
        </w:tc>
      </w:tr>
    </w:tbl>
    <w:p>
      <w:pPr>
        <w:spacing w:after="0" w:line="22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0"/>
          <w:szCs w:val="20"/>
          <w:color w:val="auto"/>
        </w:rPr>
        <w:t>Beginning Stock Price shall mean the average closing price (rounded to nearest cent $xx.xx) on the applicable stock exchange of one share of Common Stock for the ten (10) trading days preceding the grant date; Ending Stock Price shall mean the average closing price (rounded to nearest cent $xx.xx) on the applicable stock exchange of one share of stock for the last ten (10) trading days of the Performance Period; Change in Stock Price shall mean the difference between the Beginning Stock Price and the Ending Stock Price; and Dividends Paid shall mean the total of all dividends (unrounded) on one (1) share of stock with Dividend Payable Dates during the Performance Period. Following the TSR determination, the Company’s Percentile Rank shall be determined as follows:</w:t>
      </w:r>
    </w:p>
    <w:p>
      <w:pPr>
        <w:spacing w:after="0" w:line="19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 xml:space="preserve">Percentile Rank shall be determined by listing from highest TSR to lowest TSR each company in the Peer Index (excluding the Company) as described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The top company would have a one hundred percentile (100%) rank and the bottom company would have a zero percentile (0.0%) rank. Each company in between would be one hundred divided by n minus one (100/(n-1)) (rounded to nearest basis point - x.xx%) above the company below it, where “n” is the total number of companies in the Peer Index. The Company percentile rank would then be interpolated based on the Company TSR, resulting in the Company’s Relative TSR.</w:t>
      </w:r>
    </w:p>
    <w:p>
      <w:pPr>
        <w:spacing w:after="0" w:line="193" w:lineRule="exact"/>
        <w:rPr>
          <w:sz w:val="20"/>
          <w:szCs w:val="20"/>
          <w:color w:val="auto"/>
        </w:rPr>
      </w:pPr>
    </w:p>
    <w:p>
      <w:pPr>
        <w:ind w:right="280" w:firstLine="749"/>
        <w:spacing w:after="0" w:line="251" w:lineRule="auto"/>
        <w:rPr>
          <w:sz w:val="20"/>
          <w:szCs w:val="20"/>
          <w:color w:val="auto"/>
        </w:rPr>
      </w:pPr>
      <w:r>
        <w:rPr>
          <w:rFonts w:ascii="Times New Roman" w:cs="Times New Roman" w:eastAsia="Times New Roman" w:hAnsi="Times New Roman"/>
          <w:sz w:val="21"/>
          <w:szCs w:val="21"/>
          <w:color w:val="auto"/>
        </w:rPr>
        <w:t>If the Company’s or any Peer Index company’s stock splits (or if there are other similar subdivisions, consolidations or changes in such company’s stock or capitalization), such company’s TSR performance will be proportionately adjusted for the stock split or other change so as not to give an advantage or disadvantage to such company by comparison to the other Peer Index companies.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EPS as Adjusted Calculation</w:t>
      </w:r>
    </w:p>
    <w:p>
      <w:pPr>
        <w:spacing w:after="0" w:line="23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Average EPS as Adjusted is defined as diluted earnings per share calculated in accordance with GAAP, adjusted for material, non-recurring events that are approved by the Company’s Audit Committee (such as impairment charges, one-time tax events, changes to accounting rules, etc.). No adjustment shall be made to normalize the impact of extreme weather.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Cost to Serve Calculation</w:t>
      </w:r>
    </w:p>
    <w:p>
      <w:pPr>
        <w:spacing w:after="0" w:line="233"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Average Cost to Serve is defined as non-fuel operations and maintenance (O&amp;M) expense divided by gross margin calculated in accordance with GAAP, adjusted for material, non-recurring events that are approved by the Company’s Audit Committee (such as impairment charges, one-time tax events, changes to accounting rules, etc.). No adjustment shall be made to normalize the impact of extreme weather.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25" w:name="page226"/>
    <w:bookmarkEnd w:id="225"/>
    <w:p>
      <w:pPr>
        <w:ind w:left="10040"/>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Companies Included in EEI Index</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as of December 31, 2021, Excluding Black Hills Corporation</w:t>
      </w:r>
    </w:p>
    <w:p>
      <w:pPr>
        <w:spacing w:after="0" w:line="200" w:lineRule="exact"/>
        <w:rPr>
          <w:sz w:val="20"/>
          <w:szCs w:val="20"/>
          <w:color w:val="auto"/>
        </w:rPr>
      </w:pPr>
    </w:p>
    <w:p>
      <w:pPr>
        <w:spacing w:after="0" w:line="2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The peer group for Relative TSR performance purposes consists of all companies comprising the EEI Index. Throughout the performance period, companies may be added or dropped from the index due to mergers or other activities. At the end of the performance period, new companies that are added to the index are included in the rankings as if they had been in the ranking from the beginning, provided there is sufficient trading history to include them in the final calculation. When a company is dropped from the index, everything related to the company is excluded as if it were never in the index. Companies included in the EEI Index at the beginning of the Performance Period excluding Black Hills Corporation, are listed below:</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ALLETE,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ALE</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IdaCorp,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IDA</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Alliant Energy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LNT</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MDU Resources Group,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MDU</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Ameren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AEE</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MGE Energy,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w w:val="95"/>
              </w:rPr>
              <w:t>MGEE</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AEP</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NextEra Energy,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NEE</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Avangrid,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AGR</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NiSource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NI</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Avista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AVA</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NorthWestern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NWE</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CenterPoint Energy,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CNP</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OGE Energy Corp.</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OGE</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CMS Energy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CMS</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Otter Tail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OTTR</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Edison,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ED</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PG&amp;E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PCG</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Dominion Energy,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D</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Pinnacle West Capital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PNW</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DTE Energy Company</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DTE</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PNM Resources,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PNM</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Duke Energy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DUK</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Portland General Electric Company</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POR</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Edison International</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EIX</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PPL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PPL</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Entergy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ETR</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Public Service Enterprise Group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PEG</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Evergy,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EVRG</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Sempra Energy</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SRE</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Eversource Energy</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ES</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 Southern Company</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SO</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Exelon Corporation</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EXC</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Unitil Corporation</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UTL</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FirstEnergy Corp.</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FE</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WEC Energy Group,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WEC</w:t>
            </w: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Hawaiian Electric Industries, Inc.</w:t>
            </w:r>
          </w:p>
        </w:tc>
        <w:tc>
          <w:tcPr>
            <w:tcW w:w="1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HE</w:t>
            </w:r>
          </w:p>
        </w:tc>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Xcel Energy Inc.</w:t>
            </w:r>
          </w:p>
        </w:tc>
        <w:tc>
          <w:tcPr>
            <w:tcW w:w="11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XEL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6"/>
          <w:szCs w:val="16"/>
          <w:b w:val="1"/>
          <w:bCs w:val="1"/>
          <w:color w:val="auto"/>
        </w:rPr>
        <w:t>Exhibit 10.30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Long-Term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Restricted Stock 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(Effective for Awards granted on or after January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Long-Term Incentive Plan (the “LTIP”). This LTIP award is granted under the restricted stock and restricted stock units provisions of the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Participant:</w:t>
            </w:r>
          </w:p>
        </w:tc>
        <w:tc>
          <w:tcPr>
            <w:tcW w:w="3640" w:type="dxa"/>
            <w:vAlign w:val="bottom"/>
            <w:gridSpan w:val="7"/>
          </w:tcPr>
          <w:p>
            <w:pPr>
              <w:ind w:left="340"/>
              <w:spacing w:after="0"/>
              <w:rPr>
                <w:sz w:val="20"/>
                <w:szCs w:val="20"/>
                <w:color w:val="auto"/>
              </w:rPr>
            </w:pPr>
            <w:r>
              <w:rPr>
                <w:rFonts w:ascii="Times New Roman" w:cs="Times New Roman" w:eastAsia="Times New Roman" w:hAnsi="Times New Roman"/>
                <w:sz w:val="21"/>
                <w:szCs w:val="21"/>
                <w:color w:val="auto"/>
              </w:rPr>
              <w:t>Name: ______________________</w:t>
            </w:r>
          </w:p>
        </w:tc>
        <w:tc>
          <w:tcPr>
            <w:tcW w:w="0" w:type="dxa"/>
            <w:vAlign w:val="bottom"/>
          </w:tcPr>
          <w:p>
            <w:pPr>
              <w:spacing w:after="0"/>
              <w:rPr>
                <w:sz w:val="1"/>
                <w:szCs w:val="1"/>
                <w:color w:val="auto"/>
              </w:rPr>
            </w:pPr>
          </w:p>
        </w:tc>
      </w:tr>
      <w:tr>
        <w:trPr>
          <w:trHeight w:val="457"/>
        </w:trPr>
        <w:tc>
          <w:tcPr>
            <w:tcW w:w="21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Number of Shares of</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line="224" w:lineRule="exact"/>
              <w:rPr>
                <w:sz w:val="20"/>
                <w:szCs w:val="20"/>
                <w:color w:val="auto"/>
              </w:rPr>
            </w:pPr>
            <w:r>
              <w:rPr>
                <w:rFonts w:ascii="Times New Roman" w:cs="Times New Roman" w:eastAsia="Times New Roman" w:hAnsi="Times New Roman"/>
                <w:sz w:val="21"/>
                <w:szCs w:val="21"/>
                <w:b w:val="1"/>
                <w:bCs w:val="1"/>
                <w:color w:val="auto"/>
              </w:rPr>
              <w:t>Restricted Stock:</w:t>
            </w:r>
          </w:p>
        </w:tc>
        <w:tc>
          <w:tcPr>
            <w:tcW w:w="740" w:type="dxa"/>
            <w:vAlign w:val="bottom"/>
          </w:tcPr>
          <w:p>
            <w:pPr>
              <w:spacing w:after="0"/>
              <w:rPr>
                <w:sz w:val="19"/>
                <w:szCs w:val="19"/>
                <w:color w:val="auto"/>
              </w:rPr>
            </w:pPr>
          </w:p>
        </w:tc>
        <w:tc>
          <w:tcPr>
            <w:tcW w:w="2900" w:type="dxa"/>
            <w:vAlign w:val="bottom"/>
            <w:gridSpan w:val="6"/>
          </w:tcPr>
          <w:p>
            <w:pPr>
              <w:spacing w:after="0" w:line="224" w:lineRule="exact"/>
              <w:rPr>
                <w:sz w:val="20"/>
                <w:szCs w:val="20"/>
                <w:color w:val="auto"/>
              </w:rPr>
            </w:pPr>
            <w:r>
              <w:rPr>
                <w:rFonts w:ascii="Times New Roman" w:cs="Times New Roman" w:eastAsia="Times New Roman" w:hAnsi="Times New Roman"/>
                <w:sz w:val="21"/>
                <w:szCs w:val="21"/>
                <w:color w:val="auto"/>
              </w:rPr>
              <w:t>Shares: ____________________</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Date of Grant:</w:t>
            </w: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160" w:type="dxa"/>
            <w:vAlign w:val="bottom"/>
            <w:vMerge w:val="continue"/>
          </w:tcPr>
          <w:p>
            <w:pPr>
              <w:spacing w:after="0"/>
              <w:rPr>
                <w:sz w:val="24"/>
                <w:szCs w:val="24"/>
                <w:color w:val="auto"/>
              </w:rPr>
            </w:pPr>
          </w:p>
        </w:tc>
        <w:tc>
          <w:tcPr>
            <w:tcW w:w="3640" w:type="dxa"/>
            <w:vAlign w:val="bottom"/>
            <w:gridSpan w:val="7"/>
          </w:tcPr>
          <w:p>
            <w:pPr>
              <w:ind w:left="740"/>
              <w:spacing w:after="0"/>
              <w:rPr>
                <w:sz w:val="20"/>
                <w:szCs w:val="20"/>
                <w:color w:val="auto"/>
              </w:rPr>
            </w:pPr>
            <w:r>
              <w:rPr>
                <w:rFonts w:ascii="Times New Roman" w:cs="Times New Roman" w:eastAsia="Times New Roman" w:hAnsi="Times New Roman"/>
                <w:sz w:val="21"/>
                <w:szCs w:val="21"/>
                <w:color w:val="auto"/>
                <w:w w:val="97"/>
              </w:rPr>
              <w:t>____________________________</w:t>
            </w:r>
          </w:p>
        </w:tc>
        <w:tc>
          <w:tcPr>
            <w:tcW w:w="0" w:type="dxa"/>
            <w:vAlign w:val="bottom"/>
          </w:tcPr>
          <w:p>
            <w:pPr>
              <w:spacing w:after="0"/>
              <w:rPr>
                <w:sz w:val="1"/>
                <w:szCs w:val="1"/>
                <w:color w:val="auto"/>
              </w:rPr>
            </w:pPr>
          </w:p>
        </w:tc>
      </w:tr>
      <w:tr>
        <w:trPr>
          <w:trHeight w:val="438"/>
        </w:trPr>
        <w:tc>
          <w:tcPr>
            <w:tcW w:w="35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 xml:space="preserve">Date of Lapse of Restrictions:   </w:t>
            </w:r>
            <w:r>
              <w:rPr>
                <w:rFonts w:ascii="Times New Roman" w:cs="Times New Roman" w:eastAsia="Times New Roman" w:hAnsi="Times New Roman"/>
                <w:sz w:val="21"/>
                <w:szCs w:val="21"/>
                <w:color w:val="auto"/>
              </w:rPr>
              <w:t>Shares</w:t>
            </w:r>
          </w:p>
        </w:tc>
        <w:tc>
          <w:tcPr>
            <w:tcW w:w="2240" w:type="dxa"/>
            <w:vAlign w:val="bottom"/>
            <w:gridSpan w:val="4"/>
          </w:tcPr>
          <w:p>
            <w:pPr>
              <w:ind w:left="1000"/>
              <w:spacing w:after="0"/>
              <w:rPr>
                <w:sz w:val="20"/>
                <w:szCs w:val="20"/>
                <w:color w:val="auto"/>
              </w:rPr>
            </w:pPr>
            <w:r>
              <w:rPr>
                <w:rFonts w:ascii="Times New Roman" w:cs="Times New Roman" w:eastAsia="Times New Roman" w:hAnsi="Times New Roman"/>
                <w:sz w:val="21"/>
                <w:szCs w:val="21"/>
                <w:color w:val="auto"/>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5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________</w:t>
      </w:r>
    </w:p>
    <w:p>
      <w:pPr>
        <w:spacing w:after="0" w:line="3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________</w:t>
      </w:r>
    </w:p>
    <w:p>
      <w:pPr>
        <w:spacing w:after="0" w:line="1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________</w:t>
      </w:r>
    </w:p>
    <w:p>
      <w:pPr>
        <w:spacing w:after="0" w:line="1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________</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w:t>
      </w:r>
    </w:p>
    <w:p>
      <w:pPr>
        <w:spacing w:after="0" w:line="200" w:lineRule="exact"/>
        <w:rPr>
          <w:sz w:val="20"/>
          <w:szCs w:val="20"/>
          <w:color w:val="auto"/>
        </w:rPr>
      </w:pPr>
    </w:p>
    <w:p>
      <w:pPr>
        <w:sectPr>
          <w:pgSz w:w="11900" w:h="16838" w:orient="portrait"/>
          <w:cols w:equalWidth="0" w:num="2">
            <w:col w:w="3020" w:space="720"/>
            <w:col w:w="7500"/>
          </w:cols>
          <w:pgMar w:left="320" w:top="342" w:right="339" w:bottom="1440" w:gutter="0" w:footer="0" w:header="0"/>
          <w:type w:val="continuous"/>
        </w:sectPr>
      </w:pPr>
    </w:p>
    <w:p>
      <w:pPr>
        <w:spacing w:after="0" w:line="3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1.</w:t>
      </w:r>
      <w:r>
        <w:rPr>
          <w:sz w:val="20"/>
          <w:szCs w:val="20"/>
          <w:color w:val="auto"/>
        </w:rPr>
        <w:tab/>
      </w:r>
      <w:r>
        <w:rPr>
          <w:rFonts w:ascii="Times New Roman" w:cs="Times New Roman" w:eastAsia="Times New Roman" w:hAnsi="Times New Roman"/>
          <w:sz w:val="20"/>
          <w:szCs w:val="20"/>
          <w:b w:val="1"/>
          <w:bCs w:val="1"/>
          <w:color w:val="auto"/>
        </w:rPr>
        <w:t>Employment by the Company</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380" w:firstLine="414"/>
        <w:spacing w:after="0" w:line="251" w:lineRule="auto"/>
        <w:rPr>
          <w:sz w:val="20"/>
          <w:szCs w:val="20"/>
          <w:color w:val="auto"/>
        </w:rPr>
      </w:pPr>
      <w:r>
        <w:rPr>
          <w:rFonts w:ascii="Times New Roman" w:cs="Times New Roman" w:eastAsia="Times New Roman" w:hAnsi="Times New Roman"/>
          <w:sz w:val="21"/>
          <w:szCs w:val="21"/>
          <w:color w:val="auto"/>
        </w:rPr>
        <w:t>The Restricted Stock is awarded on the condition that the Participant remain in the employ of Black Hills Corporation and its Affiliates (the “Company”) from the Date of Grant through (and including) the Dates of Lapse of Restrictions. The Award of this Restricted Stock, however, shall not impose upon the Company any obligations to retain the Participant in its employ for any given period or upon any specific terms of employment.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227" w:name="page228"/>
    <w:bookmarkEnd w:id="227"/>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2.</w:t>
      </w:r>
      <w:r>
        <w:rPr>
          <w:sz w:val="20"/>
          <w:szCs w:val="20"/>
          <w:color w:val="auto"/>
        </w:rPr>
        <w:tab/>
      </w:r>
      <w:r>
        <w:rPr>
          <w:rFonts w:ascii="Times New Roman" w:cs="Times New Roman" w:eastAsia="Times New Roman" w:hAnsi="Times New Roman"/>
          <w:sz w:val="20"/>
          <w:szCs w:val="20"/>
          <w:b w:val="1"/>
          <w:bCs w:val="1"/>
          <w:color w:val="auto"/>
        </w:rPr>
        <w:t>Certificate Legend</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40" w:firstLine="414"/>
        <w:spacing w:after="0" w:line="270" w:lineRule="auto"/>
        <w:rPr>
          <w:sz w:val="20"/>
          <w:szCs w:val="20"/>
          <w:color w:val="auto"/>
        </w:rPr>
      </w:pPr>
      <w:r>
        <w:rPr>
          <w:rFonts w:ascii="Times New Roman" w:cs="Times New Roman" w:eastAsia="Times New Roman" w:hAnsi="Times New Roman"/>
          <w:sz w:val="21"/>
          <w:szCs w:val="21"/>
          <w:color w:val="auto"/>
        </w:rPr>
        <w:t>Shares of Restricted Stock granted pursuant to the Plan shall be held by the Company in book entry form and shall be designated to have the following legend:</w:t>
      </w:r>
    </w:p>
    <w:p>
      <w:pPr>
        <w:spacing w:after="0" w:line="186" w:lineRule="exact"/>
        <w:rPr>
          <w:sz w:val="20"/>
          <w:szCs w:val="20"/>
          <w:color w:val="auto"/>
        </w:rPr>
      </w:pPr>
    </w:p>
    <w:p>
      <w:pPr>
        <w:ind w:left="1320" w:right="880" w:hanging="482"/>
        <w:spacing w:after="0" w:line="248" w:lineRule="auto"/>
        <w:rPr>
          <w:sz w:val="20"/>
          <w:szCs w:val="20"/>
          <w:color w:val="auto"/>
        </w:rPr>
      </w:pPr>
      <w:r>
        <w:rPr>
          <w:rFonts w:ascii="Times New Roman" w:cs="Times New Roman" w:eastAsia="Times New Roman" w:hAnsi="Times New Roman"/>
          <w:sz w:val="21"/>
          <w:szCs w:val="21"/>
          <w:color w:val="auto"/>
        </w:rPr>
        <w:t>“The sale or other transfer of the shares of stock represented by this certificate, whether voluntary, involuntary, or by operation of law, is subject to certain restrictions on transfer set forth in the Black Hills Corporation Amended and Restated 2015 Omnibus Incentive Plan and in a Restricted Stock Award Agreement. A copy of the Plan and such Restricted Stock Agreement may be obtained from the Secretary of Black Hills Corporation.”</w:t>
      </w:r>
    </w:p>
    <w:p>
      <w:pPr>
        <w:spacing w:after="0" w:line="2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3.</w:t>
      </w:r>
      <w:r>
        <w:rPr>
          <w:sz w:val="20"/>
          <w:szCs w:val="20"/>
          <w:color w:val="auto"/>
        </w:rPr>
        <w:tab/>
      </w:r>
      <w:r>
        <w:rPr>
          <w:rFonts w:ascii="Times New Roman" w:cs="Times New Roman" w:eastAsia="Times New Roman" w:hAnsi="Times New Roman"/>
          <w:sz w:val="20"/>
          <w:szCs w:val="20"/>
          <w:b w:val="1"/>
          <w:bCs w:val="1"/>
          <w:color w:val="auto"/>
        </w:rPr>
        <w:t>Removal of Restrictions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420" w:firstLine="414"/>
        <w:spacing w:after="0" w:line="270" w:lineRule="auto"/>
        <w:rPr>
          <w:sz w:val="20"/>
          <w:szCs w:val="20"/>
          <w:color w:val="auto"/>
        </w:rPr>
      </w:pPr>
      <w:r>
        <w:rPr>
          <w:rFonts w:ascii="Times New Roman" w:cs="Times New Roman" w:eastAsia="Times New Roman" w:hAnsi="Times New Roman"/>
          <w:sz w:val="21"/>
          <w:szCs w:val="21"/>
          <w:color w:val="auto"/>
        </w:rPr>
        <w:t>Except as otherwise provided in the Plan, each of the Shares of Restricted Stock granted under this Agreement shall become freely transferable by the Participant on each of the “Dates of Lapse of Restrictions” set forth on Paragraph 3 herein.</w:t>
      </w:r>
    </w:p>
    <w:p>
      <w:pPr>
        <w:spacing w:after="0" w:line="186" w:lineRule="exact"/>
        <w:rPr>
          <w:sz w:val="20"/>
          <w:szCs w:val="20"/>
          <w:color w:val="auto"/>
        </w:rPr>
      </w:pPr>
    </w:p>
    <w:p>
      <w:pPr>
        <w:ind w:right="380" w:firstLine="749"/>
        <w:spacing w:after="0" w:line="270" w:lineRule="auto"/>
        <w:rPr>
          <w:sz w:val="20"/>
          <w:szCs w:val="20"/>
          <w:color w:val="auto"/>
        </w:rPr>
      </w:pPr>
      <w:r>
        <w:rPr>
          <w:rFonts w:ascii="Times New Roman" w:cs="Times New Roman" w:eastAsia="Times New Roman" w:hAnsi="Times New Roman"/>
          <w:sz w:val="21"/>
          <w:szCs w:val="21"/>
          <w:color w:val="auto"/>
        </w:rPr>
        <w:t>Once the Shares are released from the restrictions, the Participant shall be entitled to receive certificates representing the Shares of stock which have been vested, without the restrictive legend required by Paragraph 5 of this Agreement.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Notwithstanding the terms of this Agreement, no stock shall be issued by the Corporation while its stock transfer books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closed.</w:t>
      </w:r>
    </w:p>
    <w:p>
      <w:pPr>
        <w:spacing w:after="0" w:line="21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4.</w:t>
      </w:r>
      <w:r>
        <w:rPr>
          <w:sz w:val="20"/>
          <w:szCs w:val="20"/>
          <w:color w:val="auto"/>
        </w:rPr>
        <w:tab/>
      </w:r>
      <w:r>
        <w:rPr>
          <w:rFonts w:ascii="Times New Roman" w:cs="Times New Roman" w:eastAsia="Times New Roman" w:hAnsi="Times New Roman"/>
          <w:sz w:val="20"/>
          <w:szCs w:val="20"/>
          <w:b w:val="1"/>
          <w:bCs w:val="1"/>
          <w:color w:val="auto"/>
        </w:rPr>
        <w:t>Voting Rights and Dividends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60" w:firstLine="414"/>
        <w:spacing w:after="0" w:line="251" w:lineRule="auto"/>
        <w:rPr>
          <w:sz w:val="20"/>
          <w:szCs w:val="20"/>
          <w:color w:val="auto"/>
        </w:rPr>
      </w:pPr>
      <w:r>
        <w:rPr>
          <w:rFonts w:ascii="Times New Roman" w:cs="Times New Roman" w:eastAsia="Times New Roman" w:hAnsi="Times New Roman"/>
          <w:sz w:val="21"/>
          <w:szCs w:val="21"/>
          <w:color w:val="auto"/>
        </w:rPr>
        <w:t>During the Period of Restriction, the Participant may exercise full voting rights and is entitled to receive all dividends and other distributions paid with respect to the Shares of Restricted Stock while they are held. If any such dividends or distributions are paid in Shares, the Shares shall be subject to the same restrictions on transferability as the Shares of Restricted Stock with respect to which they were paid.</w:t>
      </w:r>
    </w:p>
    <w:p>
      <w:pPr>
        <w:spacing w:after="0" w:line="203"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21"/>
          <w:szCs w:val="21"/>
          <w:b w:val="1"/>
          <w:bCs w:val="1"/>
          <w:color w:val="auto"/>
        </w:rPr>
        <w:t>Article 5. Termination of Employment By Reasons of Death or Disability, and Vesting in Connection with a Change in Control</w:t>
      </w:r>
      <w:r>
        <w:rPr>
          <w:rFonts w:ascii="Times New Roman" w:cs="Times New Roman" w:eastAsia="Times New Roman" w:hAnsi="Times New Roman"/>
          <w:sz w:val="21"/>
          <w:szCs w:val="21"/>
          <w:color w:val="auto"/>
        </w:rPr>
        <w:t>.</w:t>
      </w:r>
    </w:p>
    <w:p>
      <w:pPr>
        <w:spacing w:after="0" w:line="184" w:lineRule="exact"/>
        <w:rPr>
          <w:sz w:val="20"/>
          <w:szCs w:val="20"/>
          <w:color w:val="auto"/>
        </w:rPr>
      </w:pPr>
    </w:p>
    <w:p>
      <w:pPr>
        <w:ind w:firstLine="414"/>
        <w:spacing w:after="0" w:line="248" w:lineRule="auto"/>
        <w:rPr>
          <w:sz w:val="20"/>
          <w:szCs w:val="20"/>
          <w:color w:val="auto"/>
        </w:rPr>
      </w:pPr>
      <w:r>
        <w:rPr>
          <w:rFonts w:ascii="Times New Roman" w:cs="Times New Roman" w:eastAsia="Times New Roman" w:hAnsi="Times New Roman"/>
          <w:sz w:val="21"/>
          <w:szCs w:val="21"/>
          <w:color w:val="auto"/>
        </w:rPr>
        <w:t>In the event the Participant’s employment is terminated by reason of Death or Disability, prior to the Dates of Lapse of Restrictions, all Shares of Restricted Stock then outstanding shall immediately vest one hundred percent (100%), and as soon as is administratively practicable, the common stock representing the Shares of Restricted Stock without any restrictions or legend thereon, shall be delivered to the Participant’s beneficiary or estate. The provisions of Article 17 of the Plan shall govern in the event of a Change in Control.</w:t>
      </w:r>
    </w:p>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28" w:name="page229"/>
    <w:bookmarkEnd w:id="228"/>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6.</w:t>
      </w:r>
      <w:r>
        <w:rPr>
          <w:sz w:val="20"/>
          <w:szCs w:val="20"/>
          <w:color w:val="auto"/>
        </w:rPr>
        <w:tab/>
      </w:r>
      <w:r>
        <w:rPr>
          <w:rFonts w:ascii="Times New Roman" w:cs="Times New Roman" w:eastAsia="Times New Roman" w:hAnsi="Times New Roman"/>
          <w:sz w:val="20"/>
          <w:szCs w:val="20"/>
          <w:b w:val="1"/>
          <w:bCs w:val="1"/>
          <w:color w:val="auto"/>
        </w:rPr>
        <w:t>Beneficiary Designation</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100" w:firstLine="414"/>
        <w:spacing w:after="0" w:line="248" w:lineRule="auto"/>
        <w:rPr>
          <w:sz w:val="20"/>
          <w:szCs w:val="20"/>
          <w:color w:val="auto"/>
        </w:rPr>
      </w:pPr>
      <w:r>
        <w:rPr>
          <w:rFonts w:ascii="Times New Roman" w:cs="Times New Roman" w:eastAsia="Times New Roman" w:hAnsi="Times New Roman"/>
          <w:sz w:val="21"/>
          <w:szCs w:val="21"/>
          <w:color w:val="auto"/>
        </w:rPr>
        <w:t>The Participant may, from time to time, name any beneficiary or beneficiaries (who may be named contingently or successively) to whom any benefit under this Agreement is to be paid in case of his or her death prior to the Dates of Lapse of Restrictions. Each such designation shall revoke all prior designations by the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0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7.</w:t>
      </w:r>
      <w:r>
        <w:rPr>
          <w:sz w:val="20"/>
          <w:szCs w:val="20"/>
          <w:color w:val="auto"/>
        </w:rPr>
        <w:tab/>
      </w:r>
      <w:r>
        <w:rPr>
          <w:rFonts w:ascii="Times New Roman" w:cs="Times New Roman" w:eastAsia="Times New Roman" w:hAnsi="Times New Roman"/>
          <w:sz w:val="20"/>
          <w:szCs w:val="20"/>
          <w:b w:val="1"/>
          <w:bCs w:val="1"/>
          <w:color w:val="auto"/>
        </w:rPr>
        <w:t>Forfeiture and Repayment.</w:t>
      </w:r>
    </w:p>
    <w:p>
      <w:pPr>
        <w:spacing w:after="0" w:line="220" w:lineRule="exact"/>
        <w:rPr>
          <w:sz w:val="20"/>
          <w:szCs w:val="20"/>
          <w:color w:val="auto"/>
        </w:rPr>
      </w:pPr>
    </w:p>
    <w:p>
      <w:pPr>
        <w:jc w:val="both"/>
        <w:ind w:left="1500" w:right="280" w:hanging="743"/>
        <w:spacing w:after="0" w:line="255" w:lineRule="auto"/>
        <w:tabs>
          <w:tab w:leader="none" w:pos="150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Participant’s employment is terminated for reasons other than those described in Section 5 herein prior to the Dates of the Lapse of Restrictions, all outstanding unvested Restricted Stock granted hereunder shall immediately be forfeited by the Participant.</w:t>
      </w:r>
    </w:p>
    <w:p>
      <w:pPr>
        <w:spacing w:after="0" w:line="175" w:lineRule="exact"/>
        <w:rPr>
          <w:rFonts w:ascii="Times New Roman" w:cs="Times New Roman" w:eastAsia="Times New Roman" w:hAnsi="Times New Roman"/>
          <w:sz w:val="21"/>
          <w:szCs w:val="21"/>
          <w:color w:val="auto"/>
        </w:rPr>
      </w:pPr>
    </w:p>
    <w:p>
      <w:pPr>
        <w:jc w:val="both"/>
        <w:ind w:left="1500" w:right="620" w:hanging="743"/>
        <w:spacing w:after="0" w:line="274" w:lineRule="auto"/>
        <w:tabs>
          <w:tab w:leader="none" w:pos="15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Section 7(a), the Company reserves the right to cancel all Restricted Stock awarded hereunder, whether or not vested, and require the Participant to repay all income or gains previously realized in respect of such Restricted Stock, in the event of the occurrence of any of the following events:</w:t>
      </w:r>
    </w:p>
    <w:p>
      <w:pPr>
        <w:spacing w:after="0" w:line="157"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2260" w:right="60" w:hanging="755"/>
        <w:spacing w:after="0" w:line="249" w:lineRule="auto"/>
        <w:tabs>
          <w:tab w:leader="none" w:pos="22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1" w:lineRule="exact"/>
        <w:rPr>
          <w:rFonts w:ascii="Times New Roman" w:cs="Times New Roman" w:eastAsia="Times New Roman" w:hAnsi="Times New Roman"/>
          <w:sz w:val="22"/>
          <w:szCs w:val="22"/>
          <w:color w:val="auto"/>
        </w:rPr>
      </w:pPr>
    </w:p>
    <w:p>
      <w:pPr>
        <w:ind w:left="2260" w:right="340" w:hanging="755"/>
        <w:spacing w:after="0" w:line="258" w:lineRule="auto"/>
        <w:tabs>
          <w:tab w:leader="none" w:pos="2260"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 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3000" w:right="40" w:hanging="746"/>
        <w:spacing w:after="0" w:line="274" w:lineRule="auto"/>
        <w:tabs>
          <w:tab w:leader="none" w:pos="2665" w:val="left"/>
        </w:tabs>
        <w:numPr>
          <w:ilvl w:val="2"/>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3000" w:hanging="746"/>
        <w:spacing w:after="0" w:line="247" w:lineRule="auto"/>
        <w:tabs>
          <w:tab w:leader="none" w:pos="2665" w:val="left"/>
        </w:tabs>
        <w:numPr>
          <w:ilvl w:val="2"/>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and Procedures, as amended, supplemented or replaced from time to time); or</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29" w:name="page230"/>
    <w:bookmarkEnd w:id="229"/>
    <w:p>
      <w:pPr>
        <w:ind w:left="2260" w:right="500" w:hanging="755"/>
        <w:spacing w:after="0" w:line="249" w:lineRule="auto"/>
        <w:tabs>
          <w:tab w:leader="none" w:pos="2260"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1" w:lineRule="exact"/>
        <w:rPr>
          <w:rFonts w:ascii="Times New Roman" w:cs="Times New Roman" w:eastAsia="Times New Roman" w:hAnsi="Times New Roman"/>
          <w:sz w:val="22"/>
          <w:szCs w:val="22"/>
          <w:color w:val="auto"/>
        </w:rPr>
      </w:pPr>
    </w:p>
    <w:p>
      <w:pPr>
        <w:ind w:left="1500" w:right="80" w:hanging="743"/>
        <w:spacing w:after="0" w:line="255" w:lineRule="auto"/>
        <w:tabs>
          <w:tab w:leader="none" w:pos="150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Section 7(b), in addition to any other remedies the Company has available to it, the Company may in its sole discretion:</w:t>
      </w:r>
    </w:p>
    <w:p>
      <w:pPr>
        <w:spacing w:after="0" w:line="175" w:lineRule="exact"/>
        <w:rPr>
          <w:rFonts w:ascii="Times New Roman" w:cs="Times New Roman" w:eastAsia="Times New Roman" w:hAnsi="Times New Roman"/>
          <w:sz w:val="21"/>
          <w:szCs w:val="21"/>
          <w:color w:val="auto"/>
        </w:rPr>
      </w:pPr>
    </w:p>
    <w:p>
      <w:pPr>
        <w:ind w:left="2260" w:hanging="755"/>
        <w:spacing w:after="0"/>
        <w:tabs>
          <w:tab w:leader="none" w:pos="226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Shares of Restricted Stock awarded hereby, whether or not vested; and/or</w:t>
      </w:r>
    </w:p>
    <w:p>
      <w:pPr>
        <w:spacing w:after="0" w:line="206" w:lineRule="exact"/>
        <w:rPr>
          <w:rFonts w:ascii="Times New Roman" w:cs="Times New Roman" w:eastAsia="Times New Roman" w:hAnsi="Times New Roman"/>
          <w:sz w:val="22"/>
          <w:szCs w:val="22"/>
          <w:color w:val="auto"/>
        </w:rPr>
      </w:pPr>
    </w:p>
    <w:p>
      <w:pPr>
        <w:ind w:left="2260" w:right="640" w:hanging="755"/>
        <w:spacing w:after="0" w:line="247" w:lineRule="auto"/>
        <w:tabs>
          <w:tab w:leader="none" w:pos="226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such Restricted Stock. The amount of repayment shall include, without limitation, amounts received in connection with the delivery or sale of Shares of such Restricted Stock or cash paid in respect of any Restricted Stock.</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There shall be no forfeiture or repayment under Section 7(b) following a Change-in-Control.</w:t>
      </w:r>
    </w:p>
    <w:p>
      <w:pPr>
        <w:spacing w:after="0" w:line="218" w:lineRule="exact"/>
        <w:rPr>
          <w:sz w:val="20"/>
          <w:szCs w:val="20"/>
          <w:color w:val="auto"/>
        </w:rPr>
      </w:pPr>
    </w:p>
    <w:p>
      <w:pPr>
        <w:ind w:left="1500" w:right="100" w:hanging="743"/>
        <w:spacing w:after="0" w:line="246" w:lineRule="auto"/>
        <w:tabs>
          <w:tab w:leader="none" w:pos="15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Section 7(b) and whether and to what extent the Shares of Restricted Stock awarded hereby shall be forfeited by Participant and/or a Participant shall be required to repay an amount pursuant to Section 7(c). The Committee shall have the authority to suspend the payment, delivery or settlement of all or any portion of such Participant’s outstanding Shares of Restricted Stock pending an investigation of a bona fide dispute regarding Participant’s eligibility to receive a payment under the terms of this Agreement as determined by the Committee in good faith.</w:t>
      </w:r>
    </w:p>
    <w:p>
      <w:pPr>
        <w:spacing w:after="0" w:line="184" w:lineRule="exact"/>
        <w:rPr>
          <w:rFonts w:ascii="Times New Roman" w:cs="Times New Roman" w:eastAsia="Times New Roman" w:hAnsi="Times New Roman"/>
          <w:sz w:val="21"/>
          <w:szCs w:val="21"/>
          <w:color w:val="auto"/>
        </w:rPr>
      </w:pPr>
    </w:p>
    <w:p>
      <w:pPr>
        <w:ind w:left="1500" w:hanging="743"/>
        <w:spacing w:after="0" w:line="251" w:lineRule="auto"/>
        <w:tabs>
          <w:tab w:leader="none" w:pos="150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Section 7 are entered into in consideration of, and as a material inducement to, the agreements by the Company herein as well as an inducement for the Company to enter into this Agreement, and that, but for Participant’s agreement to the provisions of this Section 7, the Company would not have entered into this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Incentive Award is also subject to the provisions on forfeiture events and clawbacks set forth in Article 21 of the Plan.</w:t>
      </w:r>
    </w:p>
    <w:p>
      <w:pPr>
        <w:spacing w:after="0" w:line="21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8.</w:t>
      </w:r>
      <w:r>
        <w:rPr>
          <w:sz w:val="20"/>
          <w:szCs w:val="20"/>
          <w:color w:val="auto"/>
        </w:rPr>
        <w:tab/>
      </w:r>
      <w:r>
        <w:rPr>
          <w:rFonts w:ascii="Times New Roman" w:cs="Times New Roman" w:eastAsia="Times New Roman" w:hAnsi="Times New Roman"/>
          <w:sz w:val="20"/>
          <w:szCs w:val="20"/>
          <w:b w:val="1"/>
          <w:bCs w:val="1"/>
          <w:color w:val="auto"/>
        </w:rPr>
        <w:t>Transferability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120" w:firstLine="414"/>
        <w:spacing w:after="0" w:line="245" w:lineRule="auto"/>
        <w:rPr>
          <w:sz w:val="20"/>
          <w:szCs w:val="20"/>
          <w:color w:val="auto"/>
        </w:rPr>
      </w:pPr>
      <w:r>
        <w:rPr>
          <w:rFonts w:ascii="Times New Roman" w:cs="Times New Roman" w:eastAsia="Times New Roman" w:hAnsi="Times New Roman"/>
          <w:sz w:val="21"/>
          <w:szCs w:val="21"/>
          <w:color w:val="auto"/>
        </w:rPr>
        <w:t>This Restricted Stock is not transferable by the Participant, whether voluntarily or involuntarily, by operation of laws or otherwise, during the Restriction Period, except as provided in the Plan. If any assessment, pledge, transfer, or other disposition, voluntary or involuntary, of this Restricted Stock shall be made, or if any attachment, execution, garnishment, or claim shall be issued against or placed upon the Restricted Stock, then the Participant’s right to the Restricted Stock shall immediately cease and terminate and the Participant shall promptly forfeit to the Company all Restricted Stock awarded under this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1"/>
          <w:szCs w:val="21"/>
          <w:b w:val="1"/>
          <w:bCs w:val="1"/>
          <w:color w:val="auto"/>
        </w:rPr>
        <w:t>Article 9.  Tax Withholding</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right="340" w:firstLine="414"/>
        <w:spacing w:after="0" w:line="247" w:lineRule="auto"/>
        <w:rPr>
          <w:sz w:val="20"/>
          <w:szCs w:val="20"/>
          <w:color w:val="auto"/>
        </w:rPr>
      </w:pPr>
      <w:r>
        <w:rPr>
          <w:rFonts w:ascii="Times New Roman" w:cs="Times New Roman" w:eastAsia="Times New Roman" w:hAnsi="Times New Roman"/>
          <w:sz w:val="21"/>
          <w:szCs w:val="21"/>
          <w:color w:val="auto"/>
        </w:rPr>
        <w:t>Neither the Company nor any of its Affiliates shall be liable or responsible in any way for the tax consequences relating to the award of shares of Restricted Stock and its vesting. The Participant agrees to determine and be responsible for any and all tax consequences to the Participant relating to the award and vesting of Restricted Stock hereunder. If the Company is obligated to withhold an amount on account of any tax imposed as a result of the vesting of shares of Restricted Stock, the provisions of Section 19.2 of the Plan regarding the satisfaction of tax withholding obligations shall apply (including any required payments by the Participant).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Administration</w:t>
      </w:r>
    </w:p>
    <w:p>
      <w:pPr>
        <w:spacing w:after="0" w:line="247"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4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11.</w:t>
      </w:r>
      <w:r>
        <w:rPr>
          <w:sz w:val="20"/>
          <w:szCs w:val="20"/>
          <w:color w:val="auto"/>
        </w:rPr>
        <w:tab/>
      </w:r>
      <w:r>
        <w:rPr>
          <w:rFonts w:ascii="Times New Roman" w:cs="Times New Roman" w:eastAsia="Times New Roman" w:hAnsi="Times New Roman"/>
          <w:sz w:val="20"/>
          <w:szCs w:val="20"/>
          <w:b w:val="1"/>
          <w:bCs w:val="1"/>
          <w:color w:val="auto"/>
        </w:rPr>
        <w:t>Requirements of Law</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right="140" w:firstLine="414"/>
        <w:spacing w:after="0" w:line="270" w:lineRule="auto"/>
        <w:rPr>
          <w:sz w:val="20"/>
          <w:szCs w:val="20"/>
          <w:color w:val="auto"/>
        </w:rPr>
      </w:pPr>
      <w:r>
        <w:rPr>
          <w:rFonts w:ascii="Times New Roman" w:cs="Times New Roman" w:eastAsia="Times New Roman" w:hAnsi="Times New Roman"/>
          <w:sz w:val="21"/>
          <w:szCs w:val="21"/>
          <w:color w:val="auto"/>
        </w:rPr>
        <w:t>The issuance of Shares under the Plan shall be subject to all applicable laws, rules, and regulations, and to such approvals by any governmental agencies or national securities exchanges as may be required.</w:t>
      </w:r>
    </w:p>
    <w:p>
      <w:pPr>
        <w:spacing w:after="0" w:line="18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b w:val="1"/>
          <w:bCs w:val="1"/>
          <w:color w:val="auto"/>
        </w:rPr>
        <w:t>Article 12.</w:t>
      </w:r>
      <w:r>
        <w:rPr>
          <w:sz w:val="20"/>
          <w:szCs w:val="20"/>
          <w:color w:val="auto"/>
        </w:rPr>
        <w:tab/>
      </w:r>
      <w:r>
        <w:rPr>
          <w:rFonts w:ascii="Times New Roman" w:cs="Times New Roman" w:eastAsia="Times New Roman" w:hAnsi="Times New Roman"/>
          <w:sz w:val="20"/>
          <w:szCs w:val="20"/>
          <w:b w:val="1"/>
          <w:bCs w:val="1"/>
          <w:color w:val="auto"/>
        </w:rPr>
        <w:t>Inability to Obtain Authorization</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ind w:firstLine="414"/>
        <w:spacing w:after="0" w:line="255" w:lineRule="auto"/>
        <w:rPr>
          <w:sz w:val="20"/>
          <w:szCs w:val="20"/>
          <w:color w:val="auto"/>
        </w:rPr>
      </w:pPr>
      <w:r>
        <w:rPr>
          <w:rFonts w:ascii="Times New Roman" w:cs="Times New Roman" w:eastAsia="Times New Roman" w:hAnsi="Times New Roman"/>
          <w:sz w:val="21"/>
          <w:szCs w:val="21"/>
          <w:color w:val="auto"/>
        </w:rPr>
        <w:t>The inability of the Company to obtain authority from any regulatory body having jurisdiction, which authority is deemed by the Company’s counsel to be necessary to the lawful issuance of any Shares hereunder, shall relieve the Company of any liability in respect of the failure to issue such Shares as to which such requisite authority shall not have been obtained.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Miscellaneous</w:t>
      </w:r>
    </w:p>
    <w:p>
      <w:pPr>
        <w:spacing w:after="0" w:line="247" w:lineRule="exact"/>
        <w:rPr>
          <w:sz w:val="20"/>
          <w:szCs w:val="20"/>
          <w:color w:val="auto"/>
        </w:rPr>
      </w:pPr>
    </w:p>
    <w:p>
      <w:pPr>
        <w:ind w:left="800" w:hanging="418"/>
        <w:spacing w:after="0"/>
        <w:tabs>
          <w:tab w:leader="none" w:pos="80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w:t>
      </w:r>
    </w:p>
    <w:p>
      <w:pPr>
        <w:spacing w:after="0" w:line="25" w:lineRule="exact"/>
        <w:rPr>
          <w:rFonts w:ascii="Times New Roman" w:cs="Times New Roman" w:eastAsia="Times New Roman" w:hAnsi="Times New Roman"/>
          <w:sz w:val="21"/>
          <w:szCs w:val="21"/>
          <w:color w:val="auto"/>
        </w:rPr>
      </w:pPr>
    </w:p>
    <w:p>
      <w:pPr>
        <w:ind w:left="1140"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12" w:lineRule="exact"/>
        <w:rPr>
          <w:rFonts w:ascii="Times New Roman" w:cs="Times New Roman" w:eastAsia="Times New Roman" w:hAnsi="Times New Roman"/>
          <w:sz w:val="21"/>
          <w:szCs w:val="21"/>
          <w:color w:val="auto"/>
        </w:rPr>
      </w:pPr>
    </w:p>
    <w:p>
      <w:pPr>
        <w:jc w:val="right"/>
        <w:ind w:left="1140" w:right="240" w:hanging="758"/>
        <w:spacing w:after="0" w:line="266" w:lineRule="auto"/>
        <w:tabs>
          <w:tab w:leader="none" w:pos="80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approval of the Board, the Committee may terminate, amend, or modify the Plan; provided, however, that no such termination, amendment, or modification of the Plan may in any way adversely affect the Participant’s rights under this</w:t>
      </w:r>
    </w:p>
    <w:p>
      <w:pPr>
        <w:ind w:left="1140"/>
        <w:spacing w:after="0" w:line="238" w:lineRule="auto"/>
        <w:rPr>
          <w:sz w:val="20"/>
          <w:szCs w:val="20"/>
          <w:color w:val="auto"/>
        </w:rPr>
      </w:pPr>
      <w:r>
        <w:rPr>
          <w:rFonts w:ascii="Times New Roman" w:cs="Times New Roman" w:eastAsia="Times New Roman" w:hAnsi="Times New Roman"/>
          <w:sz w:val="21"/>
          <w:szCs w:val="21"/>
          <w:color w:val="auto"/>
        </w:rPr>
        <w:t>Agreement without the Participant’s written consent, except as required by law.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31" w:name="page232"/>
    <w:bookmarkEnd w:id="231"/>
    <w:p>
      <w:pPr>
        <w:ind w:left="1140" w:right="380" w:hanging="758"/>
        <w:spacing w:after="0" w:line="270" w:lineRule="auto"/>
        <w:tabs>
          <w:tab w:leader="none" w:pos="8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140" w:right="100" w:hanging="758"/>
        <w:spacing w:after="0" w:line="270" w:lineRule="auto"/>
        <w:tabs>
          <w:tab w:leader="none" w:pos="8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preempted by federal law, this Agreement shall be governed by, and construed in accordance with, the laws of the State of South Dakota.</w:t>
      </w:r>
    </w:p>
    <w:p>
      <w:pPr>
        <w:spacing w:after="0" w:line="185" w:lineRule="exact"/>
        <w:rPr>
          <w:rFonts w:ascii="Times New Roman" w:cs="Times New Roman" w:eastAsia="Times New Roman" w:hAnsi="Times New Roman"/>
          <w:sz w:val="21"/>
          <w:szCs w:val="21"/>
          <w:color w:val="auto"/>
        </w:rPr>
      </w:pPr>
    </w:p>
    <w:p>
      <w:pPr>
        <w:ind w:left="1140" w:right="200" w:hanging="758"/>
        <w:spacing w:after="0" w:line="270" w:lineRule="auto"/>
        <w:tabs>
          <w:tab w:leader="none" w:pos="8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awards received by Participant are subject to the provisions of the Stock Ownership Guidelines approved by the Board of Directors.</w:t>
      </w:r>
    </w:p>
    <w:p>
      <w:pPr>
        <w:spacing w:after="0" w:line="185" w:lineRule="exact"/>
        <w:rPr>
          <w:rFonts w:ascii="Times New Roman" w:cs="Times New Roman" w:eastAsia="Times New Roman" w:hAnsi="Times New Roman"/>
          <w:sz w:val="21"/>
          <w:szCs w:val="21"/>
          <w:color w:val="auto"/>
        </w:rPr>
      </w:pPr>
    </w:p>
    <w:p>
      <w:pPr>
        <w:ind w:left="1140" w:right="920" w:hanging="758"/>
        <w:spacing w:after="0" w:line="270" w:lineRule="auto"/>
        <w:tabs>
          <w:tab w:leader="none" w:pos="8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140" w:hanging="758"/>
        <w:spacing w:after="0" w:line="255" w:lineRule="auto"/>
        <w:tabs>
          <w:tab w:leader="none" w:pos="805"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 Hills Corporation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Jennifer C. Landis – Senior Vice President –</w:t>
      </w:r>
    </w:p>
    <w:p>
      <w:pPr>
        <w:spacing w:after="0"/>
        <w:rPr>
          <w:sz w:val="20"/>
          <w:szCs w:val="20"/>
          <w:color w:val="auto"/>
        </w:rPr>
      </w:pPr>
      <w:r>
        <w:rPr>
          <w:rFonts w:ascii="Times New Roman" w:cs="Times New Roman" w:eastAsia="Times New Roman" w:hAnsi="Times New Roman"/>
          <w:sz w:val="21"/>
          <w:szCs w:val="21"/>
          <w:color w:val="auto"/>
        </w:rPr>
        <w:t>Chief Human Resources Officer</w:t>
      </w: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232" w:name="page233"/>
    <w:bookmarkEnd w:id="232"/>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2022</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800" w:type="dxa"/>
            <w:vAlign w:val="bottom"/>
            <w:tcBorders>
              <w:top w:val="single" w:sz="8" w:color="auto"/>
              <w:left w:val="single" w:sz="8" w:color="auto"/>
              <w:right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6"/>
                <w:szCs w:val="16"/>
                <w:b w:val="1"/>
                <w:bCs w:val="1"/>
                <w:color w:val="auto"/>
              </w:rPr>
              <w:t>Subsidiary Name</w:t>
            </w:r>
          </w:p>
        </w:tc>
        <w:tc>
          <w:tcPr>
            <w:tcW w:w="362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6"/>
                <w:szCs w:val="16"/>
                <w:b w:val="1"/>
                <w:bCs w:val="1"/>
                <w:color w:val="auto"/>
              </w:rPr>
              <w:t>State of Origin</w:t>
            </w:r>
          </w:p>
        </w:tc>
      </w:tr>
      <w:tr>
        <w:trPr>
          <w:trHeight w:val="72"/>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78"/>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Electric,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Gas,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IPP,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Wind,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Generation,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Parent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Arkansas,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Arkansas</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Renewable Resources,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Services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Exploration and Production,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Parent Holdings II,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Resources,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Hills/Iowa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Hills/Kansas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Kansas</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Nebraska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Non-regulated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Plateau Production,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Power,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Service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Shoshone Pipeline,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Utility Holdings,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Cheyenne Light, Fuel and Power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Mallon Oil Company, Sucursal Costa Rica</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Costa Rica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N780BH,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Northern Iowa Windpower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Rocky Mountain Natural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Wyodak Resources Development Corp.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bl>
    <w:p>
      <w:pPr>
        <w:spacing w:after="0" w:line="175" w:lineRule="exact"/>
        <w:rPr>
          <w:sz w:val="20"/>
          <w:szCs w:val="20"/>
          <w:color w:val="auto"/>
        </w:rPr>
      </w:pPr>
    </w:p>
    <w:p>
      <w:pPr>
        <w:ind w:left="120" w:hanging="112"/>
        <w:spacing w:after="0"/>
        <w:tabs>
          <w:tab w:leader="none" w:pos="1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6"/>
          <w:szCs w:val="16"/>
          <w:b w:val="1"/>
          <w:bCs w:val="1"/>
          <w:color w:val="auto"/>
        </w:rPr>
        <w:t>Exhibit 23.1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Nos. 333-240320 and 333-240319 on Form S-3 and Registration Statement Nos. 333-170451, 333-217679, 333-170448, 333-170452, and 333-203714 on Form S-8 of our reports dated February 14, 2023,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57785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73" w:lineRule="exact"/>
        <w:rPr>
          <w:sz w:val="20"/>
          <w:szCs w:val="20"/>
          <w:color w:val="auto"/>
        </w:rPr>
      </w:pPr>
    </w:p>
    <w:p>
      <w:pPr>
        <w:ind w:left="860" w:hanging="804"/>
        <w:spacing w:after="0"/>
        <w:tabs>
          <w:tab w:leader="none" w:pos="8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83"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860" w:right="220" w:hanging="804"/>
        <w:spacing w:after="0" w:line="256" w:lineRule="auto"/>
        <w:tabs>
          <w:tab w:leader="none" w:pos="8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67"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3"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2023</w:t>
      </w:r>
    </w:p>
    <w:p>
      <w:pPr>
        <w:spacing w:after="0" w:line="11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3831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73" w:lineRule="exact"/>
        <w:rPr>
          <w:sz w:val="20"/>
          <w:szCs w:val="20"/>
          <w:color w:val="auto"/>
        </w:rPr>
      </w:pPr>
    </w:p>
    <w:p>
      <w:pPr>
        <w:ind w:left="860" w:hanging="804"/>
        <w:spacing w:after="0"/>
        <w:tabs>
          <w:tab w:leader="none" w:pos="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83"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860" w:right="220" w:hanging="804"/>
        <w:spacing w:after="0" w:line="256" w:lineRule="auto"/>
        <w:tabs>
          <w:tab w:leader="none" w:pos="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67"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3"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2023</w:t>
      </w:r>
    </w:p>
    <w:p>
      <w:pPr>
        <w:spacing w:after="0" w:line="11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8543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Richard W. Kinzley</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2022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98" w:lineRule="exact"/>
        <w:rPr>
          <w:sz w:val="20"/>
          <w:szCs w:val="20"/>
          <w:color w:val="auto"/>
        </w:rPr>
      </w:pPr>
    </w:p>
    <w:p>
      <w:pPr>
        <w:ind w:left="1640" w:hanging="788"/>
        <w:spacing w:after="0"/>
        <w:tabs>
          <w:tab w:leader="none" w:pos="16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2023</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46355</wp:posOffset>
            </wp:positionV>
            <wp:extent cx="23831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2022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98" w:lineRule="exact"/>
        <w:rPr>
          <w:sz w:val="20"/>
          <w:szCs w:val="20"/>
          <w:color w:val="auto"/>
        </w:rPr>
      </w:pPr>
    </w:p>
    <w:p>
      <w:pPr>
        <w:ind w:left="1640" w:hanging="788"/>
        <w:spacing w:after="0"/>
        <w:tabs>
          <w:tab w:leader="none" w:pos="16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14, 2023</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46355</wp:posOffset>
            </wp:positionV>
            <wp:extent cx="28460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Richard W. Kinzley</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2022.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760" w:right="120" w:hanging="378"/>
        <w:spacing w:after="0" w:line="256" w:lineRule="auto"/>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760" w:right="240" w:hanging="378"/>
        <w:spacing w:after="0" w:line="256" w:lineRule="auto"/>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1"/>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twelve months ended December 31, 2022 and legal actions pending before the Federal Mine Safety and Health Review Commission, together with the Administrative Law Judges thereof, for BHE – Wyodak Mine, our only mining complex. All citations were abated within 24 hours of issue.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Section 104</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S&amp;S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Citations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Received</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during</w:t>
            </w:r>
          </w:p>
        </w:tc>
        <w:tc>
          <w:tcPr>
            <w:tcW w:w="80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88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220" w:type="dxa"/>
            <w:vAlign w:val="bottom"/>
          </w:tcPr>
          <w:p>
            <w:pPr>
              <w:spacing w:after="0"/>
              <w:rPr>
                <w:sz w:val="4"/>
                <w:szCs w:val="4"/>
                <w:color w:val="auto"/>
              </w:rPr>
            </w:pP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Total Dollar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Notice of</w:t>
            </w:r>
          </w:p>
        </w:tc>
        <w:tc>
          <w:tcPr>
            <w:tcW w:w="880" w:type="dxa"/>
            <w:vAlign w:val="bottom"/>
            <w:vMerge w:val="continue"/>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4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80" w:type="dxa"/>
            <w:vAlign w:val="bottom"/>
            <w:vMerge w:val="continue"/>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Actions</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twelve</w:t>
            </w:r>
          </w:p>
        </w:tc>
        <w:tc>
          <w:tcPr>
            <w:tcW w:w="80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104(d)</w:t>
            </w:r>
          </w:p>
        </w:tc>
        <w:tc>
          <w:tcPr>
            <w:tcW w:w="88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107(a)</w:t>
            </w:r>
          </w:p>
        </w:tc>
        <w:tc>
          <w:tcPr>
            <w:tcW w:w="22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9"/>
              </w:rPr>
              <w:t>Value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Potential to</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Pending as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740" w:type="dxa"/>
            <w:vAlign w:val="bottom"/>
          </w:tcPr>
          <w:p>
            <w:pPr>
              <w:jc w:val="center"/>
              <w:ind w:left="13"/>
              <w:spacing w:after="0"/>
              <w:rPr>
                <w:sz w:val="20"/>
                <w:szCs w:val="20"/>
                <w:color w:val="auto"/>
              </w:rPr>
            </w:pPr>
            <w:r>
              <w:rPr>
                <w:rFonts w:ascii="Arial" w:cs="Arial" w:eastAsia="Arial" w:hAnsi="Arial"/>
                <w:sz w:val="13"/>
                <w:szCs w:val="13"/>
                <w:b w:val="1"/>
                <w:bCs w:val="1"/>
                <w:color w:val="auto"/>
              </w:rPr>
              <w:t>Actions</w:t>
            </w:r>
          </w:p>
        </w:tc>
        <w:tc>
          <w:tcPr>
            <w:tcW w:w="0" w:type="dxa"/>
            <w:vAlign w:val="bottom"/>
          </w:tcPr>
          <w:p>
            <w:pPr>
              <w:spacing w:after="0"/>
              <w:rPr>
                <w:sz w:val="1"/>
                <w:szCs w:val="1"/>
                <w:color w:val="auto"/>
              </w:rPr>
            </w:pPr>
          </w:p>
        </w:tc>
      </w:tr>
      <w:tr>
        <w:trPr>
          <w:trHeight w:val="153"/>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months</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Citations</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Imminent</w:t>
            </w:r>
          </w:p>
        </w:tc>
        <w:tc>
          <w:tcPr>
            <w:tcW w:w="220" w:type="dxa"/>
            <w:vAlign w:val="bottom"/>
          </w:tcPr>
          <w:p>
            <w:pPr>
              <w:spacing w:after="0"/>
              <w:rPr>
                <w:sz w:val="13"/>
                <w:szCs w:val="13"/>
                <w:color w:val="auto"/>
              </w:rPr>
            </w:pPr>
          </w:p>
        </w:tc>
        <w:tc>
          <w:tcPr>
            <w:tcW w:w="10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rPr>
              <w:t>Proposed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Mining</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Have Pattern</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of Last Day</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Initiated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Resolved</w:t>
            </w: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104(b)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110(b)(2)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Danger</w:t>
            </w:r>
          </w:p>
        </w:tc>
        <w:tc>
          <w:tcPr>
            <w:tcW w:w="220" w:type="dxa"/>
            <w:vAlign w:val="bottom"/>
          </w:tcPr>
          <w:p>
            <w:pPr>
              <w:spacing w:after="0"/>
              <w:rPr>
                <w:sz w:val="17"/>
                <w:szCs w:val="17"/>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rPr>
              <w:t>MSHA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Related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During</w:t>
            </w:r>
          </w:p>
        </w:tc>
        <w:tc>
          <w:tcPr>
            <w:tcW w:w="740" w:type="dxa"/>
            <w:vAlign w:val="bottom"/>
          </w:tcPr>
          <w:p>
            <w:pPr>
              <w:jc w:val="center"/>
              <w:ind w:left="53"/>
              <w:spacing w:after="0"/>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227"/>
        </w:trPr>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3"/>
              </w:rPr>
              <w:t>Violations</w:t>
            </w:r>
          </w:p>
        </w:tc>
        <w:tc>
          <w:tcPr>
            <w:tcW w:w="880" w:type="dxa"/>
            <w:vAlign w:val="bottom"/>
            <w:vMerge w:val="restart"/>
          </w:tcPr>
          <w:p>
            <w:pPr>
              <w:jc w:val="center"/>
              <w:ind w:left="9"/>
              <w:spacing w:after="0"/>
              <w:rPr>
                <w:sz w:val="20"/>
                <w:szCs w:val="20"/>
                <w:color w:val="auto"/>
              </w:rPr>
            </w:pPr>
            <w:r>
              <w:rPr>
                <w:rFonts w:ascii="Arial" w:cs="Arial" w:eastAsia="Arial" w:hAnsi="Arial"/>
                <w:sz w:val="13"/>
                <w:szCs w:val="13"/>
                <w:b w:val="1"/>
                <w:bCs w:val="1"/>
                <w:color w:val="auto"/>
                <w:w w:val="96"/>
              </w:rPr>
              <w:t>Orders (#)</w:t>
            </w:r>
          </w:p>
        </w:tc>
        <w:tc>
          <w:tcPr>
            <w:tcW w:w="122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Section 104(e)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40" w:type="dxa"/>
            <w:vAlign w:val="bottom"/>
            <w:vMerge w:val="restart"/>
          </w:tcPr>
          <w:p>
            <w:pPr>
              <w:jc w:val="center"/>
              <w:ind w:left="53"/>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2022</w:t>
            </w:r>
          </w:p>
        </w:tc>
        <w:tc>
          <w:tcPr>
            <w:tcW w:w="8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140" w:type="dxa"/>
            <w:vAlign w:val="bottom"/>
            <w:shd w:val="clear" w:color="auto" w:fill="CFF0FC"/>
          </w:tcPr>
          <w:p>
            <w:pPr>
              <w:ind w:left="60"/>
              <w:spacing w:after="0"/>
              <w:rPr>
                <w:sz w:val="20"/>
                <w:szCs w:val="20"/>
                <w:color w:val="auto"/>
              </w:rPr>
            </w:pPr>
            <w:r>
              <w:rPr>
                <w:rFonts w:ascii="Arial" w:cs="Arial" w:eastAsia="Arial" w:hAnsi="Arial"/>
                <w:sz w:val="14"/>
                <w:szCs w:val="14"/>
                <w:color w:val="auto"/>
              </w:rPr>
              <w:t>Wyodak Coal</w:t>
            </w:r>
          </w:p>
        </w:tc>
        <w:tc>
          <w:tcPr>
            <w:tcW w:w="9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Mine - 4800083</w:t>
            </w:r>
          </w:p>
        </w:tc>
        <w:tc>
          <w:tcPr>
            <w:tcW w:w="980" w:type="dxa"/>
            <w:vAlign w:val="bottom"/>
            <w:shd w:val="clear" w:color="auto" w:fill="CFF0FC"/>
          </w:tcPr>
          <w:p>
            <w:pPr>
              <w:jc w:val="right"/>
              <w:ind w:right="450"/>
              <w:spacing w:after="0"/>
              <w:rPr>
                <w:sz w:val="20"/>
                <w:szCs w:val="20"/>
                <w:color w:val="auto"/>
              </w:rPr>
            </w:pPr>
            <w:r>
              <w:rPr>
                <w:rFonts w:ascii="Arial" w:cs="Arial" w:eastAsia="Arial" w:hAnsi="Arial"/>
                <w:sz w:val="14"/>
                <w:szCs w:val="14"/>
                <w:color w:val="auto"/>
              </w:rPr>
              <w:t>0</w:t>
            </w:r>
          </w:p>
        </w:tc>
        <w:tc>
          <w:tcPr>
            <w:tcW w:w="800" w:type="dxa"/>
            <w:vAlign w:val="bottom"/>
            <w:shd w:val="clear" w:color="auto" w:fill="CFF0FC"/>
          </w:tcPr>
          <w:p>
            <w:pPr>
              <w:jc w:val="right"/>
              <w:ind w:right="290"/>
              <w:spacing w:after="0"/>
              <w:rPr>
                <w:sz w:val="20"/>
                <w:szCs w:val="20"/>
                <w:color w:val="auto"/>
              </w:rPr>
            </w:pPr>
            <w:r>
              <w:rPr>
                <w:rFonts w:ascii="Arial" w:cs="Arial" w:eastAsia="Arial" w:hAnsi="Arial"/>
                <w:sz w:val="14"/>
                <w:szCs w:val="14"/>
                <w:color w:val="auto"/>
              </w:rPr>
              <w:t>0</w:t>
            </w: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CFF0FC"/>
          </w:tcPr>
          <w:p>
            <w:pPr>
              <w:jc w:val="center"/>
              <w:ind w:left="9"/>
              <w:spacing w:after="0"/>
              <w:rPr>
                <w:sz w:val="20"/>
                <w:szCs w:val="20"/>
                <w:color w:val="auto"/>
              </w:rPr>
            </w:pPr>
            <w:r>
              <w:rPr>
                <w:rFonts w:ascii="Arial" w:cs="Arial" w:eastAsia="Arial" w:hAnsi="Arial"/>
                <w:sz w:val="14"/>
                <w:szCs w:val="14"/>
                <w:color w:val="auto"/>
              </w:rPr>
              <w:t>0</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2,657</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w:t>
            </w:r>
          </w:p>
        </w:tc>
        <w:tc>
          <w:tcPr>
            <w:tcW w:w="880" w:type="dxa"/>
            <w:vAlign w:val="bottom"/>
            <w:shd w:val="clear" w:color="auto" w:fill="CFF0FC"/>
          </w:tcPr>
          <w:p>
            <w:pPr>
              <w:jc w:val="right"/>
              <w:ind w:right="393"/>
              <w:spacing w:after="0"/>
              <w:rPr>
                <w:sz w:val="20"/>
                <w:szCs w:val="20"/>
                <w:color w:val="auto"/>
              </w:rPr>
            </w:pPr>
            <w:r>
              <w:rPr>
                <w:rFonts w:ascii="Arial" w:cs="Arial" w:eastAsia="Arial" w:hAnsi="Arial"/>
                <w:sz w:val="14"/>
                <w:szCs w:val="14"/>
                <w:color w:val="auto"/>
              </w:rPr>
              <w:t>0</w:t>
            </w:r>
          </w:p>
        </w:tc>
        <w:tc>
          <w:tcPr>
            <w:tcW w:w="760" w:type="dxa"/>
            <w:vAlign w:val="bottom"/>
            <w:shd w:val="clear" w:color="auto" w:fill="CFF0FC"/>
          </w:tcPr>
          <w:p>
            <w:pPr>
              <w:jc w:val="right"/>
              <w:ind w:right="333"/>
              <w:spacing w:after="0"/>
              <w:rPr>
                <w:sz w:val="20"/>
                <w:szCs w:val="20"/>
                <w:color w:val="auto"/>
              </w:rPr>
            </w:pPr>
            <w:r>
              <w:rPr>
                <w:rFonts w:ascii="Arial" w:cs="Arial" w:eastAsia="Arial" w:hAnsi="Arial"/>
                <w:sz w:val="14"/>
                <w:szCs w:val="14"/>
                <w:color w:val="auto"/>
              </w:rPr>
              <w:t>0</w:t>
            </w:r>
          </w:p>
        </w:tc>
        <w:tc>
          <w:tcPr>
            <w:tcW w:w="740" w:type="dxa"/>
            <w:vAlign w:val="bottom"/>
            <w:shd w:val="clear" w:color="auto" w:fill="CFF0FC"/>
          </w:tcPr>
          <w:p>
            <w:pPr>
              <w:jc w:val="right"/>
              <w:ind w:right="27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w:t>
      </w:r>
    </w:p>
    <w:p>
      <w:pPr>
        <w:spacing w:after="0" w:line="7" w:lineRule="exact"/>
        <w:rPr>
          <w:sz w:val="20"/>
          <w:szCs w:val="20"/>
          <w:color w:val="auto"/>
        </w:rPr>
      </w:pPr>
    </w:p>
    <w:p>
      <w:pPr>
        <w:ind w:left="380" w:right="660" w:hanging="372"/>
        <w:spacing w:after="0" w:line="255" w:lineRule="auto"/>
        <w:tabs>
          <w:tab w:leader="none" w:pos="380" w:val="left"/>
        </w:tabs>
        <w:numPr>
          <w:ilvl w:val="0"/>
          <w:numId w:val="232"/>
        </w:numPr>
        <w:rPr>
          <w:rFonts w:ascii="Times New Roman" w:cs="Times New Roman" w:eastAsia="Times New Roman" w:hAnsi="Times New Roman"/>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9" w:name="page240"/>
    <w:bookmarkEnd w:id="2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1)"/>
      <w:numFmt w:val="lowerLetter"/>
      <w:start w:val="1"/>
    </w:lvl>
  </w:abstractNum>
  <w:abstractNum w:abstractNumId="3">
    <w:nsid w:val="69E373"/>
    <w:multiLevelType w:val="hybridMultilevel"/>
    <w:lvl w:ilvl="0">
      <w:lvlJc w:val="left"/>
      <w:lvlText w:val="(%1)"/>
      <w:numFmt w:val="lowerLetter"/>
      <w:start w:val="1"/>
    </w:lvl>
  </w:abstractNum>
  <w:abstractNum w:abstractNumId="4">
    <w:nsid w:val="2C27173B"/>
    <w:multiLevelType w:val="hybridMultilevel"/>
    <w:lvl w:ilvl="0">
      <w:lvlJc w:val="left"/>
      <w:lvlText w:val="(%1)"/>
      <w:numFmt w:val="lowerLetter"/>
      <w:start w:val="1"/>
    </w:lvl>
  </w:abstractNum>
  <w:abstractNum w:abstractNumId="5">
    <w:nsid w:val="4C9B0904"/>
    <w:multiLevelType w:val="hybridMultilevel"/>
    <w:lvl w:ilvl="0">
      <w:lvlJc w:val="left"/>
      <w:lvlText w:val="(%1)"/>
      <w:numFmt w:val="lowerLetter"/>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1)"/>
      <w:numFmt w:val="lowerLetter"/>
      <w:start w:val="1"/>
    </w:lvl>
  </w:abstractNum>
  <w:abstractNum w:abstractNumId="8">
    <w:nsid w:val="5675FF36"/>
    <w:multiLevelType w:val="hybridMultilevel"/>
    <w:lvl w:ilvl="0">
      <w:lvlJc w:val="left"/>
      <w:lvlText w:val="(%1)"/>
      <w:numFmt w:val="lowerLetter"/>
      <w:start w:val="1"/>
    </w:lvl>
  </w:abstractNum>
  <w:abstractNum w:abstractNumId="9">
    <w:nsid w:val="3DD15094"/>
    <w:multiLevelType w:val="hybridMultilevel"/>
    <w:lvl w:ilvl="0">
      <w:lvlJc w:val="left"/>
      <w:lvlText w:val="(%1)"/>
      <w:numFmt w:val="lowerLetter"/>
      <w:start w:val="1"/>
    </w:lvl>
  </w:abstractNum>
  <w:abstractNum w:abstractNumId="10">
    <w:nsid w:val="3DB012B3"/>
    <w:multiLevelType w:val="hybridMultilevel"/>
    <w:lvl w:ilvl="0">
      <w:lvlJc w:val="left"/>
      <w:lvlText w:val="(%1)"/>
      <w:numFmt w:val="lowerLetter"/>
      <w:start w:val="1"/>
    </w:lvl>
  </w:abstractNum>
  <w:abstractNum w:abstractNumId="11">
    <w:nsid w:val="2708C9AF"/>
    <w:multiLevelType w:val="hybridMultilevel"/>
    <w:lvl w:ilvl="0">
      <w:lvlJc w:val="left"/>
      <w:lvlText w:val="(%1)"/>
      <w:numFmt w:val="lowerLetter"/>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1)"/>
      <w:numFmt w:val="lowerLetter"/>
      <w:start w:val="1"/>
    </w:lvl>
  </w:abstractNum>
  <w:abstractNum w:abstractNumId="17">
    <w:nsid w:val="5915FF32"/>
    <w:multiLevelType w:val="hybridMultilevel"/>
    <w:lvl w:ilvl="0">
      <w:lvlJc w:val="left"/>
      <w:lvlText w:val="(%1)"/>
      <w:numFmt w:val="lowerLetter"/>
      <w:start w:val="1"/>
    </w:lvl>
  </w:abstractNum>
  <w:abstractNum w:abstractNumId="18">
    <w:nsid w:val="56438D15"/>
    <w:multiLevelType w:val="hybridMultilevel"/>
    <w:lvl w:ilvl="0">
      <w:lvlJc w:val="left"/>
      <w:lvlText w:val="(%1)"/>
      <w:numFmt w:val="lowerLetter"/>
      <w:start w:val="1"/>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
      <w:numFmt w:val="bullet"/>
      <w:start w:val="1"/>
    </w:lvl>
  </w:abstractNum>
  <w:abstractNum w:abstractNumId="24">
    <w:nsid w:val="5D888A08"/>
    <w:multiLevelType w:val="hybridMultilevel"/>
    <w:lvl w:ilvl="0">
      <w:lvlJc w:val="left"/>
      <w:lvlText w:val="•"/>
      <w:numFmt w:val="bullet"/>
      <w:start w:val="1"/>
    </w:lvl>
    <w:lvl w:ilvl="1">
      <w:lvlJc w:val="left"/>
      <w:lvlText w:val="•"/>
      <w:numFmt w:val="bullet"/>
      <w:start w:val="1"/>
    </w:lvl>
  </w:abstractNum>
  <w:abstractNum w:abstractNumId="25">
    <w:nsid w:val="2A082C70"/>
    <w:multiLevelType w:val="hybridMultilevel"/>
    <w:lvl w:ilvl="0">
      <w:lvlJc w:val="left"/>
      <w:lvlText w:val="•"/>
      <w:numFmt w:val="bullet"/>
      <w:start w:val="1"/>
    </w:lvl>
    <w:lvl w:ilvl="1">
      <w:lvlJc w:val="left"/>
      <w:lvlText w:val="•"/>
      <w:numFmt w:val="bullet"/>
      <w:start w:val="1"/>
    </w:lvl>
  </w:abstractNum>
  <w:abstractNum w:abstractNumId="26">
    <w:nsid w:val="5EC6AFD4"/>
    <w:multiLevelType w:val="hybridMultilevel"/>
    <w:lvl w:ilvl="0">
      <w:lvlJc w:val="left"/>
      <w:lvlText w:val="•"/>
      <w:numFmt w:val="bullet"/>
      <w:start w:val="1"/>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
      <w:numFmt w:val="bullet"/>
      <w:start w:val="1"/>
    </w:lvl>
  </w:abstractNum>
  <w:abstractNum w:abstractNumId="29">
    <w:nsid w:val="57A61A29"/>
    <w:multiLevelType w:val="hybridMultilevel"/>
    <w:lvl w:ilvl="0">
      <w:lvlJc w:val="left"/>
      <w:lvlText w:val="(%1)"/>
      <w:numFmt w:val="lowerLetter"/>
      <w:start w:val="1"/>
    </w:lvl>
  </w:abstractNum>
  <w:abstractNum w:abstractNumId="30">
    <w:nsid w:val="5399C654"/>
    <w:multiLevelType w:val="hybridMultilevel"/>
    <w:lvl w:ilvl="0">
      <w:lvlJc w:val="left"/>
      <w:lvlText w:val="(%1)"/>
      <w:numFmt w:val="lowerLetter"/>
      <w:start w:val="1"/>
    </w:lvl>
  </w:abstractNum>
  <w:abstractNum w:abstractNumId="31">
    <w:nsid w:val="20EE1348"/>
    <w:multiLevelType w:val="hybridMultilevel"/>
    <w:lvl w:ilvl="0">
      <w:lvlJc w:val="left"/>
      <w:lvlText w:val="(%1)"/>
      <w:numFmt w:val="lowerLetter"/>
      <w:start w:val="1"/>
    </w:lvl>
  </w:abstractNum>
  <w:abstractNum w:abstractNumId="32">
    <w:nsid w:val="4427069A"/>
    <w:multiLevelType w:val="hybridMultilevel"/>
    <w:lvl w:ilvl="0">
      <w:lvlJc w:val="left"/>
      <w:lvlText w:val="(%1)"/>
      <w:numFmt w:val="lowerLetter"/>
      <w:start w:val="1"/>
    </w:lvl>
  </w:abstractNum>
  <w:abstractNum w:abstractNumId="33">
    <w:nsid w:val="B37E80A"/>
    <w:multiLevelType w:val="hybridMultilevel"/>
    <w:lvl w:ilvl="0">
      <w:lvlJc w:val="left"/>
      <w:lvlText w:val="(%1)"/>
      <w:numFmt w:val="lowerLetter"/>
      <w:start w:val="1"/>
    </w:lvl>
  </w:abstractNum>
  <w:abstractNum w:abstractNumId="34">
    <w:nsid w:val="2157F6BC"/>
    <w:multiLevelType w:val="hybridMultilevel"/>
    <w:lvl w:ilvl="0">
      <w:lvlJc w:val="left"/>
      <w:lvlText w:val="(%1)"/>
      <w:numFmt w:val="lowerLetter"/>
      <w:start w:val="1"/>
    </w:lvl>
  </w:abstractNum>
  <w:abstractNum w:abstractNumId="35">
    <w:nsid w:val="704E1DD5"/>
    <w:multiLevelType w:val="hybridMultilevel"/>
    <w:lvl w:ilvl="0">
      <w:lvlJc w:val="left"/>
      <w:lvlText w:val="(%1)"/>
      <w:numFmt w:val="lowerLetter"/>
      <w:start w:val="1"/>
    </w:lvl>
  </w:abstractNum>
  <w:abstractNum w:abstractNumId="36">
    <w:nsid w:val="57D2F10E"/>
    <w:multiLevelType w:val="hybridMultilevel"/>
    <w:lvl w:ilvl="0">
      <w:lvlJc w:val="left"/>
      <w:lvlText w:val="(%1)"/>
      <w:numFmt w:val="lowerLetter"/>
      <w:start w:val="1"/>
    </w:lvl>
  </w:abstractNum>
  <w:abstractNum w:abstractNumId="37">
    <w:nsid w:val="BFFAE18"/>
    <w:multiLevelType w:val="hybridMultilevel"/>
    <w:lvl w:ilvl="0">
      <w:lvlJc w:val="left"/>
      <w:lvlText w:val="•"/>
      <w:numFmt w:val="bullet"/>
      <w:start w:val="1"/>
    </w:lvl>
  </w:abstractNum>
  <w:abstractNum w:abstractNumId="38">
    <w:nsid w:val="E3E47A8"/>
    <w:multiLevelType w:val="hybridMultilevel"/>
    <w:lvl w:ilvl="0">
      <w:lvlJc w:val="left"/>
      <w:lvlText w:val="(%1)"/>
      <w:numFmt w:val="lowerLetter"/>
      <w:start w:val="1"/>
    </w:lvl>
  </w:abstractNum>
  <w:abstractNum w:abstractNumId="39">
    <w:nsid w:val="2E48F044"/>
    <w:multiLevelType w:val="hybridMultilevel"/>
    <w:lvl w:ilvl="0">
      <w:lvlJc w:val="left"/>
      <w:lvlText w:val="(%1)"/>
      <w:numFmt w:val="lowerLetter"/>
      <w:start w:val="1"/>
    </w:lvl>
  </w:abstractNum>
  <w:abstractNum w:abstractNumId="40">
    <w:nsid w:val="49D0FEAC"/>
    <w:multiLevelType w:val="hybridMultilevel"/>
    <w:lvl w:ilvl="0">
      <w:lvlJc w:val="left"/>
      <w:lvlText w:val="•"/>
      <w:numFmt w:val="bullet"/>
      <w:start w:val="1"/>
    </w:lvl>
  </w:abstractNum>
  <w:abstractNum w:abstractNumId="41">
    <w:nsid w:val="4BEE5A5B"/>
    <w:multiLevelType w:val="hybridMultilevel"/>
    <w:lvl w:ilvl="0">
      <w:lvlJc w:val="left"/>
      <w:lvlText w:val="•"/>
      <w:numFmt w:val="bullet"/>
      <w:start w:val="1"/>
    </w:lvl>
  </w:abstractNum>
  <w:abstractNum w:abstractNumId="42">
    <w:nsid w:val="5551B9F3"/>
    <w:multiLevelType w:val="hybridMultilevel"/>
    <w:lvl w:ilvl="0">
      <w:lvlJc w:val="left"/>
      <w:lvlText w:val="(%1)"/>
      <w:numFmt w:val="decimal"/>
      <w:start w:val="1"/>
    </w:lvl>
  </w:abstractNum>
  <w:abstractNum w:abstractNumId="43">
    <w:nsid w:val="24F6AB8E"/>
    <w:multiLevelType w:val="hybridMultilevel"/>
    <w:lvl w:ilvl="0">
      <w:lvlJc w:val="left"/>
      <w:lvlText w:val="•"/>
      <w:numFmt w:val="bullet"/>
      <w:start w:val="1"/>
    </w:lvl>
  </w:abstractNum>
  <w:abstractNum w:abstractNumId="44">
    <w:nsid w:val="634C574C"/>
    <w:multiLevelType w:val="hybridMultilevel"/>
    <w:lvl w:ilvl="0">
      <w:lvlJc w:val="left"/>
      <w:lvlText w:val="(%1)"/>
      <w:numFmt w:val="lowerLetter"/>
      <w:start w:val="1"/>
    </w:lvl>
  </w:abstractNum>
  <w:abstractNum w:abstractNumId="45">
    <w:nsid w:val="24E99DD7"/>
    <w:multiLevelType w:val="hybridMultilevel"/>
    <w:lvl w:ilvl="0">
      <w:lvlJc w:val="left"/>
      <w:lvlText w:val="•"/>
      <w:numFmt w:val="bullet"/>
      <w:start w:val="1"/>
    </w:lvl>
  </w:abstractNum>
  <w:abstractNum w:abstractNumId="46">
    <w:nsid w:val="2A31B62D"/>
    <w:multiLevelType w:val="hybridMultilevel"/>
    <w:lvl w:ilvl="0">
      <w:lvlJc w:val="left"/>
      <w:lvlText w:val="•"/>
      <w:numFmt w:val="bullet"/>
      <w:start w:val="1"/>
    </w:lvl>
  </w:abstractNum>
  <w:abstractNum w:abstractNumId="47">
    <w:nsid w:val="1849C29B"/>
    <w:multiLevelType w:val="hybridMultilevel"/>
    <w:lvl w:ilvl="0">
      <w:lvlJc w:val="left"/>
      <w:lvlText w:val="(%1)"/>
      <w:numFmt w:val="lowerLetter"/>
      <w:start w:val="1"/>
    </w:lvl>
  </w:abstractNum>
  <w:abstractNum w:abstractNumId="48">
    <w:nsid w:val="7DFF9D09"/>
    <w:multiLevelType w:val="hybridMultilevel"/>
    <w:lvl w:ilvl="0">
      <w:lvlJc w:val="left"/>
      <w:lvlText w:val="(%1)"/>
      <w:numFmt w:val="decimal"/>
      <w:start w:val="3"/>
    </w:lvl>
  </w:abstractNum>
  <w:abstractNum w:abstractNumId="49">
    <w:nsid w:val="754342"/>
    <w:multiLevelType w:val="hybridMultilevel"/>
    <w:lvl w:ilvl="0">
      <w:lvlJc w:val="left"/>
      <w:lvlText w:val="(%1)"/>
      <w:numFmt w:val="lowerLetter"/>
      <w:start w:val="1"/>
    </w:lvl>
  </w:abstractNum>
  <w:abstractNum w:abstractNumId="50">
    <w:nsid w:val="69E7F3E5"/>
    <w:multiLevelType w:val="hybridMultilevel"/>
    <w:lvl w:ilvl="0">
      <w:lvlJc w:val="left"/>
      <w:lvlText w:val="(%1)"/>
      <w:numFmt w:val="decimal"/>
      <w:start w:val="5"/>
    </w:lvl>
  </w:abstractNum>
  <w:abstractNum w:abstractNumId="51">
    <w:nsid w:val="2A6DE806"/>
    <w:multiLevelType w:val="hybridMultilevel"/>
    <w:lvl w:ilvl="0">
      <w:lvlJc w:val="left"/>
      <w:lvlText w:val="(%1)"/>
      <w:numFmt w:val="lowerLetter"/>
      <w:start w:val="1"/>
    </w:lvl>
  </w:abstractNum>
  <w:abstractNum w:abstractNumId="52">
    <w:nsid w:val="1816F8C4"/>
    <w:multiLevelType w:val="hybridMultilevel"/>
    <w:lvl w:ilvl="0">
      <w:lvlJc w:val="left"/>
      <w:lvlText w:val="(%1)"/>
      <w:numFmt w:val="lowerLetter"/>
      <w:start w:val="1"/>
    </w:lvl>
  </w:abstractNum>
  <w:abstractNum w:abstractNumId="53">
    <w:nsid w:val="37DF2233"/>
    <w:multiLevelType w:val="hybridMultilevel"/>
    <w:lvl w:ilvl="0">
      <w:lvlJc w:val="left"/>
      <w:lvlText w:val="(%1)"/>
      <w:numFmt w:val="decimal"/>
      <w:start w:val="6"/>
    </w:lvl>
  </w:abstractNum>
  <w:abstractNum w:abstractNumId="54">
    <w:nsid w:val="7AB49DAF"/>
    <w:multiLevelType w:val="hybridMultilevel"/>
    <w:lvl w:ilvl="0">
      <w:lvlJc w:val="left"/>
      <w:lvlText w:val="(%1)"/>
      <w:numFmt w:val="lowerLetter"/>
      <w:start w:val="1"/>
    </w:lvl>
  </w:abstractNum>
  <w:abstractNum w:abstractNumId="55">
    <w:nsid w:val="759F82CD"/>
    <w:multiLevelType w:val="hybridMultilevel"/>
    <w:lvl w:ilvl="0">
      <w:lvlJc w:val="left"/>
      <w:lvlText w:val="(%1)"/>
      <w:numFmt w:val="decimal"/>
      <w:start w:val="7"/>
    </w:lvl>
  </w:abstractNum>
  <w:abstractNum w:abstractNumId="56">
    <w:nsid w:val="61E74EA3"/>
    <w:multiLevelType w:val="hybridMultilevel"/>
    <w:lvl w:ilvl="0">
      <w:lvlJc w:val="left"/>
      <w:lvlText w:val="(%1)"/>
      <w:numFmt w:val="lowerLetter"/>
      <w:start w:val="1"/>
    </w:lvl>
  </w:abstractNum>
  <w:abstractNum w:abstractNumId="57">
    <w:nsid w:val="597B4D84"/>
    <w:multiLevelType w:val="hybridMultilevel"/>
    <w:lvl w:ilvl="0">
      <w:lvlJc w:val="left"/>
      <w:lvlText w:val="(%1)"/>
      <w:numFmt w:val="decimal"/>
      <w:start w:val="8"/>
    </w:lvl>
  </w:abstractNum>
  <w:abstractNum w:abstractNumId="58">
    <w:nsid w:val="F819E7F"/>
    <w:multiLevelType w:val="hybridMultilevel"/>
    <w:lvl w:ilvl="0">
      <w:lvlJc w:val="left"/>
      <w:lvlText w:val="(%1)"/>
      <w:numFmt w:val="lowerLetter"/>
      <w:start w:val="1"/>
    </w:lvl>
  </w:abstractNum>
  <w:abstractNum w:abstractNumId="59">
    <w:nsid w:val="57C7D42D"/>
    <w:multiLevelType w:val="hybridMultilevel"/>
    <w:lvl w:ilvl="0">
      <w:lvlJc w:val="left"/>
      <w:lvlText w:val="(%1)"/>
      <w:numFmt w:val="lowerLetter"/>
      <w:start w:val="1"/>
    </w:lvl>
  </w:abstractNum>
  <w:abstractNum w:abstractNumId="60">
    <w:nsid w:val="312167AD"/>
    <w:multiLevelType w:val="hybridMultilevel"/>
    <w:lvl w:ilvl="0">
      <w:lvlJc w:val="left"/>
      <w:lvlText w:val="(%1)"/>
      <w:numFmt w:val="lowerLetter"/>
      <w:start w:val="1"/>
    </w:lvl>
  </w:abstractNum>
  <w:abstractNum w:abstractNumId="61">
    <w:nsid w:val="631B64D4"/>
    <w:multiLevelType w:val="hybridMultilevel"/>
    <w:lvl w:ilvl="0">
      <w:lvlJc w:val="left"/>
      <w:lvlText w:val="(%1)"/>
      <w:numFmt w:val="decimal"/>
      <w:start w:val="9"/>
    </w:lvl>
  </w:abstractNum>
  <w:abstractNum w:abstractNumId="62">
    <w:nsid w:val="78B5E776"/>
    <w:multiLevelType w:val="hybridMultilevel"/>
    <w:lvl w:ilvl="0">
      <w:lvlJc w:val="left"/>
      <w:lvlText w:val="•"/>
      <w:numFmt w:val="bullet"/>
      <w:start w:val="1"/>
    </w:lvl>
  </w:abstractNum>
  <w:abstractNum w:abstractNumId="63">
    <w:nsid w:val="75486E47"/>
    <w:multiLevelType w:val="hybridMultilevel"/>
    <w:lvl w:ilvl="0">
      <w:lvlJc w:val="left"/>
      <w:lvlText w:val="(%1)"/>
      <w:numFmt w:val="lowerLetter"/>
      <w:start w:val="1"/>
    </w:lvl>
  </w:abstractNum>
  <w:abstractNum w:abstractNumId="64">
    <w:nsid w:val="6E534CDE"/>
    <w:multiLevelType w:val="hybridMultilevel"/>
    <w:lvl w:ilvl="0">
      <w:lvlJc w:val="left"/>
      <w:lvlText w:val="(%1)"/>
      <w:numFmt w:val="decimal"/>
      <w:start w:val="10"/>
    </w:lvl>
  </w:abstractNum>
  <w:abstractNum w:abstractNumId="65">
    <w:nsid w:val="1A0DDE32"/>
    <w:multiLevelType w:val="hybridMultilevel"/>
    <w:lvl w:ilvl="0">
      <w:lvlJc w:val="left"/>
      <w:lvlText w:val="(%1)"/>
      <w:numFmt w:val="lowerLetter"/>
      <w:start w:val="1"/>
    </w:lvl>
  </w:abstractNum>
  <w:abstractNum w:abstractNumId="66">
    <w:nsid w:val="65968C1C"/>
    <w:multiLevelType w:val="hybridMultilevel"/>
    <w:lvl w:ilvl="0">
      <w:lvlJc w:val="left"/>
      <w:lvlText w:val="(%1)"/>
      <w:numFmt w:val="lowerLetter"/>
      <w:start w:val="1"/>
    </w:lvl>
  </w:abstractNum>
  <w:abstractNum w:abstractNumId="67">
    <w:nsid w:val="46263DEC"/>
    <w:multiLevelType w:val="hybridMultilevel"/>
    <w:lvl w:ilvl="0">
      <w:lvlJc w:val="left"/>
      <w:lvlText w:val="(%1)"/>
      <w:numFmt w:val="lowerLetter"/>
      <w:start w:val="1"/>
    </w:lvl>
  </w:abstractNum>
  <w:abstractNum w:abstractNumId="68">
    <w:nsid w:val="260D8C4A"/>
    <w:multiLevelType w:val="hybridMultilevel"/>
    <w:lvl w:ilvl="0">
      <w:lvlJc w:val="left"/>
      <w:lvlText w:val="(%1)"/>
      <w:numFmt w:val="decimal"/>
      <w:start w:val="11"/>
    </w:lvl>
  </w:abstractNum>
  <w:abstractNum w:abstractNumId="69">
    <w:nsid w:val="73D4D3C4"/>
    <w:multiLevelType w:val="hybridMultilevel"/>
    <w:lvl w:ilvl="0">
      <w:lvlJc w:val="left"/>
      <w:lvlText w:val="(%1)"/>
      <w:numFmt w:val="decimal"/>
      <w:start w:val="12"/>
    </w:lvl>
  </w:abstractNum>
  <w:abstractNum w:abstractNumId="70">
    <w:nsid w:val="746F2E30"/>
    <w:multiLevelType w:val="hybridMultilevel"/>
    <w:lvl w:ilvl="0">
      <w:lvlJc w:val="left"/>
      <w:lvlText w:val="(%1)"/>
      <w:numFmt w:val="lowerLetter"/>
      <w:start w:val="1"/>
    </w:lvl>
  </w:abstractNum>
  <w:abstractNum w:abstractNumId="71">
    <w:nsid w:val="6FDE8AF6"/>
    <w:multiLevelType w:val="hybridMultilevel"/>
    <w:lvl w:ilvl="0">
      <w:lvlJc w:val="left"/>
      <w:lvlText w:val="(%1)"/>
      <w:numFmt w:val="lowerLetter"/>
      <w:start w:val="1"/>
    </w:lvl>
  </w:abstractNum>
  <w:abstractNum w:abstractNumId="72">
    <w:nsid w:val="3FC32E20"/>
    <w:multiLevelType w:val="hybridMultilevel"/>
    <w:lvl w:ilvl="0">
      <w:lvlJc w:val="left"/>
      <w:lvlText w:val="(%1)"/>
      <w:numFmt w:val="lowerLetter"/>
      <w:start w:val="1"/>
    </w:lvl>
  </w:abstractNum>
  <w:abstractNum w:abstractNumId="73">
    <w:nsid w:val="49C0E823"/>
    <w:multiLevelType w:val="hybridMultilevel"/>
    <w:lvl w:ilvl="0">
      <w:lvlJc w:val="left"/>
      <w:lvlText w:val="(%1)"/>
      <w:numFmt w:val="decimal"/>
      <w:start w:val="14"/>
    </w:lvl>
  </w:abstractNum>
  <w:abstractNum w:abstractNumId="74">
    <w:nsid w:val="14D53685"/>
    <w:multiLevelType w:val="hybridMultilevel"/>
    <w:lvl w:ilvl="0">
      <w:lvlJc w:val="left"/>
      <w:lvlText w:val="(%1)"/>
      <w:numFmt w:val="lowerLetter"/>
      <w:start w:val="1"/>
    </w:lvl>
  </w:abstractNum>
  <w:abstractNum w:abstractNumId="75">
    <w:nsid w:val="230F856C"/>
    <w:multiLevelType w:val="hybridMultilevel"/>
    <w:lvl w:ilvl="0">
      <w:lvlJc w:val="left"/>
      <w:lvlText w:val="(%1)"/>
      <w:numFmt w:val="decimal"/>
      <w:start w:val="15"/>
    </w:lvl>
  </w:abstractNum>
  <w:abstractNum w:abstractNumId="76">
    <w:nsid w:val="6EAA85FB"/>
    <w:multiLevelType w:val="hybridMultilevel"/>
    <w:lvl w:ilvl="0">
      <w:lvlJc w:val="left"/>
      <w:lvlText w:val="(%1)"/>
      <w:numFmt w:val="lowerLetter"/>
      <w:start w:val="1"/>
    </w:lvl>
  </w:abstractNum>
  <w:abstractNum w:abstractNumId="77">
    <w:nsid w:val="3F06ECB2"/>
    <w:multiLevelType w:val="hybridMultilevel"/>
    <w:lvl w:ilvl="0">
      <w:lvlJc w:val="left"/>
      <w:lvlText w:val="(%1)"/>
      <w:numFmt w:val="lowerLetter"/>
      <w:start w:val="1"/>
    </w:lvl>
  </w:abstractNum>
  <w:abstractNum w:abstractNumId="78">
    <w:nsid w:val="3B594807"/>
    <w:multiLevelType w:val="hybridMultilevel"/>
    <w:lvl w:ilvl="0">
      <w:lvlJc w:val="left"/>
      <w:lvlText w:val="(%1)"/>
      <w:numFmt w:val="decimal"/>
      <w:start w:val="16"/>
    </w:lvl>
  </w:abstractNum>
  <w:abstractNum w:abstractNumId="79">
    <w:nsid w:val="6CAA2304"/>
    <w:multiLevelType w:val="hybridMultilevel"/>
    <w:lvl w:ilvl="0">
      <w:lvlJc w:val="left"/>
      <w:lvlText w:val="(%1)"/>
      <w:numFmt w:val="lowerLetter"/>
      <w:start w:val="1"/>
    </w:lvl>
  </w:abstractNum>
  <w:abstractNum w:abstractNumId="80">
    <w:nsid w:val="3F7C2FF4"/>
    <w:multiLevelType w:val="hybridMultilevel"/>
    <w:lvl w:ilvl="0">
      <w:lvlJc w:val="left"/>
      <w:lvlText w:val="(%1)"/>
      <w:numFmt w:val="decimal"/>
      <w:start w:val="17"/>
    </w:lvl>
  </w:abstractNum>
  <w:abstractNum w:abstractNumId="81">
    <w:nsid w:val="25413BEC"/>
    <w:multiLevelType w:val="hybridMultilevel"/>
    <w:lvl w:ilvl="0">
      <w:lvlJc w:val="left"/>
      <w:lvlText w:val="(%1)"/>
      <w:numFmt w:val="decimal"/>
      <w:start w:val="1"/>
    </w:lvl>
  </w:abstractNum>
  <w:abstractNum w:abstractNumId="82">
    <w:nsid w:val="17180B0B"/>
    <w:multiLevelType w:val="hybridMultilevel"/>
    <w:lvl w:ilvl="0">
      <w:lvlJc w:val="left"/>
      <w:lvlText w:val="(%1)"/>
      <w:numFmt w:val="lowerLetter"/>
      <w:start w:val="1"/>
    </w:lvl>
  </w:abstractNum>
  <w:abstractNum w:abstractNumId="83">
    <w:nsid w:val="579328B9"/>
    <w:multiLevelType w:val="hybridMultilevel"/>
    <w:lvl w:ilvl="0">
      <w:lvlJc w:val="left"/>
      <w:lvlText w:val="%1."/>
      <w:numFmt w:val="decimal"/>
      <w:start w:val="1"/>
    </w:lvl>
  </w:abstractNum>
  <w:abstractNum w:abstractNumId="84">
    <w:nsid w:val="5D205E20"/>
    <w:multiLevelType w:val="hybridMultilevel"/>
    <w:lvl w:ilvl="0">
      <w:lvlJc w:val="left"/>
      <w:lvlText w:val="%1."/>
      <w:numFmt w:val="decimal"/>
      <w:start w:val="2"/>
    </w:lvl>
  </w:abstractNum>
  <w:abstractNum w:abstractNumId="85">
    <w:nsid w:val="11CCA8BA"/>
    <w:multiLevelType w:val="hybridMultilevel"/>
    <w:lvl w:ilvl="0">
      <w:lvlJc w:val="left"/>
      <w:lvlText w:val="%1."/>
      <w:numFmt w:val="decimal"/>
      <w:start w:val="3"/>
    </w:lvl>
  </w:abstractNum>
  <w:abstractNum w:abstractNumId="86">
    <w:nsid w:val="4D32AB86"/>
    <w:multiLevelType w:val="hybridMultilevel"/>
    <w:lvl w:ilvl="0">
      <w:lvlJc w:val="left"/>
      <w:lvlText w:val="(%1)"/>
      <w:numFmt w:val="lowerLetter"/>
      <w:start w:val="1"/>
    </w:lvl>
  </w:abstractNum>
  <w:abstractNum w:abstractNumId="87">
    <w:nsid w:val="3F07ACC3"/>
    <w:multiLevelType w:val="hybridMultilevel"/>
    <w:lvl w:ilvl="0">
      <w:lvlJc w:val="left"/>
      <w:lvlText w:val="(%1)"/>
      <w:numFmt w:val="lowerLetter"/>
      <w:start w:val="4"/>
    </w:lvl>
  </w:abstractNum>
  <w:abstractNum w:abstractNumId="88">
    <w:nsid w:val="6B47F63E"/>
    <w:multiLevelType w:val="hybridMultilevel"/>
    <w:lvl w:ilvl="0">
      <w:lvlJc w:val="left"/>
      <w:lvlText w:val="(%1)"/>
      <w:numFmt w:val="lowerLetter"/>
      <w:start w:val="1"/>
    </w:lvl>
  </w:abstractNum>
  <w:abstractNum w:abstractNumId="89">
    <w:nsid w:val="5CB44A05"/>
    <w:multiLevelType w:val="hybridMultilevel"/>
    <w:lvl w:ilvl="0">
      <w:lvlJc w:val="left"/>
      <w:lvlText w:val="(%1)"/>
      <w:numFmt w:val="lowerLetter"/>
      <w:start w:val="2"/>
    </w:lvl>
  </w:abstractNum>
  <w:abstractNum w:abstractNumId="90">
    <w:nsid w:val="16CF80F1"/>
    <w:multiLevelType w:val="hybridMultilevel"/>
    <w:lvl w:ilvl="0">
      <w:lvlJc w:val="left"/>
      <w:lvlText w:val="(%1)"/>
      <w:numFmt w:val="lowerLetter"/>
      <w:start w:val="1"/>
    </w:lvl>
  </w:abstractNum>
  <w:abstractNum w:abstractNumId="91">
    <w:nsid w:val="1C695DEC"/>
    <w:multiLevelType w:val="hybridMultilevel"/>
    <w:lvl w:ilvl="0">
      <w:lvlJc w:val="left"/>
      <w:lvlText w:val="(%1)"/>
      <w:numFmt w:val="lowerLetter"/>
      <w:start w:val="1"/>
    </w:lvl>
  </w:abstractNum>
  <w:abstractNum w:abstractNumId="92">
    <w:nsid w:val="3FCFAED9"/>
    <w:multiLevelType w:val="hybridMultilevel"/>
    <w:lvl w:ilvl="0">
      <w:lvlJc w:val="left"/>
      <w:lvlText w:val="(%1)"/>
      <w:numFmt w:val="lowerLetter"/>
      <w:start w:val="1"/>
    </w:lvl>
  </w:abstractNum>
  <w:abstractNum w:abstractNumId="93">
    <w:nsid w:val="F856867"/>
    <w:multiLevelType w:val="hybridMultilevel"/>
    <w:lvl w:ilvl="0">
      <w:lvlJc w:val="left"/>
      <w:lvlText w:val="(%1)"/>
      <w:numFmt w:val="lowerLetter"/>
      <w:start w:val="2"/>
    </w:lvl>
    <w:lvl w:ilvl="1">
      <w:lvlJc w:val="left"/>
      <w:lvlText w:val="(%2)"/>
      <w:numFmt w:val="lowerRoman"/>
      <w:start w:val="1"/>
    </w:lvl>
  </w:abstractNum>
  <w:abstractNum w:abstractNumId="94">
    <w:nsid w:val="11B1CC33"/>
    <w:multiLevelType w:val="hybridMultilevel"/>
    <w:lvl w:ilvl="0">
      <w:lvlJc w:val="left"/>
      <w:lvlText w:val="(%1)"/>
      <w:numFmt w:val="lowerLetter"/>
      <w:start w:val="4"/>
    </w:lvl>
  </w:abstractNum>
  <w:abstractNum w:abstractNumId="95">
    <w:nsid w:val="2E22FBB7"/>
    <w:multiLevelType w:val="hybridMultilevel"/>
    <w:lvl w:ilvl="0">
      <w:lvlJc w:val="left"/>
      <w:lvlText w:val="(%1)"/>
      <w:numFmt w:val="lowerLetter"/>
      <w:start w:val="5"/>
    </w:lvl>
  </w:abstractNum>
  <w:abstractNum w:abstractNumId="96">
    <w:nsid w:val="29934699"/>
    <w:multiLevelType w:val="hybridMultilevel"/>
    <w:lvl w:ilvl="0">
      <w:lvlJc w:val="left"/>
      <w:lvlText w:val="(%1)"/>
      <w:numFmt w:val="lowerLetter"/>
      <w:start w:val="1"/>
    </w:lvl>
  </w:abstractNum>
  <w:abstractNum w:abstractNumId="97">
    <w:nsid w:val="77485850"/>
    <w:multiLevelType w:val="hybridMultilevel"/>
    <w:lvl w:ilvl="0">
      <w:lvlJc w:val="left"/>
      <w:lvlText w:val="(%1)"/>
      <w:numFmt w:val="lowerLetter"/>
      <w:start w:val="4"/>
    </w:lvl>
  </w:abstractNum>
  <w:abstractNum w:abstractNumId="98">
    <w:nsid w:val="744939A3"/>
    <w:multiLevelType w:val="hybridMultilevel"/>
    <w:lvl w:ilvl="0">
      <w:lvlJc w:val="left"/>
      <w:lvlText w:val="(%1)"/>
      <w:numFmt w:val="lowerLetter"/>
      <w:start w:val="1"/>
    </w:lvl>
  </w:abstractNum>
  <w:abstractNum w:abstractNumId="99">
    <w:nsid w:val="4FA0D2E3"/>
    <w:multiLevelType w:val="hybridMultilevel"/>
    <w:lvl w:ilvl="0">
      <w:lvlJc w:val="left"/>
      <w:lvlText w:val="(%1)"/>
      <w:numFmt w:val="lowerLetter"/>
      <w:start w:val="1"/>
    </w:lvl>
  </w:abstractNum>
  <w:abstractNum w:abstractNumId="100">
    <w:nsid w:val="6B1D2C14"/>
    <w:multiLevelType w:val="hybridMultilevel"/>
    <w:lvl w:ilvl="0">
      <w:lvlJc w:val="left"/>
      <w:lvlText w:val="(%1)"/>
      <w:numFmt w:val="lowerLetter"/>
      <w:start w:val="1"/>
    </w:lvl>
  </w:abstractNum>
  <w:abstractNum w:abstractNumId="101">
    <w:nsid w:val="68B867D3"/>
    <w:multiLevelType w:val="hybridMultilevel"/>
    <w:lvl w:ilvl="0">
      <w:lvlJc w:val="left"/>
      <w:lvlText w:val="(%1)"/>
      <w:numFmt w:val="lowerLetter"/>
      <w:start w:val="4"/>
    </w:lvl>
  </w:abstractNum>
  <w:abstractNum w:abstractNumId="102">
    <w:nsid w:val="3F7F5DD9"/>
    <w:multiLevelType w:val="hybridMultilevel"/>
    <w:lvl w:ilvl="0">
      <w:lvlJc w:val="left"/>
      <w:lvlText w:val="(%1)"/>
      <w:numFmt w:val="lowerLetter"/>
      <w:start w:val="1"/>
    </w:lvl>
  </w:abstractNum>
  <w:abstractNum w:abstractNumId="103">
    <w:nsid w:val="2AE05A34"/>
    <w:multiLevelType w:val="hybridMultilevel"/>
    <w:lvl w:ilvl="0">
      <w:lvlJc w:val="left"/>
      <w:lvlText w:val="(%1)"/>
      <w:numFmt w:val="lowerLetter"/>
      <w:start w:val="2"/>
    </w:lvl>
  </w:abstractNum>
  <w:abstractNum w:abstractNumId="104">
    <w:nsid w:val="32794FF7"/>
    <w:multiLevelType w:val="hybridMultilevel"/>
    <w:lvl w:ilvl="0">
      <w:lvlJc w:val="left"/>
      <w:lvlText w:val="(%1)"/>
      <w:numFmt w:val="lowerLetter"/>
      <w:start w:val="1"/>
    </w:lvl>
  </w:abstractNum>
  <w:abstractNum w:abstractNumId="105">
    <w:nsid w:val="5454945E"/>
    <w:multiLevelType w:val="hybridMultilevel"/>
    <w:lvl w:ilvl="0">
      <w:lvlJc w:val="left"/>
      <w:lvlText w:val="(%1)"/>
      <w:numFmt w:val="lowerLetter"/>
      <w:start w:val="3"/>
    </w:lvl>
  </w:abstractNum>
  <w:abstractNum w:abstractNumId="106">
    <w:nsid w:val="4DEFDFA0"/>
    <w:multiLevelType w:val="hybridMultilevel"/>
    <w:lvl w:ilvl="0">
      <w:lvlJc w:val="left"/>
      <w:lvlText w:val="(%1)"/>
      <w:numFmt w:val="lowerLetter"/>
      <w:start w:val="1"/>
    </w:lvl>
  </w:abstractNum>
  <w:abstractNum w:abstractNumId="107">
    <w:nsid w:val="2123D5F2"/>
    <w:multiLevelType w:val="hybridMultilevel"/>
    <w:lvl w:ilvl="0">
      <w:lvlJc w:val="left"/>
      <w:lvlText w:val="(%1)"/>
      <w:numFmt w:val="lowerLetter"/>
      <w:start w:val="1"/>
    </w:lvl>
  </w:abstractNum>
  <w:abstractNum w:abstractNumId="108">
    <w:nsid w:val="135B8110"/>
    <w:multiLevelType w:val="hybridMultilevel"/>
    <w:lvl w:ilvl="0">
      <w:lvlJc w:val="left"/>
      <w:lvlText w:val="(%1)"/>
      <w:numFmt w:val="lowerRoman"/>
      <w:start w:val="1"/>
    </w:lvl>
  </w:abstractNum>
  <w:abstractNum w:abstractNumId="109">
    <w:nsid w:val="94927A8"/>
    <w:multiLevelType w:val="hybridMultilevel"/>
    <w:lvl w:ilvl="0">
      <w:lvlJc w:val="left"/>
      <w:lvlText w:val="(%1)"/>
      <w:numFmt w:val="lowerRoman"/>
      <w:start w:val="4"/>
    </w:lvl>
  </w:abstractNum>
  <w:abstractNum w:abstractNumId="110">
    <w:nsid w:val="DCDF8F6"/>
    <w:multiLevelType w:val="hybridMultilevel"/>
    <w:lvl w:ilvl="0">
      <w:lvlJc w:val="left"/>
      <w:lvlText w:val="(%1)"/>
      <w:numFmt w:val="lowerLetter"/>
      <w:start w:val="1"/>
    </w:lvl>
  </w:abstractNum>
  <w:abstractNum w:abstractNumId="111">
    <w:nsid w:val="52D7B105"/>
    <w:multiLevelType w:val="hybridMultilevel"/>
    <w:lvl w:ilvl="0">
      <w:lvlJc w:val="left"/>
      <w:lvlText w:val="(%1)"/>
      <w:numFmt w:val="lowerLetter"/>
      <w:start w:val="1"/>
    </w:lvl>
  </w:abstractNum>
  <w:abstractNum w:abstractNumId="112">
    <w:nsid w:val="2E8A6394"/>
    <w:multiLevelType w:val="hybridMultilevel"/>
    <w:lvl w:ilvl="0">
      <w:lvlJc w:val="left"/>
      <w:lvlText w:val="(%1)"/>
      <w:numFmt w:val="lowerLetter"/>
      <w:start w:val="5"/>
    </w:lvl>
  </w:abstractNum>
  <w:abstractNum w:abstractNumId="113">
    <w:nsid w:val="24E60401"/>
    <w:multiLevelType w:val="hybridMultilevel"/>
    <w:lvl w:ilvl="0">
      <w:lvlJc w:val="left"/>
      <w:lvlText w:val="(%1)"/>
      <w:numFmt w:val="lowerLetter"/>
      <w:start w:val="1"/>
    </w:lvl>
  </w:abstractNum>
  <w:abstractNum w:abstractNumId="114">
    <w:nsid w:val="2A6AD9BE"/>
    <w:multiLevelType w:val="hybridMultilevel"/>
    <w:lvl w:ilvl="0">
      <w:lvlJc w:val="left"/>
      <w:lvlText w:val="(%1)"/>
      <w:numFmt w:val="lowerLetter"/>
      <w:start w:val="3"/>
    </w:lvl>
  </w:abstractNum>
  <w:abstractNum w:abstractNumId="115">
    <w:nsid w:val="BAAC1B4"/>
    <w:multiLevelType w:val="hybridMultilevel"/>
    <w:lvl w:ilvl="0">
      <w:lvlJc w:val="left"/>
      <w:lvlText w:val="(%1)"/>
      <w:numFmt w:val="lowerLetter"/>
      <w:start w:val="1"/>
    </w:lvl>
  </w:abstractNum>
  <w:abstractNum w:abstractNumId="116">
    <w:nsid w:val="36B2ACBC"/>
    <w:multiLevelType w:val="hybridMultilevel"/>
    <w:lvl w:ilvl="0">
      <w:lvlJc w:val="left"/>
      <w:lvlText w:val="(%1)"/>
      <w:numFmt w:val="lowerLetter"/>
      <w:start w:val="1"/>
    </w:lvl>
  </w:abstractNum>
  <w:abstractNum w:abstractNumId="117">
    <w:nsid w:val="779D8544"/>
    <w:multiLevelType w:val="hybridMultilevel"/>
    <w:lvl w:ilvl="0">
      <w:lvlJc w:val="left"/>
      <w:lvlText w:val="(%1)"/>
      <w:numFmt w:val="lowerLetter"/>
      <w:start w:val="1"/>
    </w:lvl>
  </w:abstractNum>
  <w:abstractNum w:abstractNumId="118">
    <w:nsid w:val="4AB26E78"/>
    <w:multiLevelType w:val="hybridMultilevel"/>
    <w:lvl w:ilvl="0">
      <w:lvlJc w:val="left"/>
      <w:lvlText w:val="(%1)"/>
      <w:numFmt w:val="lowerLetter"/>
      <w:start w:val="10"/>
    </w:lvl>
  </w:abstractNum>
  <w:abstractNum w:abstractNumId="119">
    <w:nsid w:val="21FAA2FA"/>
    <w:multiLevelType w:val="hybridMultilevel"/>
    <w:lvl w:ilvl="0">
      <w:lvlJc w:val="left"/>
      <w:lvlText w:val="(%1)"/>
      <w:numFmt w:val="lowerRoman"/>
      <w:start w:val="5"/>
    </w:lvl>
  </w:abstractNum>
  <w:abstractNum w:abstractNumId="120">
    <w:nsid w:val="5451CF49"/>
    <w:multiLevelType w:val="hybridMultilevel"/>
    <w:lvl w:ilvl="0">
      <w:lvlJc w:val="left"/>
      <w:lvlText w:val="(%1)"/>
      <w:numFmt w:val="lowerRoman"/>
      <w:start w:val="2"/>
    </w:lvl>
  </w:abstractNum>
  <w:abstractNum w:abstractNumId="121">
    <w:nsid w:val="6181EF69"/>
    <w:multiLevelType w:val="hybridMultilevel"/>
    <w:lvl w:ilvl="0">
      <w:lvlJc w:val="left"/>
      <w:lvlText w:val="(%1)"/>
      <w:numFmt w:val="lowerLetter"/>
      <w:start w:val="1"/>
    </w:lvl>
  </w:abstractNum>
  <w:abstractNum w:abstractNumId="122">
    <w:nsid w:val="3E6400E6"/>
    <w:multiLevelType w:val="hybridMultilevel"/>
    <w:lvl w:ilvl="0">
      <w:lvlJc w:val="left"/>
      <w:lvlText w:val="(%1)"/>
      <w:numFmt w:val="lowerLetter"/>
      <w:start w:val="7"/>
    </w:lvl>
  </w:abstractNum>
  <w:abstractNum w:abstractNumId="123">
    <w:nsid w:val="14217E23"/>
    <w:multiLevelType w:val="hybridMultilevel"/>
    <w:lvl w:ilvl="0">
      <w:lvlJc w:val="left"/>
      <w:lvlText w:val="(%1)"/>
      <w:numFmt w:val="lowerLetter"/>
      <w:start w:val="1"/>
    </w:lvl>
  </w:abstractNum>
  <w:abstractNum w:abstractNumId="124">
    <w:nsid w:val="710757D0"/>
    <w:multiLevelType w:val="hybridMultilevel"/>
    <w:lvl w:ilvl="0">
      <w:lvlJc w:val="left"/>
      <w:lvlText w:val="(%1)"/>
      <w:numFmt w:val="lowerLetter"/>
      <w:start w:val="2"/>
    </w:lvl>
  </w:abstractNum>
  <w:abstractNum w:abstractNumId="125">
    <w:nsid w:val="5015CD1A"/>
    <w:multiLevelType w:val="hybridMultilevel"/>
    <w:lvl w:ilvl="0">
      <w:lvlJc w:val="left"/>
      <w:lvlText w:val="(%1)"/>
      <w:numFmt w:val="lowerLetter"/>
      <w:start w:val="3"/>
    </w:lvl>
  </w:abstractNum>
  <w:abstractNum w:abstractNumId="126">
    <w:nsid w:val="424479DA"/>
    <w:multiLevelType w:val="hybridMultilevel"/>
    <w:lvl w:ilvl="0">
      <w:lvlJc w:val="left"/>
      <w:lvlText w:val="(%1)"/>
      <w:numFmt w:val="lowerLetter"/>
      <w:start w:val="1"/>
    </w:lvl>
  </w:abstractNum>
  <w:abstractNum w:abstractNumId="127">
    <w:nsid w:val="1A9A9E69"/>
    <w:multiLevelType w:val="hybridMultilevel"/>
    <w:lvl w:ilvl="0">
      <w:lvlJc w:val="left"/>
      <w:lvlText w:val="(%1)"/>
      <w:numFmt w:val="lowerLetter"/>
      <w:start w:val="1"/>
    </w:lvl>
  </w:abstractNum>
  <w:abstractNum w:abstractNumId="128">
    <w:nsid w:val="475E256A"/>
    <w:multiLevelType w:val="hybridMultilevel"/>
    <w:lvl w:ilvl="0">
      <w:lvlJc w:val="left"/>
      <w:lvlText w:val="(%1)"/>
      <w:numFmt w:val="lowerLetter"/>
      <w:start w:val="1"/>
    </w:lvl>
  </w:abstractNum>
  <w:abstractNum w:abstractNumId="129">
    <w:nsid w:val="368DB37E"/>
    <w:multiLevelType w:val="hybridMultilevel"/>
    <w:lvl w:ilvl="0">
      <w:lvlJc w:val="left"/>
      <w:lvlText w:val="%1."/>
      <w:numFmt w:val="decimal"/>
      <w:start w:val="1"/>
    </w:lvl>
  </w:abstractNum>
  <w:abstractNum w:abstractNumId="130">
    <w:nsid w:val="6A3B714C"/>
    <w:multiLevelType w:val="hybridMultilevel"/>
    <w:lvl w:ilvl="0">
      <w:lvlJc w:val="left"/>
      <w:lvlText w:val="%1."/>
      <w:numFmt w:val="decimal"/>
      <w:start w:val="2"/>
    </w:lvl>
  </w:abstractNum>
  <w:abstractNum w:abstractNumId="131">
    <w:nsid w:val="327B517E"/>
    <w:multiLevelType w:val="hybridMultilevel"/>
    <w:lvl w:ilvl="0">
      <w:lvlJc w:val="left"/>
      <w:lvlText w:val="(%1)"/>
      <w:numFmt w:val="lowerLetter"/>
      <w:start w:val="1"/>
    </w:lvl>
  </w:abstractNum>
  <w:abstractNum w:abstractNumId="132">
    <w:nsid w:val="1F461B51"/>
    <w:multiLevelType w:val="hybridMultilevel"/>
    <w:lvl w:ilvl="0">
      <w:lvlJc w:val="left"/>
      <w:lvlText w:val="(%1)"/>
      <w:numFmt w:val="lowerLetter"/>
      <w:start w:val="2"/>
    </w:lvl>
  </w:abstractNum>
  <w:abstractNum w:abstractNumId="133">
    <w:nsid w:val="29BACF25"/>
    <w:multiLevelType w:val="hybridMultilevel"/>
    <w:lvl w:ilvl="0">
      <w:lvlJc w:val="left"/>
      <w:lvlText w:val="(%1)"/>
      <w:numFmt w:val="lowerLetter"/>
      <w:start w:val="6"/>
    </w:lvl>
  </w:abstractNum>
  <w:abstractNum w:abstractNumId="134">
    <w:nsid w:val="5D5BABB3"/>
    <w:multiLevelType w:val="hybridMultilevel"/>
    <w:lvl w:ilvl="0">
      <w:lvlJc w:val="left"/>
      <w:lvlText w:val="%1."/>
      <w:numFmt w:val="decimal"/>
      <w:start w:val="3"/>
    </w:lvl>
  </w:abstractNum>
  <w:abstractNum w:abstractNumId="135">
    <w:nsid w:val="51BF6B48"/>
    <w:multiLevelType w:val="hybridMultilevel"/>
    <w:lvl w:ilvl="0">
      <w:lvlJc w:val="left"/>
      <w:lvlText w:val="%1."/>
      <w:numFmt w:val="decimal"/>
      <w:start w:val="4"/>
    </w:lvl>
  </w:abstractNum>
  <w:abstractNum w:abstractNumId="136">
    <w:nsid w:val="7E0F6384"/>
    <w:multiLevelType w:val="hybridMultilevel"/>
    <w:lvl w:ilvl="0">
      <w:lvlJc w:val="left"/>
      <w:lvlText w:val="%1."/>
      <w:numFmt w:val="decimal"/>
      <w:start w:val="5"/>
    </w:lvl>
  </w:abstractNum>
  <w:abstractNum w:abstractNumId="137">
    <w:nsid w:val="2B4B8B53"/>
    <w:multiLevelType w:val="hybridMultilevel"/>
    <w:lvl w:ilvl="0">
      <w:lvlJc w:val="left"/>
      <w:lvlText w:val="%1."/>
      <w:numFmt w:val="decimal"/>
      <w:start w:val="6"/>
    </w:lvl>
  </w:abstractNum>
  <w:abstractNum w:abstractNumId="138">
    <w:nsid w:val="72E3413A"/>
    <w:multiLevelType w:val="hybridMultilevel"/>
    <w:lvl w:ilvl="0">
      <w:lvlJc w:val="left"/>
      <w:lvlText w:val="%1."/>
      <w:numFmt w:val="decimal"/>
      <w:start w:val="7"/>
    </w:lvl>
    <w:lvl w:ilvl="1">
      <w:lvlJc w:val="left"/>
      <w:lvlText w:val="(%2)"/>
      <w:numFmt w:val="lowerLetter"/>
      <w:start w:val="1"/>
    </w:lvl>
  </w:abstractNum>
  <w:abstractNum w:abstractNumId="139">
    <w:nsid w:val="116AE494"/>
    <w:multiLevelType w:val="hybridMultilevel"/>
    <w:lvl w:ilvl="0">
      <w:lvlJc w:val="left"/>
      <w:lvlText w:val="(%1)"/>
      <w:numFmt w:val="lowerLetter"/>
      <w:start w:val="3"/>
    </w:lvl>
  </w:abstractNum>
  <w:abstractNum w:abstractNumId="140">
    <w:nsid w:val="3494B2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1">
    <w:nsid w:val="B13A31"/>
    <w:multiLevelType w:val="hybridMultilevel"/>
    <w:lvl w:ilvl="0">
      <w:lvlJc w:val="left"/>
      <w:lvlText w:val="(%1)"/>
      <w:numFmt w:val="lowerRoman"/>
      <w:start w:val="4"/>
    </w:lvl>
  </w:abstractNum>
  <w:abstractNum w:abstractNumId="142">
    <w:nsid w:val="64429599"/>
    <w:multiLevelType w:val="hybridMultilevel"/>
    <w:lvl w:ilvl="0">
      <w:lvlJc w:val="left"/>
      <w:lvlText w:val="%1"/>
      <w:numFmt w:val="decimal"/>
      <w:start w:val="1"/>
    </w:lvl>
    <w:lvl w:ilvl="1">
      <w:lvlJc w:val="left"/>
      <w:lvlText w:val="(%2)"/>
      <w:numFmt w:val="lowerLetter"/>
      <w:start w:val="4"/>
    </w:lvl>
  </w:abstractNum>
  <w:abstractNum w:abstractNumId="143">
    <w:nsid w:val="631F1690"/>
    <w:multiLevelType w:val="hybridMultilevel"/>
    <w:lvl w:ilvl="0">
      <w:lvlJc w:val="left"/>
      <w:lvlText w:val="%1."/>
      <w:numFmt w:val="decimal"/>
      <w:start w:val="9"/>
    </w:lvl>
    <w:lvl w:ilvl="1">
      <w:lvlJc w:val="left"/>
      <w:lvlText w:val="%2"/>
      <w:numFmt w:val="lowerLetter"/>
      <w:start w:val="1"/>
    </w:lvl>
  </w:abstractNum>
  <w:abstractNum w:abstractNumId="144">
    <w:nsid w:val="25973E32"/>
    <w:multiLevelType w:val="hybridMultilevel"/>
    <w:lvl w:ilvl="0">
      <w:lvlJc w:val="left"/>
      <w:lvlText w:val="(%1)"/>
      <w:numFmt w:val="lowerLetter"/>
      <w:start w:val="1"/>
    </w:lvl>
  </w:abstractNum>
  <w:abstractNum w:abstractNumId="145">
    <w:nsid w:val="EAD6F57"/>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46">
    <w:nsid w:val="6EC9D844"/>
    <w:multiLevelType w:val="hybridMultilevel"/>
    <w:lvl w:ilvl="0">
      <w:lvlJc w:val="left"/>
      <w:lvlText w:val="(%1)"/>
      <w:numFmt w:val="lowerRoman"/>
      <w:start w:val="5"/>
    </w:lvl>
    <w:lvl w:ilvl="1">
      <w:lvlJc w:val="left"/>
      <w:lvlText w:val="(%2)"/>
      <w:numFmt w:val="lowerRoman"/>
      <w:start w:val="6"/>
    </w:lvl>
  </w:abstractNum>
  <w:abstractNum w:abstractNumId="147">
    <w:nsid w:val="5C49EAEE"/>
    <w:multiLevelType w:val="hybridMultilevel"/>
    <w:lvl w:ilvl="0">
      <w:lvlJc w:val="left"/>
      <w:lvlText w:val="(%1)"/>
      <w:numFmt w:val="lowerRoman"/>
      <w:start w:val="7"/>
    </w:lvl>
  </w:abstractNum>
  <w:abstractNum w:abstractNumId="148">
    <w:nsid w:val="64AF49B"/>
    <w:multiLevelType w:val="hybridMultilevel"/>
    <w:lvl w:ilvl="0">
      <w:lvlJc w:val="left"/>
      <w:lvlText w:val="%1."/>
      <w:numFmt w:val="decimal"/>
      <w:start w:val="10"/>
    </w:lvl>
  </w:abstractNum>
  <w:abstractNum w:abstractNumId="149">
    <w:nsid w:val="397C46BC"/>
    <w:multiLevelType w:val="hybridMultilevel"/>
    <w:lvl w:ilvl="0">
      <w:lvlJc w:val="left"/>
      <w:lvlText w:val="%1."/>
      <w:numFmt w:val="decimal"/>
      <w:start w:val="11"/>
    </w:lvl>
  </w:abstractNum>
  <w:abstractNum w:abstractNumId="150">
    <w:nsid w:val="7E448DE9"/>
    <w:multiLevelType w:val="hybridMultilevel"/>
    <w:lvl w:ilvl="0">
      <w:lvlJc w:val="left"/>
      <w:lvlText w:val="%1."/>
      <w:numFmt w:val="decimal"/>
      <w:start w:val="12"/>
    </w:lvl>
  </w:abstractNum>
  <w:abstractNum w:abstractNumId="151">
    <w:nsid w:val="5A9CC3E5"/>
    <w:multiLevelType w:val="hybridMultilevel"/>
    <w:lvl w:ilvl="0">
      <w:lvlJc w:val="left"/>
      <w:lvlText w:val="%1."/>
      <w:numFmt w:val="decimal"/>
      <w:start w:val="13"/>
    </w:lvl>
  </w:abstractNum>
  <w:abstractNum w:abstractNumId="152">
    <w:nsid w:val="1AFE3625"/>
    <w:multiLevelType w:val="hybridMultilevel"/>
    <w:lvl w:ilvl="0">
      <w:lvlJc w:val="left"/>
      <w:lvlText w:val="%1."/>
      <w:numFmt w:val="decimal"/>
      <w:start w:val="14"/>
    </w:lvl>
  </w:abstractNum>
  <w:abstractNum w:abstractNumId="153">
    <w:nsid w:val="3CA88ECF"/>
    <w:multiLevelType w:val="hybridMultilevel"/>
    <w:lvl w:ilvl="0">
      <w:lvlJc w:val="left"/>
      <w:lvlText w:val="%1."/>
      <w:numFmt w:val="decimal"/>
      <w:start w:val="15"/>
    </w:lvl>
  </w:abstractNum>
  <w:abstractNum w:abstractNumId="154">
    <w:nsid w:val="6EBE4208"/>
    <w:multiLevelType w:val="hybridMultilevel"/>
    <w:lvl w:ilvl="0">
      <w:lvlJc w:val="left"/>
      <w:lvlText w:val="%1."/>
      <w:numFmt w:val="decimal"/>
      <w:start w:val="16"/>
    </w:lvl>
  </w:abstractNum>
  <w:abstractNum w:abstractNumId="155">
    <w:nsid w:val="C058DF5"/>
    <w:multiLevelType w:val="hybridMultilevel"/>
    <w:lvl w:ilvl="0">
      <w:lvlJc w:val="left"/>
      <w:lvlText w:val="%1."/>
      <w:numFmt w:val="decimal"/>
      <w:start w:val="17"/>
    </w:lvl>
  </w:abstractNum>
  <w:abstractNum w:abstractNumId="156">
    <w:nsid w:val="CBE5BE9"/>
    <w:multiLevelType w:val="hybridMultilevel"/>
    <w:lvl w:ilvl="0">
      <w:lvlJc w:val="left"/>
      <w:lvlText w:val="%1."/>
      <w:numFmt w:val="decimal"/>
      <w:start w:val="18"/>
    </w:lvl>
  </w:abstractNum>
  <w:abstractNum w:abstractNumId="157">
    <w:nsid w:val="3102BBE2"/>
    <w:multiLevelType w:val="hybridMultilevel"/>
    <w:lvl w:ilvl="0">
      <w:lvlJc w:val="left"/>
      <w:lvlText w:val="%1."/>
      <w:numFmt w:val="decimal"/>
      <w:start w:val="20"/>
    </w:lvl>
  </w:abstractNum>
  <w:abstractNum w:abstractNumId="158">
    <w:nsid w:val="26A02C5E"/>
    <w:multiLevelType w:val="hybridMultilevel"/>
    <w:lvl w:ilvl="0">
      <w:lvlJc w:val="left"/>
      <w:lvlText w:val="%1."/>
      <w:numFmt w:val="decimal"/>
      <w:start w:val="21"/>
    </w:lvl>
  </w:abstractNum>
  <w:abstractNum w:abstractNumId="159">
    <w:nsid w:val="541C8153"/>
    <w:multiLevelType w:val="hybridMultilevel"/>
    <w:lvl w:ilvl="0">
      <w:lvlJc w:val="left"/>
      <w:lvlText w:val="%1."/>
      <w:numFmt w:val="decimal"/>
      <w:start w:val="22"/>
    </w:lvl>
  </w:abstractNum>
  <w:abstractNum w:abstractNumId="160">
    <w:nsid w:val="67906F60"/>
    <w:multiLevelType w:val="hybridMultilevel"/>
    <w:lvl w:ilvl="0">
      <w:lvlJc w:val="left"/>
      <w:lvlText w:val="%1"/>
      <w:numFmt w:val="lowerLetter"/>
      <w:start w:val="1"/>
    </w:lvl>
    <w:lvl w:ilvl="1">
      <w:lvlJc w:val="left"/>
      <w:lvlText w:val="%2."/>
      <w:numFmt w:val="decimal"/>
      <w:start w:val="1"/>
    </w:lvl>
  </w:abstractNum>
  <w:abstractNum w:abstractNumId="161">
    <w:nsid w:val="10DB9DAA"/>
    <w:multiLevelType w:val="hybridMultilevel"/>
    <w:lvl w:ilvl="0">
      <w:lvlJc w:val="left"/>
      <w:lvlText w:val="%1."/>
      <w:numFmt w:val="lowerLetter"/>
      <w:start w:val="1"/>
    </w:lvl>
    <w:lvl w:ilvl="1">
      <w:lvlJc w:val="left"/>
      <w:lvlText w:val="%2"/>
      <w:numFmt w:val="decimal"/>
      <w:start w:val="1"/>
    </w:lvl>
  </w:abstractNum>
  <w:abstractNum w:abstractNumId="162">
    <w:nsid w:val="697D2D2"/>
    <w:multiLevelType w:val="hybridMultilevel"/>
    <w:lvl w:ilvl="0">
      <w:lvlJc w:val="left"/>
      <w:lvlText w:val="%1."/>
      <w:numFmt w:val="decimal"/>
      <w:start w:val="2"/>
    </w:lvl>
  </w:abstractNum>
  <w:abstractNum w:abstractNumId="163">
    <w:nsid w:val="6D68AB2"/>
    <w:multiLevelType w:val="hybridMultilevel"/>
    <w:lvl w:ilvl="0">
      <w:lvlJc w:val="left"/>
      <w:lvlText w:val="%1."/>
      <w:numFmt w:val="decimal"/>
      <w:start w:val="4"/>
    </w:lvl>
  </w:abstractNum>
  <w:abstractNum w:abstractNumId="164">
    <w:nsid w:val="3A966CD0"/>
    <w:multiLevelType w:val="hybridMultilevel"/>
    <w:lvl w:ilvl="0">
      <w:lvlJc w:val="left"/>
      <w:lvlText w:val="%1."/>
      <w:numFmt w:val="decimal"/>
      <w:start w:val="6"/>
    </w:lvl>
  </w:abstractNum>
  <w:abstractNum w:abstractNumId="165">
    <w:nsid w:val="63F37E85"/>
    <w:multiLevelType w:val="hybridMultilevel"/>
    <w:lvl w:ilvl="0">
      <w:lvlJc w:val="left"/>
      <w:lvlText w:val="%1."/>
      <w:numFmt w:val="decimal"/>
      <w:start w:val="9"/>
    </w:lvl>
  </w:abstractNum>
  <w:abstractNum w:abstractNumId="166">
    <w:nsid w:val="5895F5FA"/>
    <w:multiLevelType w:val="hybridMultilevel"/>
    <w:lvl w:ilvl="0">
      <w:lvlJc w:val="left"/>
      <w:lvlText w:val="%1."/>
      <w:numFmt w:val="decimal"/>
      <w:start w:val="16"/>
    </w:lvl>
  </w:abstractNum>
  <w:abstractNum w:abstractNumId="167">
    <w:nsid w:val="38A5D054"/>
    <w:multiLevelType w:val="hybridMultilevel"/>
    <w:lvl w:ilvl="0">
      <w:lvlJc w:val="left"/>
      <w:lvlText w:val="%1."/>
      <w:numFmt w:val="decimal"/>
      <w:start w:val="2"/>
    </w:lvl>
  </w:abstractNum>
  <w:abstractNum w:abstractNumId="168">
    <w:nsid w:val="F3F09D8"/>
    <w:multiLevelType w:val="hybridMultilevel"/>
    <w:lvl w:ilvl="0">
      <w:lvlJc w:val="left"/>
      <w:lvlText w:val="(%1)"/>
      <w:numFmt w:val="lowerLetter"/>
      <w:start w:val="1"/>
    </w:lvl>
  </w:abstractNum>
  <w:abstractNum w:abstractNumId="169">
    <w:nsid w:val="4B793735"/>
    <w:multiLevelType w:val="hybridMultilevel"/>
    <w:lvl w:ilvl="0">
      <w:lvlJc w:val="left"/>
      <w:lvlText w:val="(%1)"/>
      <w:numFmt w:val="lowerLetter"/>
      <w:start w:val="2"/>
    </w:lvl>
  </w:abstractNum>
  <w:abstractNum w:abstractNumId="170">
    <w:nsid w:val="4A10B4E8"/>
    <w:multiLevelType w:val="hybridMultilevel"/>
    <w:lvl w:ilvl="0">
      <w:lvlJc w:val="left"/>
      <w:lvlText w:val="%1."/>
      <w:numFmt w:val="decimal"/>
      <w:start w:val="3"/>
    </w:lvl>
  </w:abstractNum>
  <w:abstractNum w:abstractNumId="171">
    <w:nsid w:val="43D3BCD4"/>
    <w:multiLevelType w:val="hybridMultilevel"/>
    <w:lvl w:ilvl="0">
      <w:lvlJc w:val="left"/>
      <w:lvlText w:val="%1."/>
      <w:numFmt w:val="decimal"/>
      <w:start w:val="4"/>
    </w:lvl>
  </w:abstractNum>
  <w:abstractNum w:abstractNumId="172">
    <w:nsid w:val="4C2A7166"/>
    <w:multiLevelType w:val="hybridMultilevel"/>
    <w:lvl w:ilvl="0">
      <w:lvlJc w:val="left"/>
      <w:lvlText w:val="%1."/>
      <w:numFmt w:val="decimal"/>
      <w:start w:val="5"/>
    </w:lvl>
  </w:abstractNum>
  <w:abstractNum w:abstractNumId="173">
    <w:nsid w:val="2E534A82"/>
    <w:multiLevelType w:val="hybridMultilevel"/>
    <w:lvl w:ilvl="0">
      <w:lvlJc w:val="left"/>
      <w:lvlText w:val="%1."/>
      <w:numFmt w:val="decimal"/>
      <w:start w:val="6"/>
    </w:lvl>
  </w:abstractNum>
  <w:abstractNum w:abstractNumId="174">
    <w:nsid w:val="26F2D364"/>
    <w:multiLevelType w:val="hybridMultilevel"/>
    <w:lvl w:ilvl="0">
      <w:lvlJc w:val="left"/>
      <w:lvlText w:val="%1."/>
      <w:numFmt w:val="decimal"/>
      <w:start w:val="7"/>
    </w:lvl>
    <w:lvl w:ilvl="1">
      <w:lvlJc w:val="left"/>
      <w:lvlText w:val="(%2)"/>
      <w:numFmt w:val="lowerLetter"/>
      <w:start w:val="1"/>
    </w:lvl>
  </w:abstractNum>
  <w:abstractNum w:abstractNumId="175">
    <w:nsid w:val="71C1AF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6">
    <w:nsid w:val="3D00B9D9"/>
    <w:multiLevelType w:val="hybridMultilevel"/>
    <w:lvl w:ilvl="0">
      <w:lvlJc w:val="left"/>
      <w:lvlText w:val="(%1)"/>
      <w:numFmt w:val="lowerRoman"/>
      <w:start w:val="4"/>
    </w:lvl>
  </w:abstractNum>
  <w:abstractNum w:abstractNumId="177">
    <w:nsid w:val="15BCABA8"/>
    <w:multiLevelType w:val="hybridMultilevel"/>
    <w:lvl w:ilvl="0">
      <w:lvlJc w:val="left"/>
      <w:lvlText w:val="%1"/>
      <w:numFmt w:val="decimal"/>
      <w:start w:val="1"/>
    </w:lvl>
    <w:lvl w:ilvl="1">
      <w:lvlJc w:val="left"/>
      <w:lvlText w:val="(%2)"/>
      <w:numFmt w:val="lowerLetter"/>
      <w:start w:val="4"/>
    </w:lvl>
  </w:abstractNum>
  <w:abstractNum w:abstractNumId="178">
    <w:nsid w:val="4E0B9A87"/>
    <w:multiLevelType w:val="hybridMultilevel"/>
    <w:lvl w:ilvl="0">
      <w:lvlJc w:val="left"/>
      <w:lvlText w:val="%1."/>
      <w:numFmt w:val="decimal"/>
      <w:start w:val="9"/>
    </w:lvl>
    <w:lvl w:ilvl="1">
      <w:lvlJc w:val="left"/>
      <w:lvlText w:val="%2"/>
      <w:numFmt w:val="lowerLetter"/>
      <w:start w:val="1"/>
    </w:lvl>
  </w:abstractNum>
  <w:abstractNum w:abstractNumId="179">
    <w:nsid w:val="434BAE75"/>
    <w:multiLevelType w:val="hybridMultilevel"/>
    <w:lvl w:ilvl="0">
      <w:lvlJc w:val="left"/>
      <w:lvlText w:val="(%1)"/>
      <w:numFmt w:val="lowerLetter"/>
      <w:start w:val="1"/>
    </w:lvl>
  </w:abstractNum>
  <w:abstractNum w:abstractNumId="180">
    <w:nsid w:val="4F38F265"/>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181">
    <w:nsid w:val="4C502870"/>
    <w:multiLevelType w:val="hybridMultilevel"/>
    <w:lvl w:ilvl="0">
      <w:lvlJc w:val="left"/>
      <w:lvlText w:val="(%1)"/>
      <w:numFmt w:val="lowerRoman"/>
      <w:start w:val="5"/>
    </w:lvl>
  </w:abstractNum>
  <w:abstractNum w:abstractNumId="182">
    <w:nsid w:val="1DE8725A"/>
    <w:multiLevelType w:val="hybridMultilevel"/>
    <w:lvl w:ilvl="0">
      <w:lvlJc w:val="left"/>
      <w:lvlText w:val="(%1)"/>
      <w:numFmt w:val="lowerRoman"/>
      <w:start w:val="1"/>
    </w:lvl>
  </w:abstractNum>
  <w:abstractNum w:abstractNumId="183">
    <w:nsid w:val="6A37288A"/>
    <w:multiLevelType w:val="hybridMultilevel"/>
    <w:lvl w:ilvl="0">
      <w:lvlJc w:val="left"/>
      <w:lvlText w:val="(%1)"/>
      <w:numFmt w:val="lowerRoman"/>
      <w:start w:val="6"/>
    </w:lvl>
  </w:abstractNum>
  <w:abstractNum w:abstractNumId="184">
    <w:nsid w:val="8F8B73F"/>
    <w:multiLevelType w:val="hybridMultilevel"/>
    <w:lvl w:ilvl="0">
      <w:lvlJc w:val="left"/>
      <w:lvlText w:val="(%1)"/>
      <w:numFmt w:val="lowerRoman"/>
      <w:start w:val="7"/>
    </w:lvl>
  </w:abstractNum>
  <w:abstractNum w:abstractNumId="185">
    <w:nsid w:val="CA6B462"/>
    <w:multiLevelType w:val="hybridMultilevel"/>
    <w:lvl w:ilvl="0">
      <w:lvlJc w:val="left"/>
      <w:lvlText w:val="%1"/>
      <w:numFmt w:val="decimal"/>
      <w:start w:val="1"/>
    </w:lvl>
    <w:lvl w:ilvl="1">
      <w:lvlJc w:val="left"/>
      <w:lvlText w:val="(%2)"/>
      <w:numFmt w:val="lowerRoman"/>
      <w:start w:val="8"/>
    </w:lvl>
  </w:abstractNum>
  <w:abstractNum w:abstractNumId="186">
    <w:nsid w:val="763CB680"/>
    <w:multiLevelType w:val="hybridMultilevel"/>
    <w:lvl w:ilvl="0">
      <w:lvlJc w:val="left"/>
      <w:lvlText w:val="%1."/>
      <w:numFmt w:val="decimal"/>
      <w:start w:val="10"/>
    </w:lvl>
    <w:lvl w:ilvl="1">
      <w:lvlJc w:val="left"/>
      <w:lvlText w:val="%2"/>
      <w:numFmt w:val="lowerRoman"/>
      <w:start w:val="1"/>
    </w:lvl>
  </w:abstractNum>
  <w:abstractNum w:abstractNumId="187">
    <w:nsid w:val="15B71329"/>
    <w:multiLevelType w:val="hybridMultilevel"/>
    <w:lvl w:ilvl="0">
      <w:lvlJc w:val="left"/>
      <w:lvlText w:val="%1."/>
      <w:numFmt w:val="decimal"/>
      <w:start w:val="11"/>
    </w:lvl>
  </w:abstractNum>
  <w:abstractNum w:abstractNumId="188">
    <w:nsid w:val="3DA97044"/>
    <w:multiLevelType w:val="hybridMultilevel"/>
    <w:lvl w:ilvl="0">
      <w:lvlJc w:val="left"/>
      <w:lvlText w:val="%1."/>
      <w:numFmt w:val="decimal"/>
      <w:start w:val="12"/>
    </w:lvl>
  </w:abstractNum>
  <w:abstractNum w:abstractNumId="189">
    <w:nsid w:val="1CDCE2DE"/>
    <w:multiLevelType w:val="hybridMultilevel"/>
    <w:lvl w:ilvl="0">
      <w:lvlJc w:val="left"/>
      <w:lvlText w:val="%1."/>
      <w:numFmt w:val="decimal"/>
      <w:start w:val="13"/>
    </w:lvl>
  </w:abstractNum>
  <w:abstractNum w:abstractNumId="190">
    <w:nsid w:val="69D3947C"/>
    <w:multiLevelType w:val="hybridMultilevel"/>
    <w:lvl w:ilvl="0">
      <w:lvlJc w:val="left"/>
      <w:lvlText w:val="%1."/>
      <w:numFmt w:val="decimal"/>
      <w:start w:val="14"/>
    </w:lvl>
  </w:abstractNum>
  <w:abstractNum w:abstractNumId="191">
    <w:nsid w:val="2539DFA5"/>
    <w:multiLevelType w:val="hybridMultilevel"/>
    <w:lvl w:ilvl="0">
      <w:lvlJc w:val="left"/>
      <w:lvlText w:val="%1."/>
      <w:numFmt w:val="decimal"/>
      <w:start w:val="15"/>
    </w:lvl>
  </w:abstractNum>
  <w:abstractNum w:abstractNumId="192">
    <w:nsid w:val="2DB88089"/>
    <w:multiLevelType w:val="hybridMultilevel"/>
    <w:lvl w:ilvl="0">
      <w:lvlJc w:val="left"/>
      <w:lvlText w:val="%1."/>
      <w:numFmt w:val="decimal"/>
      <w:start w:val="16"/>
    </w:lvl>
  </w:abstractNum>
  <w:abstractNum w:abstractNumId="193">
    <w:nsid w:val="706B674E"/>
    <w:multiLevelType w:val="hybridMultilevel"/>
    <w:lvl w:ilvl="0">
      <w:lvlJc w:val="left"/>
      <w:lvlText w:val="%1."/>
      <w:numFmt w:val="decimal"/>
      <w:start w:val="17"/>
    </w:lvl>
  </w:abstractNum>
  <w:abstractNum w:abstractNumId="194">
    <w:nsid w:val="2C106A57"/>
    <w:multiLevelType w:val="hybridMultilevel"/>
    <w:lvl w:ilvl="0">
      <w:lvlJc w:val="left"/>
      <w:lvlText w:val="%1."/>
      <w:numFmt w:val="decimal"/>
      <w:start w:val="18"/>
    </w:lvl>
  </w:abstractNum>
  <w:abstractNum w:abstractNumId="195">
    <w:nsid w:val="684EED59"/>
    <w:multiLevelType w:val="hybridMultilevel"/>
    <w:lvl w:ilvl="0">
      <w:lvlJc w:val="left"/>
      <w:lvlText w:val="%1."/>
      <w:numFmt w:val="decimal"/>
      <w:start w:val="20"/>
    </w:lvl>
  </w:abstractNum>
  <w:abstractNum w:abstractNumId="196">
    <w:nsid w:val="545EE5D3"/>
    <w:multiLevelType w:val="hybridMultilevel"/>
    <w:lvl w:ilvl="0">
      <w:lvlJc w:val="left"/>
      <w:lvlText w:val="%1."/>
      <w:numFmt w:val="decimal"/>
      <w:start w:val="21"/>
    </w:lvl>
  </w:abstractNum>
  <w:abstractNum w:abstractNumId="197">
    <w:nsid w:val="4A66051"/>
    <w:multiLevelType w:val="hybridMultilevel"/>
    <w:lvl w:ilvl="0">
      <w:lvlJc w:val="left"/>
      <w:lvlText w:val="%1."/>
      <w:numFmt w:val="decimal"/>
      <w:start w:val="22"/>
    </w:lvl>
  </w:abstractNum>
  <w:abstractNum w:abstractNumId="198">
    <w:nsid w:val="20F4BDAD"/>
    <w:multiLevelType w:val="hybridMultilevel"/>
    <w:lvl w:ilvl="0">
      <w:lvlJc w:val="left"/>
      <w:lvlText w:val="%1"/>
      <w:numFmt w:val="lowerLetter"/>
      <w:start w:val="1"/>
    </w:lvl>
    <w:lvl w:ilvl="1">
      <w:lvlJc w:val="left"/>
      <w:lvlText w:val="%2."/>
      <w:numFmt w:val="decimal"/>
      <w:start w:val="1"/>
    </w:lvl>
  </w:abstractNum>
  <w:abstractNum w:abstractNumId="199">
    <w:nsid w:val="639DEFAC"/>
    <w:multiLevelType w:val="hybridMultilevel"/>
    <w:lvl w:ilvl="0">
      <w:lvlJc w:val="left"/>
      <w:lvlText w:val="%1."/>
      <w:numFmt w:val="lowerLetter"/>
      <w:start w:val="1"/>
    </w:lvl>
    <w:lvl w:ilvl="1">
      <w:lvlJc w:val="left"/>
      <w:lvlText w:val="%2"/>
      <w:numFmt w:val="decimal"/>
      <w:start w:val="1"/>
    </w:lvl>
  </w:abstractNum>
  <w:abstractNum w:abstractNumId="200">
    <w:nsid w:val="501F9786"/>
    <w:multiLevelType w:val="hybridMultilevel"/>
    <w:lvl w:ilvl="0">
      <w:lvlJc w:val="left"/>
      <w:lvlText w:val="%1."/>
      <w:numFmt w:val="decimal"/>
      <w:start w:val="2"/>
    </w:lvl>
  </w:abstractNum>
  <w:abstractNum w:abstractNumId="201">
    <w:nsid w:val="6B057295"/>
    <w:multiLevelType w:val="hybridMultilevel"/>
    <w:lvl w:ilvl="0">
      <w:lvlJc w:val="left"/>
      <w:lvlText w:val="%1."/>
      <w:numFmt w:val="decimal"/>
      <w:start w:val="5"/>
    </w:lvl>
  </w:abstractNum>
  <w:abstractNum w:abstractNumId="202">
    <w:nsid w:val="2771AC80"/>
    <w:multiLevelType w:val="hybridMultilevel"/>
    <w:lvl w:ilvl="0">
      <w:lvlJc w:val="left"/>
      <w:lvlText w:val="%1."/>
      <w:numFmt w:val="decimal"/>
      <w:start w:val="6"/>
    </w:lvl>
  </w:abstractNum>
  <w:abstractNum w:abstractNumId="203">
    <w:nsid w:val="1C4A08EC"/>
    <w:multiLevelType w:val="hybridMultilevel"/>
    <w:lvl w:ilvl="0">
      <w:lvlJc w:val="left"/>
      <w:lvlText w:val="%1."/>
      <w:numFmt w:val="decimal"/>
      <w:start w:val="8"/>
    </w:lvl>
  </w:abstractNum>
  <w:abstractNum w:abstractNumId="204">
    <w:nsid w:val="1958BD17"/>
    <w:multiLevelType w:val="hybridMultilevel"/>
    <w:lvl w:ilvl="0">
      <w:lvlJc w:val="left"/>
      <w:lvlText w:val="%1."/>
      <w:numFmt w:val="decimal"/>
      <w:start w:val="15"/>
    </w:lvl>
  </w:abstractNum>
  <w:abstractNum w:abstractNumId="205">
    <w:nsid w:val="4E647FE4"/>
    <w:multiLevelType w:val="hybridMultilevel"/>
    <w:lvl w:ilvl="0">
      <w:lvlJc w:val="left"/>
      <w:lvlText w:val="(%1)"/>
      <w:numFmt w:val="lowerLetter"/>
      <w:start w:val="1"/>
    </w:lvl>
    <w:lvl w:ilvl="1">
      <w:lvlJc w:val="left"/>
      <w:lvlText w:val="(%2)"/>
      <w:numFmt w:val="lowerRoman"/>
      <w:start w:val="1"/>
    </w:lvl>
  </w:abstractNum>
  <w:abstractNum w:abstractNumId="206">
    <w:nsid w:val="E0BB885"/>
    <w:multiLevelType w:val="hybridMultilevel"/>
    <w:lvl w:ilvl="0">
      <w:lvlJc w:val="left"/>
      <w:lvlText w:val="(%1)"/>
      <w:numFmt w:val="lowerLetter"/>
      <w:start w:val="61"/>
    </w:lvl>
    <w:lvl w:ilvl="1">
      <w:lvlJc w:val="left"/>
      <w:lvlText w:val="(%2)"/>
      <w:numFmt w:val="lowerLetter"/>
      <w:start w:val="24"/>
    </w:lvl>
  </w:abstractNum>
  <w:abstractNum w:abstractNumId="207">
    <w:nsid w:val="565976F1"/>
    <w:multiLevelType w:val="hybridMultilevel"/>
    <w:lvl w:ilvl="0">
      <w:lvlJc w:val="left"/>
      <w:lvlText w:val="%1"/>
      <w:numFmt w:val="lowerLetter"/>
      <w:start w:val="1"/>
    </w:lvl>
    <w:lvl w:ilvl="1">
      <w:lvlJc w:val="left"/>
      <w:lvlText w:val="(%2)"/>
      <w:numFmt w:val="lowerRoman"/>
      <w:start w:val="4"/>
    </w:lvl>
  </w:abstractNum>
  <w:abstractNum w:abstractNumId="208">
    <w:nsid w:val="64212B8C"/>
    <w:multiLevelType w:val="hybridMultilevel"/>
    <w:lvl w:ilvl="0">
      <w:lvlJc w:val="left"/>
      <w:lvlText w:val="(%1)"/>
      <w:numFmt w:val="lowerLetter"/>
      <w:start w:val="3"/>
    </w:lvl>
    <w:lvl w:ilvl="1">
      <w:lvlJc w:val="left"/>
      <w:lvlText w:val="(%2)"/>
      <w:numFmt w:val="lowerRoman"/>
      <w:start w:val="1"/>
    </w:lvl>
  </w:abstractNum>
  <w:abstractNum w:abstractNumId="209">
    <w:nsid w:val="5C17530C"/>
    <w:multiLevelType w:val="hybridMultilevel"/>
    <w:lvl w:ilvl="0">
      <w:lvlJc w:val="left"/>
      <w:lvlText w:val="(%1)"/>
      <w:numFmt w:val="lowerLetter"/>
      <w:start w:val="4"/>
    </w:lvl>
  </w:abstractNum>
  <w:abstractNum w:abstractNumId="210">
    <w:nsid w:val="19A52566"/>
    <w:multiLevelType w:val="hybridMultilevel"/>
    <w:lvl w:ilvl="0">
      <w:lvlJc w:val="left"/>
      <w:lvlText w:val="(%1)"/>
      <w:numFmt w:val="lowerLetter"/>
      <w:start w:val="1"/>
    </w:lvl>
  </w:abstractNum>
  <w:abstractNum w:abstractNumId="211">
    <w:nsid w:val="335A1DF1"/>
    <w:multiLevelType w:val="hybridMultilevel"/>
    <w:lvl w:ilvl="0">
      <w:lvlJc w:val="left"/>
      <w:lvlText w:val="(%1)"/>
      <w:numFmt w:val="lowerLetter"/>
      <w:start w:val="5"/>
    </w:lvl>
  </w:abstractNum>
  <w:abstractNum w:abstractNumId="212">
    <w:nsid w:val="28677B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213">
    <w:nsid w:val="378D97C0"/>
    <w:multiLevelType w:val="hybridMultilevel"/>
    <w:lvl w:ilvl="0">
      <w:lvlJc w:val="left"/>
      <w:lvlText w:val="%1"/>
      <w:numFmt w:val="lowerLetter"/>
      <w:start w:val="1"/>
    </w:lvl>
    <w:lvl w:ilvl="1">
      <w:lvlJc w:val="left"/>
      <w:lvlText w:val="(%2)"/>
      <w:numFmt w:val="lowerRoman"/>
      <w:start w:val="4"/>
    </w:lvl>
  </w:abstractNum>
  <w:abstractNum w:abstractNumId="214">
    <w:nsid w:val="1D91467C"/>
    <w:multiLevelType w:val="hybridMultilevel"/>
    <w:lvl w:ilvl="0">
      <w:lvlJc w:val="left"/>
      <w:lvlText w:val="(%1)"/>
      <w:numFmt w:val="lowerLetter"/>
      <w:start w:val="3"/>
    </w:lvl>
    <w:lvl w:ilvl="1">
      <w:lvlJc w:val="left"/>
      <w:lvlText w:val="(%2)"/>
      <w:numFmt w:val="lowerRoman"/>
      <w:start w:val="1"/>
    </w:lvl>
  </w:abstractNum>
  <w:abstractNum w:abstractNumId="215">
    <w:nsid w:val="316032BB"/>
    <w:multiLevelType w:val="hybridMultilevel"/>
    <w:lvl w:ilvl="0">
      <w:lvlJc w:val="left"/>
      <w:lvlText w:val="(%1)"/>
      <w:numFmt w:val="lowerLetter"/>
      <w:start w:val="4"/>
    </w:lvl>
  </w:abstractNum>
  <w:abstractNum w:abstractNumId="216">
    <w:nsid w:val="44344C22"/>
    <w:multiLevelType w:val="hybridMultilevel"/>
    <w:lvl w:ilvl="0">
      <w:lvlJc w:val="left"/>
      <w:lvlText w:val="(%1)"/>
      <w:numFmt w:val="lowerLetter"/>
      <w:start w:val="1"/>
    </w:lvl>
  </w:abstractNum>
  <w:abstractNum w:abstractNumId="217">
    <w:nsid w:val="13CDFCFC"/>
    <w:multiLevelType w:val="hybridMultilevel"/>
    <w:lvl w:ilvl="0">
      <w:lvlJc w:val="left"/>
      <w:lvlText w:val="(%1)"/>
      <w:numFmt w:val="lowerLetter"/>
      <w:start w:val="2"/>
    </w:lvl>
  </w:abstractNum>
  <w:abstractNum w:abstractNumId="218">
    <w:nsid w:val="471745E4"/>
    <w:multiLevelType w:val="hybridMultilevel"/>
    <w:lvl w:ilvl="0">
      <w:lvlJc w:val="left"/>
      <w:lvlText w:val="•"/>
      <w:numFmt w:val="bullet"/>
      <w:start w:val="1"/>
    </w:lvl>
  </w:abstractNum>
  <w:abstractNum w:abstractNumId="219">
    <w:nsid w:val="1DDBC6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220">
    <w:nsid w:val="30AADFDA"/>
    <w:multiLevelType w:val="hybridMultilevel"/>
    <w:lvl w:ilvl="0">
      <w:lvlJc w:val="left"/>
      <w:lvlText w:val="%1"/>
      <w:numFmt w:val="lowerLetter"/>
      <w:start w:val="1"/>
    </w:lvl>
    <w:lvl w:ilvl="1">
      <w:lvlJc w:val="left"/>
      <w:lvlText w:val="(%2)"/>
      <w:numFmt w:val="lowerRoman"/>
      <w:start w:val="4"/>
    </w:lvl>
  </w:abstractNum>
  <w:abstractNum w:abstractNumId="221">
    <w:nsid w:val="30EADA61"/>
    <w:multiLevelType w:val="hybridMultilevel"/>
    <w:lvl w:ilvl="0">
      <w:lvlJc w:val="left"/>
      <w:lvlText w:val="(%1)"/>
      <w:numFmt w:val="lowerLetter"/>
      <w:start w:val="3"/>
    </w:lvl>
    <w:lvl w:ilvl="1">
      <w:lvlJc w:val="left"/>
      <w:lvlText w:val="(%2)"/>
      <w:numFmt w:val="lowerRoman"/>
      <w:start w:val="1"/>
    </w:lvl>
  </w:abstractNum>
  <w:abstractNum w:abstractNumId="222">
    <w:nsid w:val="27179C0B"/>
    <w:multiLevelType w:val="hybridMultilevel"/>
    <w:lvl w:ilvl="0">
      <w:lvlJc w:val="left"/>
      <w:lvlText w:val="(%1)"/>
      <w:numFmt w:val="lowerLetter"/>
      <w:start w:val="4"/>
    </w:lvl>
  </w:abstractNum>
  <w:abstractNum w:abstractNumId="223">
    <w:nsid w:val="5E636063"/>
    <w:multiLevelType w:val="hybridMultilevel"/>
    <w:lvl w:ilvl="0">
      <w:lvlJc w:val="left"/>
      <w:lvlText w:val="(%1)"/>
      <w:numFmt w:val="lowerLetter"/>
      <w:start w:val="1"/>
    </w:lvl>
  </w:abstractNum>
  <w:abstractNum w:abstractNumId="224">
    <w:nsid w:val="215641AF"/>
    <w:multiLevelType w:val="hybridMultilevel"/>
    <w:lvl w:ilvl="0">
      <w:lvlJc w:val="left"/>
      <w:lvlText w:val="(%1)"/>
      <w:numFmt w:val="lowerLetter"/>
      <w:start w:val="3"/>
    </w:lvl>
  </w:abstractNum>
  <w:abstractNum w:abstractNumId="225">
    <w:nsid w:val="53280662"/>
    <w:multiLevelType w:val="hybridMultilevel"/>
    <w:lvl w:ilvl="0">
      <w:lvlJc w:val="left"/>
      <w:lvlText w:val="*"/>
      <w:numFmt w:val="bullet"/>
      <w:start w:val="1"/>
    </w:lvl>
  </w:abstractNum>
  <w:abstractNum w:abstractNumId="226">
    <w:nsid w:val="46B24DBC"/>
    <w:multiLevelType w:val="hybridMultilevel"/>
    <w:lvl w:ilvl="0">
      <w:lvlJc w:val="left"/>
      <w:lvlText w:val="%1."/>
      <w:numFmt w:val="decimal"/>
      <w:start w:val="1"/>
    </w:lvl>
    <w:lvl w:ilvl="1">
      <w:lvlJc w:val="left"/>
      <w:lvlText w:val="%2)"/>
      <w:numFmt w:val="lowerLetter"/>
      <w:start w:val="1"/>
    </w:lvl>
  </w:abstractNum>
  <w:abstractNum w:abstractNumId="227">
    <w:nsid w:val="75B52783"/>
    <w:multiLevelType w:val="hybridMultilevel"/>
    <w:lvl w:ilvl="0">
      <w:lvlJc w:val="left"/>
      <w:lvlText w:val="%1."/>
      <w:numFmt w:val="decimal"/>
      <w:start w:val="1"/>
    </w:lvl>
    <w:lvl w:ilvl="1">
      <w:lvlJc w:val="left"/>
      <w:lvlText w:val="%2)"/>
      <w:numFmt w:val="lowerLetter"/>
      <w:start w:val="1"/>
    </w:lvl>
  </w:abstractNum>
  <w:abstractNum w:abstractNumId="228">
    <w:nsid w:val="57CE66B4"/>
    <w:multiLevelType w:val="hybridMultilevel"/>
    <w:lvl w:ilvl="0">
      <w:lvlJc w:val="left"/>
      <w:lvlText w:val="(%1)"/>
      <w:numFmt w:val="decimal"/>
      <w:start w:val="1"/>
    </w:lvl>
  </w:abstractNum>
  <w:abstractNum w:abstractNumId="229">
    <w:nsid w:val="67A70B69"/>
    <w:multiLevelType w:val="hybridMultilevel"/>
    <w:lvl w:ilvl="0">
      <w:lvlJc w:val="left"/>
      <w:lvlText w:val="(%1)"/>
      <w:numFmt w:val="decimal"/>
      <w:start w:val="1"/>
    </w:lvl>
  </w:abstractNum>
  <w:abstractNum w:abstractNumId="230">
    <w:nsid w:val="5953172F"/>
    <w:multiLevelType w:val="hybridMultilevel"/>
    <w:lvl w:ilvl="0">
      <w:lvlJc w:val="left"/>
      <w:lvlText w:val="•"/>
      <w:numFmt w:val="bullet"/>
      <w:start w:val="1"/>
    </w:lvl>
  </w:abstractNum>
  <w:abstractNum w:abstractNumId="231">
    <w:nsid w:val="27EDFE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81" Type="http://schemas.openxmlformats.org/officeDocument/2006/relationships/image" Target="media/image439.png"/><Relationship Id="rId482" Type="http://schemas.openxmlformats.org/officeDocument/2006/relationships/image" Target="media/image440.png"/><Relationship Id="rId483" Type="http://schemas.openxmlformats.org/officeDocument/2006/relationships/image" Target="media/image441.png"/><Relationship Id="rId506" Type="http://schemas.openxmlformats.org/officeDocument/2006/relationships/image" Target="media/image442.png"/><Relationship Id="rId507" Type="http://schemas.openxmlformats.org/officeDocument/2006/relationships/image" Target="media/image443.png"/><Relationship Id="rId508" Type="http://schemas.openxmlformats.org/officeDocument/2006/relationships/image" Target="media/image444.png"/><Relationship Id="rId509" Type="http://schemas.openxmlformats.org/officeDocument/2006/relationships/image" Target="media/image445.png"/><Relationship Id="rId510" Type="http://schemas.openxmlformats.org/officeDocument/2006/relationships/image" Target="media/image446.png"/><Relationship Id="rId511" Type="http://schemas.openxmlformats.org/officeDocument/2006/relationships/image" Target="media/image447.png"/><Relationship Id="rId512" Type="http://schemas.openxmlformats.org/officeDocument/2006/relationships/image" Target="media/image448.png"/><Relationship Id="rId513" Type="http://schemas.openxmlformats.org/officeDocument/2006/relationships/image" Target="media/image449.png"/><Relationship Id="rId514" Type="http://schemas.openxmlformats.org/officeDocument/2006/relationships/image" Target="media/image450.png"/><Relationship Id="rId515" Type="http://schemas.openxmlformats.org/officeDocument/2006/relationships/image" Target="media/image451.png"/><Relationship Id="rId516" Type="http://schemas.openxmlformats.org/officeDocument/2006/relationships/image" Target="media/image452.png"/><Relationship Id="rId517" Type="http://schemas.openxmlformats.org/officeDocument/2006/relationships/image" Target="media/image453.png"/><Relationship Id="rId518" Type="http://schemas.openxmlformats.org/officeDocument/2006/relationships/image" Target="media/image454.png"/><Relationship Id="rId519" Type="http://schemas.openxmlformats.org/officeDocument/2006/relationships/image" Target="media/image455.png"/><Relationship Id="rId520" Type="http://schemas.openxmlformats.org/officeDocument/2006/relationships/image" Target="media/image456.png"/><Relationship Id="rId521" Type="http://schemas.openxmlformats.org/officeDocument/2006/relationships/image" Target="media/image457.png"/><Relationship Id="rId522" Type="http://schemas.openxmlformats.org/officeDocument/2006/relationships/image" Target="media/image458.png"/><Relationship Id="rId523" Type="http://schemas.openxmlformats.org/officeDocument/2006/relationships/image" Target="media/image459.png"/><Relationship Id="rId524" Type="http://schemas.openxmlformats.org/officeDocument/2006/relationships/image" Target="media/image460.png"/><Relationship Id="rId525" Type="http://schemas.openxmlformats.org/officeDocument/2006/relationships/image" Target="media/image461.png"/><Relationship Id="rId526" Type="http://schemas.openxmlformats.org/officeDocument/2006/relationships/image" Target="media/image462.png"/><Relationship Id="rId527" Type="http://schemas.openxmlformats.org/officeDocument/2006/relationships/image" Target="media/image463.png"/><Relationship Id="rId528" Type="http://schemas.openxmlformats.org/officeDocument/2006/relationships/image" Target="media/image464.png"/><Relationship Id="rId529" Type="http://schemas.openxmlformats.org/officeDocument/2006/relationships/image" Target="media/image465.png"/><Relationship Id="rId530" Type="http://schemas.openxmlformats.org/officeDocument/2006/relationships/image" Target="media/image466.png"/><Relationship Id="rId531" Type="http://schemas.openxmlformats.org/officeDocument/2006/relationships/image" Target="media/image467.png"/><Relationship Id="rId532" Type="http://schemas.openxmlformats.org/officeDocument/2006/relationships/image" Target="media/image468.png"/><Relationship Id="rId533" Type="http://schemas.openxmlformats.org/officeDocument/2006/relationships/image" Target="media/image469.png"/><Relationship Id="rId534" Type="http://schemas.openxmlformats.org/officeDocument/2006/relationships/image" Target="media/image470.png"/><Relationship Id="rId535" Type="http://schemas.openxmlformats.org/officeDocument/2006/relationships/image" Target="media/image471.png"/><Relationship Id="rId536" Type="http://schemas.openxmlformats.org/officeDocument/2006/relationships/image" Target="media/image472.png"/><Relationship Id="rId537" Type="http://schemas.openxmlformats.org/officeDocument/2006/relationships/image" Target="media/image473.png"/><Relationship Id="rId538" Type="http://schemas.openxmlformats.org/officeDocument/2006/relationships/image" Target="media/image474.png"/><Relationship Id="rId539" Type="http://schemas.openxmlformats.org/officeDocument/2006/relationships/image" Target="media/image475.png"/><Relationship Id="rId540" Type="http://schemas.openxmlformats.org/officeDocument/2006/relationships/image" Target="media/image476.png"/><Relationship Id="rId541" Type="http://schemas.openxmlformats.org/officeDocument/2006/relationships/image" Target="media/image477.png"/><Relationship Id="rId542" Type="http://schemas.openxmlformats.org/officeDocument/2006/relationships/image" Target="media/image478.png"/><Relationship Id="rId543" Type="http://schemas.openxmlformats.org/officeDocument/2006/relationships/image" Target="media/image479.png"/><Relationship Id="rId544" Type="http://schemas.openxmlformats.org/officeDocument/2006/relationships/image" Target="media/image480.png"/><Relationship Id="rId545" Type="http://schemas.openxmlformats.org/officeDocument/2006/relationships/image" Target="media/image481.png"/><Relationship Id="rId546" Type="http://schemas.openxmlformats.org/officeDocument/2006/relationships/image" Target="media/image482.png"/><Relationship Id="rId547" Type="http://schemas.openxmlformats.org/officeDocument/2006/relationships/image" Target="media/image483.png"/><Relationship Id="rId548" Type="http://schemas.openxmlformats.org/officeDocument/2006/relationships/image" Target="media/image484.png"/><Relationship Id="rId549" Type="http://schemas.openxmlformats.org/officeDocument/2006/relationships/image" Target="media/image485.png"/><Relationship Id="rId550" Type="http://schemas.openxmlformats.org/officeDocument/2006/relationships/image" Target="media/image486.png"/><Relationship Id="rId551" Type="http://schemas.openxmlformats.org/officeDocument/2006/relationships/image" Target="media/image487.png"/><Relationship Id="rId552" Type="http://schemas.openxmlformats.org/officeDocument/2006/relationships/image" Target="media/image488.png"/><Relationship Id="rId553" Type="http://schemas.openxmlformats.org/officeDocument/2006/relationships/image" Target="media/image489.png"/><Relationship Id="rId554" Type="http://schemas.openxmlformats.org/officeDocument/2006/relationships/image" Target="media/image490.png"/><Relationship Id="rId555" Type="http://schemas.openxmlformats.org/officeDocument/2006/relationships/image" Target="media/image491.png"/><Relationship Id="rId556" Type="http://schemas.openxmlformats.org/officeDocument/2006/relationships/image" Target="media/image492.png"/><Relationship Id="rId557" Type="http://schemas.openxmlformats.org/officeDocument/2006/relationships/image" Target="media/image493.png"/><Relationship Id="rId558" Type="http://schemas.openxmlformats.org/officeDocument/2006/relationships/image" Target="media/image494.png"/><Relationship Id="rId559" Type="http://schemas.openxmlformats.org/officeDocument/2006/relationships/image" Target="media/image495.png"/><Relationship Id="rId560" Type="http://schemas.openxmlformats.org/officeDocument/2006/relationships/image" Target="media/image496.png"/><Relationship Id="rId561" Type="http://schemas.openxmlformats.org/officeDocument/2006/relationships/image" Target="media/image497.png"/><Relationship Id="rId562" Type="http://schemas.openxmlformats.org/officeDocument/2006/relationships/image" Target="media/image498.png"/><Relationship Id="rId563" Type="http://schemas.openxmlformats.org/officeDocument/2006/relationships/image" Target="media/image499.png"/><Relationship Id="rId564" Type="http://schemas.openxmlformats.org/officeDocument/2006/relationships/image" Target="media/image500.png"/><Relationship Id="rId565" Type="http://schemas.openxmlformats.org/officeDocument/2006/relationships/image" Target="media/image501.png"/><Relationship Id="rId566" Type="http://schemas.openxmlformats.org/officeDocument/2006/relationships/image" Target="media/image502.png"/><Relationship Id="rId567" Type="http://schemas.openxmlformats.org/officeDocument/2006/relationships/image" Target="media/image503.png"/><Relationship Id="rId568" Type="http://schemas.openxmlformats.org/officeDocument/2006/relationships/image" Target="media/image504.png"/><Relationship Id="rId569" Type="http://schemas.openxmlformats.org/officeDocument/2006/relationships/image" Target="media/image505.png"/><Relationship Id="rId570" Type="http://schemas.openxmlformats.org/officeDocument/2006/relationships/image" Target="media/image506.png"/><Relationship Id="rId571" Type="http://schemas.openxmlformats.org/officeDocument/2006/relationships/image" Target="media/image507.png"/><Relationship Id="rId572" Type="http://schemas.openxmlformats.org/officeDocument/2006/relationships/image" Target="media/image508.png"/><Relationship Id="rId573" Type="http://schemas.openxmlformats.org/officeDocument/2006/relationships/image" Target="media/image509.png"/><Relationship Id="rId574" Type="http://schemas.openxmlformats.org/officeDocument/2006/relationships/image" Target="media/image510.png"/><Relationship Id="rId575" Type="http://schemas.openxmlformats.org/officeDocument/2006/relationships/image" Target="media/image511.png"/><Relationship Id="rId576" Type="http://schemas.openxmlformats.org/officeDocument/2006/relationships/image" Target="media/image512.png"/><Relationship Id="rId577" Type="http://schemas.openxmlformats.org/officeDocument/2006/relationships/image" Target="media/image513.png"/><Relationship Id="rId578" Type="http://schemas.openxmlformats.org/officeDocument/2006/relationships/image" Target="media/image514.png"/><Relationship Id="rId579" Type="http://schemas.openxmlformats.org/officeDocument/2006/relationships/image" Target="media/image515.png"/><Relationship Id="rId580" Type="http://schemas.openxmlformats.org/officeDocument/2006/relationships/image" Target="media/image516.png"/><Relationship Id="rId581" Type="http://schemas.openxmlformats.org/officeDocument/2006/relationships/image" Target="media/image517.png"/><Relationship Id="rId582" Type="http://schemas.openxmlformats.org/officeDocument/2006/relationships/image" Target="media/image518.png"/><Relationship Id="rId583" Type="http://schemas.openxmlformats.org/officeDocument/2006/relationships/image" Target="media/image519.png"/><Relationship Id="rId584" Type="http://schemas.openxmlformats.org/officeDocument/2006/relationships/image" Target="media/image520.png"/><Relationship Id="rId585" Type="http://schemas.openxmlformats.org/officeDocument/2006/relationships/image" Target="media/image521.png"/><Relationship Id="rId586" Type="http://schemas.openxmlformats.org/officeDocument/2006/relationships/image" Target="media/image522.png"/><Relationship Id="rId587" Type="http://schemas.openxmlformats.org/officeDocument/2006/relationships/image" Target="media/image523.png"/><Relationship Id="rId588" Type="http://schemas.openxmlformats.org/officeDocument/2006/relationships/image" Target="media/image524.png"/><Relationship Id="rId589" Type="http://schemas.openxmlformats.org/officeDocument/2006/relationships/image" Target="media/image525.png"/><Relationship Id="rId590" Type="http://schemas.openxmlformats.org/officeDocument/2006/relationships/image" Target="media/image526.png"/><Relationship Id="rId591" Type="http://schemas.openxmlformats.org/officeDocument/2006/relationships/image" Target="media/image527.png"/><Relationship Id="rId592" Type="http://schemas.openxmlformats.org/officeDocument/2006/relationships/image" Target="media/image528.png"/><Relationship Id="rId593" Type="http://schemas.openxmlformats.org/officeDocument/2006/relationships/image" Target="media/image529.png"/><Relationship Id="rId594" Type="http://schemas.openxmlformats.org/officeDocument/2006/relationships/image" Target="media/image530.png"/><Relationship Id="rId595" Type="http://schemas.openxmlformats.org/officeDocument/2006/relationships/image" Target="media/image531.png"/><Relationship Id="rId596" Type="http://schemas.openxmlformats.org/officeDocument/2006/relationships/image" Target="media/image532.png"/><Relationship Id="rId597" Type="http://schemas.openxmlformats.org/officeDocument/2006/relationships/image" Target="media/image533.png"/><Relationship Id="rId598" Type="http://schemas.openxmlformats.org/officeDocument/2006/relationships/image" Target="media/image534.png"/><Relationship Id="rId599" Type="http://schemas.openxmlformats.org/officeDocument/2006/relationships/image" Target="media/image535.png"/><Relationship Id="rId600" Type="http://schemas.openxmlformats.org/officeDocument/2006/relationships/image" Target="media/image536.png"/><Relationship Id="rId601" Type="http://schemas.openxmlformats.org/officeDocument/2006/relationships/image" Target="media/image537.png"/><Relationship Id="rId602" Type="http://schemas.openxmlformats.org/officeDocument/2006/relationships/image" Target="media/image538.png"/><Relationship Id="rId603" Type="http://schemas.openxmlformats.org/officeDocument/2006/relationships/image" Target="media/image539.png"/><Relationship Id="rId604" Type="http://schemas.openxmlformats.org/officeDocument/2006/relationships/image" Target="media/image540.png"/><Relationship Id="rId605" Type="http://schemas.openxmlformats.org/officeDocument/2006/relationships/image" Target="media/image541.png"/><Relationship Id="rId606" Type="http://schemas.openxmlformats.org/officeDocument/2006/relationships/image" Target="media/image542.png"/><Relationship Id="rId607" Type="http://schemas.openxmlformats.org/officeDocument/2006/relationships/image" Target="media/image543.png"/><Relationship Id="rId608" Type="http://schemas.openxmlformats.org/officeDocument/2006/relationships/image" Target="media/image544.png"/><Relationship Id="rId609" Type="http://schemas.openxmlformats.org/officeDocument/2006/relationships/image" Target="media/image545.png"/><Relationship Id="rId610" Type="http://schemas.openxmlformats.org/officeDocument/2006/relationships/image" Target="media/image546.png"/><Relationship Id="rId611" Type="http://schemas.openxmlformats.org/officeDocument/2006/relationships/image" Target="media/image547.png"/><Relationship Id="rId612" Type="http://schemas.openxmlformats.org/officeDocument/2006/relationships/image" Target="media/image548.png"/><Relationship Id="rId613" Type="http://schemas.openxmlformats.org/officeDocument/2006/relationships/image" Target="media/image549.png"/><Relationship Id="rId614" Type="http://schemas.openxmlformats.org/officeDocument/2006/relationships/image" Target="media/image550.png"/><Relationship Id="rId615" Type="http://schemas.openxmlformats.org/officeDocument/2006/relationships/image" Target="media/image551.png"/><Relationship Id="rId616" Type="http://schemas.openxmlformats.org/officeDocument/2006/relationships/image" Target="media/image552.png"/><Relationship Id="rId617" Type="http://schemas.openxmlformats.org/officeDocument/2006/relationships/image" Target="media/image553.png"/><Relationship Id="rId618" Type="http://schemas.openxmlformats.org/officeDocument/2006/relationships/image" Target="media/image554.png"/><Relationship Id="rId619" Type="http://schemas.openxmlformats.org/officeDocument/2006/relationships/image" Target="media/image555.png"/><Relationship Id="rId620" Type="http://schemas.openxmlformats.org/officeDocument/2006/relationships/image" Target="media/image556.png"/><Relationship Id="rId621" Type="http://schemas.openxmlformats.org/officeDocument/2006/relationships/image" Target="media/image557.png"/><Relationship Id="rId622" Type="http://schemas.openxmlformats.org/officeDocument/2006/relationships/image" Target="media/image558.png"/><Relationship Id="rId623" Type="http://schemas.openxmlformats.org/officeDocument/2006/relationships/image" Target="media/image559.png"/><Relationship Id="rId624" Type="http://schemas.openxmlformats.org/officeDocument/2006/relationships/image" Target="media/image560.png"/><Relationship Id="rId625" Type="http://schemas.openxmlformats.org/officeDocument/2006/relationships/image" Target="media/image561.png"/><Relationship Id="rId626" Type="http://schemas.openxmlformats.org/officeDocument/2006/relationships/image" Target="media/image562.png"/><Relationship Id="rId627" Type="http://schemas.openxmlformats.org/officeDocument/2006/relationships/image" Target="media/image563.png"/><Relationship Id="rId628" Type="http://schemas.openxmlformats.org/officeDocument/2006/relationships/image" Target="media/image564.png"/><Relationship Id="rId629" Type="http://schemas.openxmlformats.org/officeDocument/2006/relationships/image" Target="media/image565.png"/><Relationship Id="rId630" Type="http://schemas.openxmlformats.org/officeDocument/2006/relationships/image" Target="media/image566.png"/><Relationship Id="rId631" Type="http://schemas.openxmlformats.org/officeDocument/2006/relationships/image" Target="media/image567.png"/><Relationship Id="rId632" Type="http://schemas.openxmlformats.org/officeDocument/2006/relationships/image" Target="media/image568.png"/><Relationship Id="rId633" Type="http://schemas.openxmlformats.org/officeDocument/2006/relationships/image" Target="media/image569.png"/><Relationship Id="rId634" Type="http://schemas.openxmlformats.org/officeDocument/2006/relationships/image" Target="media/image570.png"/><Relationship Id="rId635" Type="http://schemas.openxmlformats.org/officeDocument/2006/relationships/image" Target="media/image571.png"/><Relationship Id="rId636" Type="http://schemas.openxmlformats.org/officeDocument/2006/relationships/image" Target="media/image572.png"/><Relationship Id="rId637" Type="http://schemas.openxmlformats.org/officeDocument/2006/relationships/image" Target="media/image573.png"/><Relationship Id="rId638" Type="http://schemas.openxmlformats.org/officeDocument/2006/relationships/image" Target="media/image574.png"/><Relationship Id="rId639" Type="http://schemas.openxmlformats.org/officeDocument/2006/relationships/image" Target="media/image575.png"/><Relationship Id="rId640" Type="http://schemas.openxmlformats.org/officeDocument/2006/relationships/image" Target="media/image576.png"/><Relationship Id="rId641" Type="http://schemas.openxmlformats.org/officeDocument/2006/relationships/image" Target="media/image577.png"/><Relationship Id="rId642" Type="http://schemas.openxmlformats.org/officeDocument/2006/relationships/image" Target="media/image578.png"/><Relationship Id="rId643" Type="http://schemas.openxmlformats.org/officeDocument/2006/relationships/image" Target="media/image579.png"/><Relationship Id="rId644" Type="http://schemas.openxmlformats.org/officeDocument/2006/relationships/image" Target="media/image580.png"/><Relationship Id="rId645" Type="http://schemas.openxmlformats.org/officeDocument/2006/relationships/image" Target="media/image581.png"/><Relationship Id="rId646" Type="http://schemas.openxmlformats.org/officeDocument/2006/relationships/image" Target="media/image582.png"/><Relationship Id="rId647" Type="http://schemas.openxmlformats.org/officeDocument/2006/relationships/image" Target="media/image583.png"/><Relationship Id="rId648" Type="http://schemas.openxmlformats.org/officeDocument/2006/relationships/image" Target="media/image584.png"/><Relationship Id="rId649" Type="http://schemas.openxmlformats.org/officeDocument/2006/relationships/image" Target="media/image585.png"/><Relationship Id="rId650" Type="http://schemas.openxmlformats.org/officeDocument/2006/relationships/image" Target="media/image586.png"/><Relationship Id="rId651" Type="http://schemas.openxmlformats.org/officeDocument/2006/relationships/image" Target="media/image587.png"/><Relationship Id="rId652" Type="http://schemas.openxmlformats.org/officeDocument/2006/relationships/image" Target="media/image588.png"/><Relationship Id="rId653" Type="http://schemas.openxmlformats.org/officeDocument/2006/relationships/image" Target="media/image589.png"/><Relationship Id="rId654" Type="http://schemas.openxmlformats.org/officeDocument/2006/relationships/image" Target="media/image590.png"/><Relationship Id="rId655" Type="http://schemas.openxmlformats.org/officeDocument/2006/relationships/image" Target="media/image591.png"/><Relationship Id="rId656" Type="http://schemas.openxmlformats.org/officeDocument/2006/relationships/image" Target="media/image592.png"/><Relationship Id="rId657" Type="http://schemas.openxmlformats.org/officeDocument/2006/relationships/image" Target="media/image593.png"/><Relationship Id="rId658" Type="http://schemas.openxmlformats.org/officeDocument/2006/relationships/image" Target="media/image594.png"/><Relationship Id="rId443" Type="http://schemas.openxmlformats.org/officeDocument/2006/relationships/hyperlink" Target="https://www.sec.gov/Archives/edgar/data/1130464/000113046415000133/ex21purchaseandsaleagr.htm" TargetMode="External"/><Relationship Id="rId444" Type="http://schemas.openxmlformats.org/officeDocument/2006/relationships/hyperlink" Target="https://www.sec.gov/Archives/edgar/data/1130464/000113046416000176/bkhex-221stamdpurchasesale.htm" TargetMode="External"/><Relationship Id="rId445" Type="http://schemas.openxmlformats.org/officeDocument/2006/relationships/hyperlink" Target="https://www.sec.gov/Archives/edgar/data/1130464/000113046415000133/ex22optionagreement.htm" TargetMode="External"/><Relationship Id="rId446" Type="http://schemas.openxmlformats.org/officeDocument/2006/relationships/hyperlink" Target="https://www.sec.gov/Archives/edgar/data/1130464/000113046418000007/bhcamendedarticles.htm" TargetMode="External"/><Relationship Id="rId447" Type="http://schemas.openxmlformats.org/officeDocument/2006/relationships/hyperlink" Target="https://www.sec.gov/Archives/edgar/data/1130464/000113046417000016/bkhexh3-amdrestatedbylawso.htm" TargetMode="External"/><Relationship Id="rId448" Type="http://schemas.openxmlformats.org/officeDocument/2006/relationships/hyperlink" Target="https://www.sec.gov/Archives/edgar/data/1130464/000113046403000214/ex4-1_10q603.htm" TargetMode="External"/><Relationship Id="rId449" Type="http://schemas.openxmlformats.org/officeDocument/2006/relationships/hyperlink" Target="https://www.sec.gov/Archives/edgar/data/1130464/000113046403000214/ex4-2_10q603.htm" TargetMode="External"/><Relationship Id="rId450" Type="http://schemas.openxmlformats.org/officeDocument/2006/relationships/hyperlink" Target="https://www.sec.gov/Archives/edgar/data/1130464/000110465909032244/a09-13238_3ex4.htm" TargetMode="External"/><Relationship Id="rId451" Type="http://schemas.openxmlformats.org/officeDocument/2006/relationships/hyperlink" Target="https://www.sec.gov/Archives/edgar/data/1130464/000110465910038202/a10-11184_5ex4.htm" TargetMode="External"/><Relationship Id="rId452" Type="http://schemas.openxmlformats.org/officeDocument/2006/relationships/hyperlink" Target="https://www.sec.gov/Archives/edgar/data/1130464/000110465913085420/a13-24110_4ex4.htm" TargetMode="External"/><Relationship Id="rId456" Type="http://schemas.openxmlformats.org/officeDocument/2006/relationships/hyperlink" Target="https://www.sec.gov/Archives/edgar/data/1130464/000110465916089656/a16-1059_4ex4d1.htm" TargetMode="External"/><Relationship Id="rId457" Type="http://schemas.openxmlformats.org/officeDocument/2006/relationships/hyperlink" Target="https://www.sec.gov/Archives/edgar/data/1130464/000110465916140657/a16-17027_1ex4d1.htm" TargetMode="External"/><Relationship Id="rId458" Type="http://schemas.openxmlformats.org/officeDocument/2006/relationships/hyperlink" Target="https://www.sec.gov/Archives/edgar/data/1130464/000110465918052602/a18-18564_4ex4d2.htm" TargetMode="External"/><Relationship Id="rId459" Type="http://schemas.openxmlformats.org/officeDocument/2006/relationships/hyperlink" Target="https://www.sec.gov/Archives/edgar/data/1130464/000141057819001533/tv530573_ex4-1.htm" TargetMode="External"/><Relationship Id="rId460" Type="http://schemas.openxmlformats.org/officeDocument/2006/relationships/hyperlink" Target="https://www.sec.gov/Archives/edgar/data/1130464/000110465920074172/tm2022285d4_ex4-1.htm" TargetMode="External"/><Relationship Id="rId461" Type="http://schemas.openxmlformats.org/officeDocument/2006/relationships/hyperlink" Target="https://www.sec.gov/Archives/edgar/data/1130464/000110465921109815/tm2125215d4_ex4-1.htm" TargetMode="External"/><Relationship Id="rId462" Type="http://schemas.openxmlformats.org/officeDocument/2006/relationships/hyperlink" Target="https://www.sec.gov/Archives/edgar/data/12400/000104746909009108/a2195001zex-4_19.htm" TargetMode="External"/><Relationship Id="rId463" Type="http://schemas.openxmlformats.org/officeDocument/2006/relationships/hyperlink" Target="https://www.sec.gov/Archives/edgar/data/12400/000104746909009108/a2195001zex-4_20.htm" TargetMode="External"/><Relationship Id="rId464" Type="http://schemas.openxmlformats.org/officeDocument/2006/relationships/hyperlink" Target="https://www.sec.gov/Archives/edgar/data/12400/000110465909060487/a09-31821_7ex4d21.htm" TargetMode="External"/><Relationship Id="rId465" Type="http://schemas.openxmlformats.org/officeDocument/2006/relationships/hyperlink" Target="https://www.sec.gov/Archives/edgar/data/12400/000113046414000164/ex_10-1thirdsuppindentureb.htm" TargetMode="External"/><Relationship Id="rId466" Type="http://schemas.openxmlformats.org/officeDocument/2006/relationships/hyperlink" Target="https://www.sec.gov/Archives/edgar/data/12400/000113046414000164/ex_10-2restatedindenture.htm" TargetMode="External"/><Relationship Id="rId467" Type="http://schemas.openxmlformats.org/officeDocument/2006/relationships/hyperlink" Target="https://www.sec.gov/Archives/edgar/data/12400/000113046414000164/ex_10-3clfpfirstsupplement.htm" TargetMode="External"/><Relationship Id="rId468" Type="http://schemas.openxmlformats.org/officeDocument/2006/relationships/hyperlink" Target="https://www.sec.gov/Archives/edgar/data/12400/000113046414000164/ex_10-4clfpsupplementalind.htm" TargetMode="External"/><Relationship Id="rId469" Type="http://schemas.openxmlformats.org/officeDocument/2006/relationships/hyperlink" Target="https://www.sec.gov/Archives/edgar/data/1130464/000001240001000024/0000012400-01-000024-0002.txt" TargetMode="External"/><Relationship Id="rId470" Type="http://schemas.openxmlformats.org/officeDocument/2006/relationships/hyperlink" Target="https://www.sec.gov/Archives/edgar/data/1130464/000113046420000006/bkhex-45descriptionofs.htm" TargetMode="External"/><Relationship Id="rId471" Type="http://schemas.openxmlformats.org/officeDocument/2006/relationships/hyperlink" Target="https://www.sec.gov/Archives/edgar/data/1130464/000113046402000010/ex10_11.txt" TargetMode="External"/><Relationship Id="rId472" Type="http://schemas.openxmlformats.org/officeDocument/2006/relationships/hyperlink" Target="https://www.sec.gov/Archives/edgar/data/1130464/000113046403000054/ex_amendpension10k.htm" TargetMode="External"/><Relationship Id="rId473" Type="http://schemas.openxmlformats.org/officeDocument/2006/relationships/hyperlink" Target="https://www.sec.gov/Archives/edgar/data/1130464/000113046409000099/ex10-2_pepamendment.htm" TargetMode="External"/><Relationship Id="rId474" Type="http://schemas.openxmlformats.org/officeDocument/2006/relationships/hyperlink" Target="https://www.sec.gov/Archives/edgar/data/1130464/000113046409000099/ex10-5_restorationplan.htm" TargetMode="External"/><Relationship Id="rId475" Type="http://schemas.openxmlformats.org/officeDocument/2006/relationships/hyperlink" Target="https://www.sec.gov/Archives/edgar/data/1130464/000113046411000066/exhibit102.htm" TargetMode="External"/><Relationship Id="rId476" Type="http://schemas.openxmlformats.org/officeDocument/2006/relationships/hyperlink" Target="https://www.sec.gov/Archives/edgar/data/1130464/000113046411000027/exhibit104.htm" TargetMode="External"/><Relationship Id="rId477" Type="http://schemas.openxmlformats.org/officeDocument/2006/relationships/hyperlink" Target="https://www.sec.gov/Archives/edgar/data/1130464/000113046419000012/bkhex-105firstamendmentton.htm" TargetMode="External"/><Relationship Id="rId478" Type="http://schemas.openxmlformats.org/officeDocument/2006/relationships/hyperlink" Target="https://www.sec.gov/Archives/edgar/data/1130464/000110465905016238/a05-6134_1def14a.htm" TargetMode="External"/><Relationship Id="rId479" Type="http://schemas.openxmlformats.org/officeDocument/2006/relationships/hyperlink" Target="https://www.sec.gov/Archives/edgar/data/1130464/000113046409000099/ex10-11_2005omnibusplanamend.htm" TargetMode="External"/><Relationship Id="rId480" Type="http://schemas.openxmlformats.org/officeDocument/2006/relationships/hyperlink" Target="https://www.sec.gov/Archives/edgar/data/1130464/000113046410000055/ex10_omnibusplan-2ndamend.htm" TargetMode="External"/><Relationship Id="rId484" Type="http://schemas.openxmlformats.org/officeDocument/2006/relationships/hyperlink" Target="https://www.sec.gov/Archives/edgar/data/1130464/000113046414000056/bkhex-107122013.htm" TargetMode="External"/><Relationship Id="rId485" Type="http://schemas.openxmlformats.org/officeDocument/2006/relationships/hyperlink" Target="https://www.sec.gov/Archives/edgar/data/1130464/000113046416000176/bkhex-108stockoptionawarda.htm" TargetMode="External"/><Relationship Id="rId486" Type="http://schemas.openxmlformats.org/officeDocument/2006/relationships/hyperlink" Target="https://www.sec.gov/Archives/edgar/data/1130464/000113046416000176/bkhex-1010formofrestricted.htm" TargetMode="External"/><Relationship Id="rId487" Type="http://schemas.openxmlformats.org/officeDocument/2006/relationships/hyperlink" Target="https://www.sec.gov/Archives/edgar/data/1130464/000113046421000007/bkhex-1011restrictedstocka.htm" TargetMode="External"/><Relationship Id="rId488" Type="http://schemas.openxmlformats.org/officeDocument/2006/relationships/hyperlink" Target="https://www.sec.gov/Archives/edgar/data/1130464/000113046416000176/bkhex-1012formofrestricted.htm" TargetMode="External"/><Relationship Id="rId489" Type="http://schemas.openxmlformats.org/officeDocument/2006/relationships/hyperlink" Target="https://www.sec.gov/Archives/edgar/data/1130464/000113046416000199/bkhex-106pspawardagr2015om.htm" TargetMode="External"/><Relationship Id="rId490" Type="http://schemas.openxmlformats.org/officeDocument/2006/relationships/hyperlink" Target="https://www.sec.gov/Archives/edgar/data/1130464/000113046420000006/bkhex-1012performances.htm" TargetMode="External"/><Relationship Id="rId491" Type="http://schemas.openxmlformats.org/officeDocument/2006/relationships/hyperlink" Target="https://www.sec.gov/Archives/edgar/data/1130464/000113046421000007/bkhex-1016stipawardagreeme.htm" TargetMode="External"/><Relationship Id="rId492" Type="http://schemas.openxmlformats.org/officeDocument/2006/relationships/hyperlink" Target="https://www.sec.gov/Archives/edgar/data/1130464/000113046421000007/bkhex-1017performanceunita.htm" TargetMode="External"/><Relationship Id="rId493" Type="http://schemas.openxmlformats.org/officeDocument/2006/relationships/hyperlink" Target="https://www.sec.gov/Archives/edgar/data/1130464/000113046404000296/ex10-5sep3_8k.htm" TargetMode="External"/><Relationship Id="rId494" Type="http://schemas.openxmlformats.org/officeDocument/2006/relationships/hyperlink" Target="https://www.sec.gov/Archives/edgar/data/1130464/000113046409000099/ex10-23_directorcompplan.htm" TargetMode="External"/><Relationship Id="rId495" Type="http://schemas.openxmlformats.org/officeDocument/2006/relationships/hyperlink" Target="https://www.sec.gov/Archives/edgar/data/1130464/000113046411000027/exhibit1016.htm" TargetMode="External"/><Relationship Id="rId496" Type="http://schemas.openxmlformats.org/officeDocument/2006/relationships/hyperlink" Target="https://www.sec.gov/Archives/edgar/data/1130464/000113046413000071/bkhex-1015122012.htm" TargetMode="External"/><Relationship Id="rId497" Type="http://schemas.openxmlformats.org/officeDocument/2006/relationships/hyperlink" Target="https://www.sec.gov/Archives/edgar/data/1130464/000113046415000083/bkhex-1016122014.htm" TargetMode="External"/><Relationship Id="rId498" Type="http://schemas.openxmlformats.org/officeDocument/2006/relationships/hyperlink" Target="https://www.sec.gov/Archives/edgar/data/1130464/000113046416000217/bkhex-104q32016fourthamddi.htm" TargetMode="External"/><Relationship Id="rId499" Type="http://schemas.openxmlformats.org/officeDocument/2006/relationships/hyperlink" Target="https://www.sec.gov/Archives/edgar/data/1130464/000113046418000014/bkhex-1016directorcompplan.htm" TargetMode="External"/><Relationship Id="rId500" Type="http://schemas.openxmlformats.org/officeDocument/2006/relationships/hyperlink" Target="https://www.sec.gov/Archives/edgar/data/1130464/000113046419000012/bkhex1018bodoutsidedircomp.htm" TargetMode="External"/><Relationship Id="rId501" Type="http://schemas.openxmlformats.org/officeDocument/2006/relationships/hyperlink" Target="https://www.sec.gov/Archives/edgar/data/1130464/000113046416000199/bkhex-108nonxdisclosureand.htm" TargetMode="External"/><Relationship Id="rId502" Type="http://schemas.openxmlformats.org/officeDocument/2006/relationships/hyperlink" Target="https://www.sec.gov/Archives/edgar/data/1130464/000110465920089882/tm2026019d3_ex1-1.htm" TargetMode="External"/><Relationship Id="rId503" Type="http://schemas.openxmlformats.org/officeDocument/2006/relationships/hyperlink" Target="https://www.sec.gov/Archives/edgar/data/1130464/000113046421000026/exhibit101amendedandrestat.htm" TargetMode="External"/><Relationship Id="rId504" Type="http://schemas.openxmlformats.org/officeDocument/2006/relationships/hyperlink" Target="https://www.sec.gov/Archives/edgar/data/1130464/000113046421000004/exhibit101creditagreementt.htm" TargetMode="External"/><Relationship Id="rId505" Type="http://schemas.openxmlformats.org/officeDocument/2006/relationships/hyperlink" Target="https://www.sec.gov/Archives/edgar/data/1130464/000113046422000004/bkhex-1026nonxemployeedi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2023-02-14T14:27:15Z</dcterms:created>
  <dcterms:modified xsi:type="dcterms:W3CDTF">2023-02-14T14:27:15Z</dcterms:modified>
</cp:coreProperties>
</file>