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780" w:right="1380" w:hanging="2389"/>
        <w:spacing w:after="0" w:line="286" w:lineRule="auto"/>
        <w:tabs>
          <w:tab w:leader="none" w:pos="15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2025</w:t>
      </w:r>
    </w:p>
    <w:p>
      <w:pPr>
        <w:spacing w:after="0" w:line="129" w:lineRule="exact"/>
        <w:rPr>
          <w:sz w:val="24"/>
          <w:szCs w:val="24"/>
          <w:color w:val="auto"/>
        </w:rPr>
      </w:pPr>
    </w:p>
    <w:p>
      <w:pPr>
        <w:ind w:left="3540" w:right="1360" w:hanging="2167"/>
        <w:spacing w:after="0" w:line="286" w:lineRule="auto"/>
        <w:tabs>
          <w:tab w:leader="none" w:pos="16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86" w:lineRule="exact"/>
        <w:rPr>
          <w:sz w:val="24"/>
          <w:szCs w:val="24"/>
          <w:color w:val="auto"/>
        </w:rPr>
      </w:pPr>
    </w:p>
    <w:p>
      <w:pPr>
        <w:ind w:left="24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04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580" w:space="720"/>
            <w:col w:w="3400"/>
          </w:cols>
          <w:pgMar w:left="320" w:top="233" w:right="3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ind w:left="3920"/>
              <w:spacing w:after="0"/>
              <w:rPr>
                <w:sz w:val="20"/>
                <w:szCs w:val="20"/>
                <w:color w:val="auto"/>
              </w:rPr>
            </w:pPr>
            <w:r>
              <w:rPr>
                <w:rFonts w:ascii="Arial" w:cs="Arial" w:eastAsia="Arial" w:hAnsi="Arial"/>
                <w:sz w:val="16"/>
                <w:szCs w:val="16"/>
                <w:color w:val="auto"/>
              </w:rPr>
              <w:t>Class</w:t>
            </w:r>
          </w:p>
        </w:tc>
        <w:tc>
          <w:tcPr>
            <w:tcW w:w="5560" w:type="dxa"/>
            <w:vAlign w:val="bottom"/>
          </w:tcPr>
          <w:p>
            <w:pPr>
              <w:ind w:left="420"/>
              <w:spacing w:after="0"/>
              <w:rPr>
                <w:sz w:val="20"/>
                <w:szCs w:val="20"/>
                <w:color w:val="auto"/>
              </w:rPr>
            </w:pPr>
            <w:r>
              <w:rPr>
                <w:rFonts w:ascii="Arial" w:cs="Arial" w:eastAsia="Arial" w:hAnsi="Arial"/>
                <w:sz w:val="16"/>
                <w:szCs w:val="16"/>
                <w:color w:val="auto"/>
              </w:rPr>
              <w:t>Outstanding at November 4, 2025</w:t>
            </w:r>
          </w:p>
        </w:tc>
      </w:tr>
      <w:tr>
        <w:trPr>
          <w:trHeight w:val="270"/>
        </w:trPr>
        <w:tc>
          <w:tcPr>
            <w:tcW w:w="5680" w:type="dxa"/>
            <w:vAlign w:val="bottom"/>
          </w:tcPr>
          <w:p>
            <w:pPr>
              <w:ind w:left="2960"/>
              <w:spacing w:after="0"/>
              <w:rPr>
                <w:sz w:val="20"/>
                <w:szCs w:val="20"/>
                <w:color w:val="auto"/>
              </w:rPr>
            </w:pPr>
            <w:r>
              <w:rPr>
                <w:rFonts w:ascii="Arial" w:cs="Arial" w:eastAsia="Arial" w:hAnsi="Arial"/>
                <w:sz w:val="16"/>
                <w:szCs w:val="16"/>
                <w:color w:val="auto"/>
              </w:rPr>
              <w:t>Common stock, $1.00 par value</w:t>
            </w:r>
          </w:p>
        </w:tc>
        <w:tc>
          <w:tcPr>
            <w:tcW w:w="5560" w:type="dxa"/>
            <w:vAlign w:val="bottom"/>
          </w:tcPr>
          <w:p>
            <w:pPr>
              <w:ind w:left="800"/>
              <w:spacing w:after="0"/>
              <w:rPr>
                <w:sz w:val="20"/>
                <w:szCs w:val="20"/>
                <w:color w:val="auto"/>
              </w:rPr>
            </w:pPr>
            <w:r>
              <w:rPr>
                <w:rFonts w:ascii="Arial" w:cs="Arial" w:eastAsia="Arial" w:hAnsi="Arial"/>
                <w:sz w:val="16"/>
                <w:szCs w:val="16"/>
                <w:color w:val="auto"/>
              </w:rPr>
              <w:t>75,473,390 shares</w:t>
            </w:r>
          </w:p>
        </w:tc>
      </w:tr>
      <w:tr>
        <w:trPr>
          <w:trHeight w:val="1210"/>
        </w:trPr>
        <w:tc>
          <w:tcPr>
            <w:tcW w:w="5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gridSpan w:val="10"/>
          </w:tcPr>
          <w:p>
            <w:pPr>
              <w:ind w:left="12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16"/>
                <w:szCs w:val="16"/>
                <w:color w:val="auto"/>
              </w:rPr>
              <w:t>Page</w:t>
            </w:r>
          </w:p>
        </w:tc>
      </w:tr>
      <w:tr>
        <w:trPr>
          <w:trHeight w:val="156"/>
        </w:trPr>
        <w:tc>
          <w:tcPr>
            <w:tcW w:w="2680" w:type="dxa"/>
            <w:vAlign w:val="bottom"/>
            <w:tcBorders>
              <w:top w:val="single" w:sz="8" w:color="CFF0FC"/>
              <w:bottom w:val="single" w:sz="8" w:color="0000FF"/>
              <w:right w:val="single" w:sz="8" w:color="CFF0FC"/>
            </w:tcBorders>
            <w:gridSpan w:val="10"/>
            <w:shd w:val="clear" w:color="auto" w:fill="CFF0FC"/>
          </w:tcPr>
          <w:p>
            <w:pPr>
              <w:spacing w:after="0" w:line="148" w:lineRule="exact"/>
              <w:rPr>
                <w:sz w:val="20"/>
                <w:szCs w:val="20"/>
                <w:color w:val="auto"/>
              </w:rPr>
            </w:pPr>
            <w:r>
              <w:rPr>
                <w:rFonts w:ascii="Arial" w:cs="Arial" w:eastAsia="Arial" w:hAnsi="Arial"/>
                <w:sz w:val="16"/>
                <w:szCs w:val="16"/>
                <w:color w:val="0000FF"/>
              </w:rPr>
              <w:t>Glossary of Terms and Abbreviations</w:t>
            </w:r>
          </w:p>
        </w:tc>
        <w:tc>
          <w:tcPr>
            <w:tcW w:w="7000" w:type="dxa"/>
            <w:vAlign w:val="bottom"/>
            <w:tcBorders>
              <w:top w:val="single" w:sz="8" w:color="CFF0FC"/>
              <w:bottom w:val="single" w:sz="8" w:color="CFF0FC"/>
            </w:tcBorders>
            <w:gridSpan w:val="22"/>
            <w:shd w:val="clear" w:color="auto" w:fill="CFF0FC"/>
          </w:tcPr>
          <w:p>
            <w:pPr>
              <w:spacing w:after="0"/>
              <w:rPr>
                <w:sz w:val="13"/>
                <w:szCs w:val="13"/>
                <w:color w:val="auto"/>
              </w:rPr>
            </w:pPr>
          </w:p>
        </w:tc>
        <w:tc>
          <w:tcPr>
            <w:tcW w:w="720" w:type="dxa"/>
            <w:vAlign w:val="bottom"/>
            <w:tcBorders>
              <w:top w:val="single" w:sz="8" w:color="auto"/>
              <w:bottom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0000FF"/>
            </w:tcBorders>
            <w:shd w:val="clear" w:color="auto" w:fill="CFF0FC"/>
          </w:tcPr>
          <w:p>
            <w:pPr>
              <w:jc w:val="center"/>
              <w:spacing w:after="0" w:line="148" w:lineRule="exact"/>
              <w:rPr>
                <w:sz w:val="20"/>
                <w:szCs w:val="20"/>
                <w:color w:val="auto"/>
              </w:rPr>
            </w:pPr>
            <w:r>
              <w:rPr>
                <w:rFonts w:ascii="Arial" w:cs="Arial" w:eastAsia="Arial" w:hAnsi="Arial"/>
                <w:sz w:val="16"/>
                <w:szCs w:val="16"/>
                <w:color w:val="0000FF"/>
              </w:rPr>
              <w:t>3</w:t>
            </w:r>
          </w:p>
        </w:tc>
        <w:tc>
          <w:tcPr>
            <w:tcW w:w="720" w:type="dxa"/>
            <w:vAlign w:val="bottom"/>
            <w:tcBorders>
              <w:top w:val="single" w:sz="8" w:color="auto"/>
              <w:left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62"/>
        </w:trPr>
        <w:tc>
          <w:tcPr>
            <w:tcW w:w="248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Forward-Looking Information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9680" w:type="dxa"/>
            <w:vAlign w:val="bottom"/>
            <w:gridSpan w:val="32"/>
            <w:shd w:val="clear" w:color="auto" w:fill="CFF0FC"/>
          </w:tcPr>
          <w:p>
            <w:pPr>
              <w:spacing w:after="0" w:line="162" w:lineRule="exact"/>
              <w:rPr>
                <w:sz w:val="20"/>
                <w:szCs w:val="20"/>
                <w:color w:val="auto"/>
              </w:rPr>
            </w:pPr>
            <w:r>
              <w:rPr>
                <w:rFonts w:ascii="Arial" w:cs="Arial" w:eastAsia="Arial" w:hAnsi="Arial"/>
                <w:sz w:val="16"/>
                <w:szCs w:val="16"/>
                <w:color w:val="0000FF"/>
              </w:rPr>
              <w:t>PART I. FINANCIAL INFORMATION</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Financial Statements - unaudited</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CFF0FC"/>
            </w:tcBorders>
            <w:shd w:val="clear" w:color="auto" w:fill="0000FF"/>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Income</w:t>
            </w: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9</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Balance Sheets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Equity</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w w:val="99"/>
              </w:rPr>
              <w:t>Note 1. Management’s Statement</w:t>
            </w:r>
          </w:p>
        </w:tc>
        <w:tc>
          <w:tcPr>
            <w:tcW w:w="1520" w:type="dxa"/>
            <w:vAlign w:val="bottom"/>
            <w:gridSpan w:val="7"/>
          </w:tcPr>
          <w:p>
            <w:pPr>
              <w:spacing w:after="0"/>
              <w:rPr>
                <w:sz w:val="14"/>
                <w:szCs w:val="14"/>
                <w:color w:val="auto"/>
              </w:rPr>
            </w:pP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rPr>
              <w:t>Note 2.</w:t>
            </w:r>
          </w:p>
        </w:tc>
        <w:tc>
          <w:tcPr>
            <w:tcW w:w="18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5400" w:type="dxa"/>
            <w:vAlign w:val="bottom"/>
            <w:tcBorders>
              <w:left w:val="single" w:sz="8" w:color="CFF0FC"/>
            </w:tcBorders>
            <w:gridSpan w:val="12"/>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CFF0FC"/>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22"/>
          </w:tcPr>
          <w:p>
            <w:pPr>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17</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940" w:type="dxa"/>
            <w:vAlign w:val="bottom"/>
            <w:gridSpan w:val="22"/>
            <w:shd w:val="clear" w:color="auto" w:fill="CFF0FC"/>
          </w:tcPr>
          <w:p>
            <w:pPr>
              <w:spacing w:after="0" w:line="162" w:lineRule="exact"/>
              <w:rPr>
                <w:sz w:val="20"/>
                <w:szCs w:val="20"/>
                <w:color w:val="auto"/>
              </w:rPr>
            </w:pPr>
            <w:r>
              <w:rPr>
                <w:rFonts w:ascii="Arial" w:cs="Arial" w:eastAsia="Arial" w:hAnsi="Arial"/>
                <w:sz w:val="16"/>
                <w:szCs w:val="16"/>
                <w:color w:val="0000FF"/>
              </w:rPr>
              <w:t>Note 4. Revenue</w:t>
            </w:r>
          </w:p>
        </w:tc>
        <w:tc>
          <w:tcPr>
            <w:tcW w:w="3880" w:type="dxa"/>
            <w:vAlign w:val="bottom"/>
            <w:tcBorders>
              <w:left w:val="single" w:sz="8" w:color="CFF0FC"/>
            </w:tcBorders>
            <w:gridSpan w:val="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18</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0000FF"/>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rPr>
              <w:t>Note 5.</w:t>
            </w:r>
          </w:p>
        </w:tc>
        <w:tc>
          <w:tcPr>
            <w:tcW w:w="700" w:type="dxa"/>
            <w:vAlign w:val="bottom"/>
            <w:gridSpan w:val="5"/>
          </w:tcPr>
          <w:p>
            <w:pPr>
              <w:spacing w:after="0" w:line="162" w:lineRule="exact"/>
              <w:rPr>
                <w:sz w:val="20"/>
                <w:szCs w:val="20"/>
                <w:color w:val="auto"/>
              </w:rPr>
            </w:pPr>
            <w:r>
              <w:rPr>
                <w:rFonts w:ascii="Arial" w:cs="Arial" w:eastAsia="Arial" w:hAnsi="Arial"/>
                <w:sz w:val="16"/>
                <w:szCs w:val="16"/>
                <w:color w:val="0000FF"/>
                <w:w w:val="95"/>
              </w:rPr>
              <w:t>Financing</w:t>
            </w:r>
          </w:p>
        </w:tc>
        <w:tc>
          <w:tcPr>
            <w:tcW w:w="6500" w:type="dxa"/>
            <w:vAlign w:val="bottom"/>
            <w:gridSpan w:val="18"/>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820" w:type="dxa"/>
            <w:vAlign w:val="bottom"/>
            <w:gridSpan w:val="27"/>
            <w:shd w:val="clear" w:color="auto" w:fill="CFF0FC"/>
          </w:tcPr>
          <w:p>
            <w:pPr>
              <w:spacing w:after="0" w:line="162" w:lineRule="exact"/>
              <w:rPr>
                <w:sz w:val="20"/>
                <w:szCs w:val="20"/>
                <w:color w:val="auto"/>
              </w:rPr>
            </w:pPr>
            <w:r>
              <w:rPr>
                <w:rFonts w:ascii="Arial" w:cs="Arial" w:eastAsia="Arial" w:hAnsi="Arial"/>
                <w:sz w:val="16"/>
                <w:szCs w:val="16"/>
                <w:color w:val="0000FF"/>
              </w:rPr>
              <w:t>Note 6. Earnings Per Share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21</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gridSpan w:val="27"/>
          </w:tcPr>
          <w:p>
            <w:pPr>
              <w:spacing w:after="0" w:line="162" w:lineRule="exact"/>
              <w:rPr>
                <w:sz w:val="20"/>
                <w:szCs w:val="20"/>
                <w:color w:val="auto"/>
              </w:rPr>
            </w:pPr>
            <w:r>
              <w:rPr>
                <w:rFonts w:ascii="Arial" w:cs="Arial" w:eastAsia="Arial" w:hAnsi="Arial"/>
                <w:sz w:val="16"/>
                <w:szCs w:val="16"/>
                <w:color w:val="0000FF"/>
              </w:rPr>
              <w:t>Note 7. Risk Management and Derivatives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080" w:type="dxa"/>
            <w:vAlign w:val="bottom"/>
            <w:gridSpan w:val="19"/>
            <w:shd w:val="clear" w:color="auto" w:fill="CFF0FC"/>
          </w:tcPr>
          <w:p>
            <w:pPr>
              <w:spacing w:after="0" w:line="162" w:lineRule="exact"/>
              <w:rPr>
                <w:sz w:val="20"/>
                <w:szCs w:val="20"/>
                <w:color w:val="auto"/>
              </w:rPr>
            </w:pPr>
            <w:r>
              <w:rPr>
                <w:rFonts w:ascii="Arial" w:cs="Arial" w:eastAsia="Arial" w:hAnsi="Arial"/>
                <w:sz w:val="16"/>
                <w:szCs w:val="16"/>
                <w:color w:val="0000FF"/>
              </w:rPr>
              <w:t>Note 8. Fair Value Measurements</w:t>
            </w:r>
          </w:p>
        </w:tc>
        <w:tc>
          <w:tcPr>
            <w:tcW w:w="4740" w:type="dxa"/>
            <w:vAlign w:val="bottom"/>
            <w:gridSpan w:val="8"/>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17"/>
          </w:tcPr>
          <w:p>
            <w:pPr>
              <w:spacing w:after="0" w:line="162" w:lineRule="exact"/>
              <w:rPr>
                <w:sz w:val="20"/>
                <w:szCs w:val="20"/>
                <w:color w:val="auto"/>
              </w:rPr>
            </w:pPr>
            <w:r>
              <w:rPr>
                <w:rFonts w:ascii="Arial" w:cs="Arial" w:eastAsia="Arial" w:hAnsi="Arial"/>
                <w:sz w:val="16"/>
                <w:szCs w:val="16"/>
                <w:color w:val="0000FF"/>
              </w:rPr>
              <w:t>Note 9. Other Comprehensive Income</w:t>
            </w:r>
          </w:p>
        </w:tc>
        <w:tc>
          <w:tcPr>
            <w:tcW w:w="504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10.</w:t>
            </w:r>
          </w:p>
        </w:tc>
        <w:tc>
          <w:tcPr>
            <w:tcW w:w="2160" w:type="dxa"/>
            <w:vAlign w:val="bottom"/>
            <w:gridSpan w:val="13"/>
            <w:shd w:val="clear" w:color="auto" w:fill="CFF0FC"/>
          </w:tcPr>
          <w:p>
            <w:pPr>
              <w:ind w:left="80"/>
              <w:spacing w:after="0" w:line="162" w:lineRule="exact"/>
              <w:rPr>
                <w:sz w:val="20"/>
                <w:szCs w:val="20"/>
                <w:color w:val="auto"/>
              </w:rPr>
            </w:pPr>
            <w:r>
              <w:rPr>
                <w:rFonts w:ascii="Arial" w:cs="Arial" w:eastAsia="Arial" w:hAnsi="Arial"/>
                <w:sz w:val="16"/>
                <w:szCs w:val="16"/>
                <w:color w:val="0000FF"/>
              </w:rPr>
              <w:t>Employee Benefit Plans</w:t>
            </w:r>
          </w:p>
        </w:tc>
        <w:tc>
          <w:tcPr>
            <w:tcW w:w="5040" w:type="dxa"/>
            <w:vAlign w:val="bottom"/>
            <w:tcBorders>
              <w:left w:val="single" w:sz="8" w:color="CFF0FC"/>
            </w:tcBorders>
            <w:gridSpan w:val="10"/>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rPr>
              <w:t>Note 11. Income Taxes</w:t>
            </w:r>
          </w:p>
        </w:tc>
        <w:tc>
          <w:tcPr>
            <w:tcW w:w="5400" w:type="dxa"/>
            <w:vAlign w:val="bottom"/>
            <w:gridSpan w:val="12"/>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12.</w:t>
            </w:r>
          </w:p>
        </w:tc>
        <w:tc>
          <w:tcPr>
            <w:tcW w:w="7200" w:type="dxa"/>
            <w:vAlign w:val="bottom"/>
            <w:gridSpan w:val="23"/>
            <w:shd w:val="clear" w:color="auto" w:fill="CFF0FC"/>
          </w:tcPr>
          <w:p>
            <w:pPr>
              <w:ind w:left="80"/>
              <w:spacing w:after="0" w:line="162" w:lineRule="exact"/>
              <w:rPr>
                <w:sz w:val="20"/>
                <w:szCs w:val="20"/>
                <w:color w:val="auto"/>
              </w:rPr>
            </w:pPr>
            <w:r>
              <w:rPr>
                <w:rFonts w:ascii="Arial" w:cs="Arial" w:eastAsia="Arial" w:hAnsi="Arial"/>
                <w:sz w:val="16"/>
                <w:szCs w:val="16"/>
                <w:color w:val="0000FF"/>
              </w:rPr>
              <w:t>Business Segment Information</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28</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CFF0FC"/>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w w:val="99"/>
              </w:rPr>
              <w:t>Note 13.</w:t>
            </w:r>
          </w:p>
        </w:tc>
        <w:tc>
          <w:tcPr>
            <w:tcW w:w="7200" w:type="dxa"/>
            <w:vAlign w:val="bottom"/>
            <w:gridSpan w:val="23"/>
          </w:tcPr>
          <w:p>
            <w:pPr>
              <w:ind w:left="80"/>
              <w:spacing w:after="0" w:line="162" w:lineRule="exact"/>
              <w:rPr>
                <w:sz w:val="20"/>
                <w:szCs w:val="20"/>
                <w:color w:val="auto"/>
              </w:rPr>
            </w:pPr>
            <w:r>
              <w:rPr>
                <w:rFonts w:ascii="Arial" w:cs="Arial" w:eastAsia="Arial" w:hAnsi="Arial"/>
                <w:sz w:val="16"/>
                <w:szCs w:val="16"/>
                <w:color w:val="0000FF"/>
              </w:rPr>
              <w:t>Selected Balance Sheet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960" w:type="dxa"/>
            <w:vAlign w:val="bottom"/>
            <w:tcBorders>
              <w:right w:val="single" w:sz="8" w:color="CFF0FC"/>
            </w:tcBorders>
            <w:gridSpan w:val="18"/>
            <w:shd w:val="clear" w:color="auto" w:fill="CFF0FC"/>
          </w:tcPr>
          <w:p>
            <w:pPr>
              <w:spacing w:after="0" w:line="162" w:lineRule="exact"/>
              <w:rPr>
                <w:sz w:val="20"/>
                <w:szCs w:val="20"/>
                <w:color w:val="auto"/>
              </w:rPr>
            </w:pPr>
            <w:r>
              <w:rPr>
                <w:rFonts w:ascii="Arial" w:cs="Arial" w:eastAsia="Arial" w:hAnsi="Arial"/>
                <w:sz w:val="16"/>
                <w:szCs w:val="16"/>
                <w:color w:val="0000FF"/>
              </w:rPr>
              <w:t>Note 14. Pending Business Combination</w:t>
            </w:r>
          </w:p>
        </w:tc>
        <w:tc>
          <w:tcPr>
            <w:tcW w:w="320" w:type="dxa"/>
            <w:vAlign w:val="bottom"/>
            <w:gridSpan w:val="2"/>
            <w:shd w:val="clear" w:color="auto" w:fill="CFF0FC"/>
          </w:tcPr>
          <w:p>
            <w:pPr>
              <w:spacing w:after="0"/>
              <w:rPr>
                <w:sz w:val="14"/>
                <w:szCs w:val="14"/>
                <w:color w:val="auto"/>
              </w:rPr>
            </w:pPr>
          </w:p>
        </w:tc>
        <w:tc>
          <w:tcPr>
            <w:tcW w:w="4540" w:type="dxa"/>
            <w:vAlign w:val="bottom"/>
            <w:gridSpan w:val="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18"/>
          </w:tcPr>
          <w:p>
            <w:pPr>
              <w:spacing w:after="0" w:line="162" w:lineRule="exact"/>
              <w:rPr>
                <w:sz w:val="20"/>
                <w:szCs w:val="20"/>
                <w:color w:val="auto"/>
              </w:rPr>
            </w:pPr>
            <w:r>
              <w:rPr>
                <w:rFonts w:ascii="Arial" w:cs="Arial" w:eastAsia="Arial" w:hAnsi="Arial"/>
                <w:sz w:val="16"/>
                <w:szCs w:val="16"/>
                <w:color w:val="0000FF"/>
              </w:rPr>
              <w:t>Note 15. Subsequent Events</w:t>
            </w:r>
          </w:p>
        </w:tc>
        <w:tc>
          <w:tcPr>
            <w:tcW w:w="4860" w:type="dxa"/>
            <w:vAlign w:val="bottom"/>
            <w:gridSpan w:val="9"/>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32</w:t>
            </w:r>
          </w:p>
        </w:tc>
        <w:tc>
          <w:tcPr>
            <w:tcW w:w="2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420" w:type="dxa"/>
            <w:vAlign w:val="bottom"/>
            <w:tcBorders>
              <w:top w:val="single" w:sz="8" w:color="0000FF"/>
              <w:right w:val="single" w:sz="8" w:color="CFF0FC"/>
            </w:tcBorders>
            <w:gridSpan w:val="2"/>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lef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0000FF"/>
              <w:left w:val="single" w:sz="8" w:color="CFF0FC"/>
            </w:tcBorders>
            <w:shd w:val="clear" w:color="auto" w:fill="CFF0FC"/>
          </w:tcPr>
          <w:p>
            <w:pPr>
              <w:spacing w:after="0"/>
              <w:rPr>
                <w:sz w:val="16"/>
                <w:szCs w:val="16"/>
                <w:color w:val="auto"/>
              </w:rPr>
            </w:pPr>
          </w:p>
        </w:tc>
        <w:tc>
          <w:tcPr>
            <w:tcW w:w="100" w:type="dxa"/>
            <w:vAlign w:val="bottom"/>
            <w:tcBorders>
              <w:top w:val="single" w:sz="8" w:color="0000FF"/>
              <w:righ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380" w:type="dxa"/>
            <w:vAlign w:val="bottom"/>
            <w:gridSpan w:val="27"/>
            <w:shd w:val="clear" w:color="auto" w:fill="CFF0FC"/>
          </w:tcPr>
          <w:p>
            <w:pPr>
              <w:ind w:left="10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33</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Recent Developments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Results of Operations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CFF0FC"/>
            </w:tcBorders>
            <w:shd w:val="clear" w:color="auto" w:fill="0000FF"/>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Non-GAAP Financial Measure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7"/>
          </w:tcPr>
          <w:p>
            <w:pPr>
              <w:spacing w:after="0" w:line="162" w:lineRule="exact"/>
              <w:rPr>
                <w:sz w:val="20"/>
                <w:szCs w:val="20"/>
                <w:color w:val="auto"/>
              </w:rPr>
            </w:pPr>
            <w:r>
              <w:rPr>
                <w:rFonts w:ascii="Arial" w:cs="Arial" w:eastAsia="Arial" w:hAnsi="Arial"/>
                <w:sz w:val="16"/>
                <w:szCs w:val="16"/>
                <w:color w:val="0000FF"/>
                <w:w w:val="94"/>
              </w:rPr>
              <w:t>Electric Utilities</w:t>
            </w:r>
          </w:p>
        </w:tc>
        <w:tc>
          <w:tcPr>
            <w:tcW w:w="664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37</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60" w:type="dxa"/>
            <w:vAlign w:val="bottom"/>
            <w:gridSpan w:val="7"/>
            <w:shd w:val="clear" w:color="auto" w:fill="CFF0FC"/>
          </w:tcPr>
          <w:p>
            <w:pPr>
              <w:spacing w:after="0" w:line="162" w:lineRule="exact"/>
              <w:rPr>
                <w:sz w:val="20"/>
                <w:szCs w:val="20"/>
                <w:color w:val="auto"/>
              </w:rPr>
            </w:pPr>
            <w:r>
              <w:rPr>
                <w:rFonts w:ascii="Arial" w:cs="Arial" w:eastAsia="Arial" w:hAnsi="Arial"/>
                <w:sz w:val="16"/>
                <w:szCs w:val="16"/>
                <w:color w:val="0000FF"/>
              </w:rPr>
              <w:t>Gas Utilities</w:t>
            </w:r>
          </w:p>
        </w:tc>
        <w:tc>
          <w:tcPr>
            <w:tcW w:w="6640" w:type="dxa"/>
            <w:vAlign w:val="bottom"/>
            <w:tcBorders>
              <w:left w:val="single" w:sz="8" w:color="CFF0FC"/>
            </w:tcBorders>
            <w:gridSpan w:val="19"/>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Corporate and Other</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42</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Liquidity and Capital Resources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0" w:type="dxa"/>
            <w:vAlign w:val="bottom"/>
            <w:tcBorders>
              <w:right w:val="single" w:sz="8" w:color="CFF0FC"/>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4"/>
              </w:rPr>
              <w:t>Cash Flow Activities</w:t>
            </w:r>
          </w:p>
        </w:tc>
        <w:tc>
          <w:tcPr>
            <w:tcW w:w="700" w:type="dxa"/>
            <w:vAlign w:val="bottom"/>
            <w:tcBorders>
              <w:left w:val="single" w:sz="8" w:color="CFF0FC"/>
              <w:right w:val="single" w:sz="8" w:color="CFF0FC"/>
            </w:tcBorders>
            <w:gridSpan w:val="3"/>
            <w:shd w:val="clear" w:color="auto" w:fill="CFF0FC"/>
          </w:tcPr>
          <w:p>
            <w:pPr>
              <w:spacing w:after="0"/>
              <w:rPr>
                <w:sz w:val="14"/>
                <w:szCs w:val="14"/>
                <w:color w:val="auto"/>
              </w:rPr>
            </w:pPr>
          </w:p>
        </w:tc>
        <w:tc>
          <w:tcPr>
            <w:tcW w:w="5600" w:type="dxa"/>
            <w:vAlign w:val="bottom"/>
            <w:tcBorders>
              <w:left w:val="single" w:sz="8" w:color="CFF0FC"/>
            </w:tcBorders>
            <w:gridSpan w:val="13"/>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spacing w:after="0" w:line="162" w:lineRule="exact"/>
              <w:rPr>
                <w:sz w:val="20"/>
                <w:szCs w:val="20"/>
                <w:color w:val="auto"/>
              </w:rPr>
            </w:pPr>
            <w:r>
              <w:rPr>
                <w:rFonts w:ascii="Arial" w:cs="Arial" w:eastAsia="Arial" w:hAnsi="Arial"/>
                <w:sz w:val="16"/>
                <w:szCs w:val="16"/>
                <w:color w:val="0000FF"/>
              </w:rPr>
              <w:t>Capital Resources</w:t>
            </w:r>
          </w:p>
        </w:tc>
        <w:tc>
          <w:tcPr>
            <w:tcW w:w="6300" w:type="dxa"/>
            <w:vAlign w:val="bottom"/>
            <w:gridSpan w:val="16"/>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45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300" w:type="dxa"/>
            <w:vAlign w:val="bottom"/>
            <w:gridSpan w:val="9"/>
            <w:shd w:val="clear" w:color="auto" w:fill="CFF0FC"/>
          </w:tcPr>
          <w:p>
            <w:pPr>
              <w:spacing w:after="0" w:line="162" w:lineRule="exact"/>
              <w:rPr>
                <w:sz w:val="20"/>
                <w:szCs w:val="20"/>
                <w:color w:val="auto"/>
              </w:rPr>
            </w:pPr>
            <w:r>
              <w:rPr>
                <w:rFonts w:ascii="Arial" w:cs="Arial" w:eastAsia="Arial" w:hAnsi="Arial"/>
                <w:sz w:val="16"/>
                <w:szCs w:val="16"/>
                <w:color w:val="0000FF"/>
              </w:rPr>
              <w:t>Credit Ratings</w:t>
            </w:r>
          </w:p>
        </w:tc>
        <w:tc>
          <w:tcPr>
            <w:tcW w:w="6400" w:type="dxa"/>
            <w:vAlign w:val="bottom"/>
            <w:gridSpan w:val="1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11"/>
          </w:tcPr>
          <w:p>
            <w:pPr>
              <w:spacing w:after="0" w:line="162" w:lineRule="exact"/>
              <w:rPr>
                <w:sz w:val="20"/>
                <w:szCs w:val="20"/>
                <w:color w:val="auto"/>
              </w:rPr>
            </w:pPr>
            <w:r>
              <w:rPr>
                <w:rFonts w:ascii="Arial" w:cs="Arial" w:eastAsia="Arial" w:hAnsi="Arial"/>
                <w:sz w:val="16"/>
                <w:szCs w:val="16"/>
                <w:color w:val="0000FF"/>
                <w:w w:val="97"/>
              </w:rPr>
              <w:t>Capital Requirements</w:t>
            </w:r>
          </w:p>
        </w:tc>
        <w:tc>
          <w:tcPr>
            <w:tcW w:w="6160" w:type="dxa"/>
            <w:vAlign w:val="bottom"/>
            <w:gridSpan w:val="1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46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Critical Accounting Estimates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New Accounting Pronouncements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420" w:type="dxa"/>
            <w:vAlign w:val="bottom"/>
            <w:tcBorders>
              <w:top w:val="single" w:sz="8" w:color="0000FF"/>
              <w:right w:val="single" w:sz="8" w:color="CFF0FC"/>
            </w:tcBorders>
            <w:gridSpan w:val="2"/>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lef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0000FF"/>
              <w:left w:val="single" w:sz="8" w:color="CFF0FC"/>
            </w:tcBorders>
            <w:shd w:val="clear" w:color="auto" w:fill="CFF0FC"/>
          </w:tcPr>
          <w:p>
            <w:pPr>
              <w:spacing w:after="0"/>
              <w:rPr>
                <w:sz w:val="16"/>
                <w:szCs w:val="16"/>
                <w:color w:val="auto"/>
              </w:rPr>
            </w:pPr>
          </w:p>
        </w:tc>
        <w:tc>
          <w:tcPr>
            <w:tcW w:w="100" w:type="dxa"/>
            <w:vAlign w:val="bottom"/>
            <w:tcBorders>
              <w:top w:val="single" w:sz="8" w:color="0000FF"/>
              <w:righ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6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3.</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Controls and Procedures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920" w:type="dxa"/>
            <w:vAlign w:val="bottom"/>
            <w:tcBorders>
              <w:top w:val="single" w:sz="8" w:color="CFF0FC"/>
            </w:tcBorders>
            <w:gridSpan w:val="2"/>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89"/>
        </w:trPr>
        <w:tc>
          <w:tcPr>
            <w:tcW w:w="2480" w:type="dxa"/>
            <w:vAlign w:val="bottom"/>
            <w:gridSpan w:val="9"/>
            <w:shd w:val="clear" w:color="auto" w:fill="CFF0FC"/>
          </w:tcPr>
          <w:p>
            <w:pPr>
              <w:spacing w:after="0"/>
              <w:rPr>
                <w:sz w:val="20"/>
                <w:szCs w:val="20"/>
                <w:color w:val="auto"/>
              </w:rPr>
            </w:pPr>
            <w:r>
              <w:rPr>
                <w:rFonts w:ascii="Arial" w:cs="Arial" w:eastAsia="Arial" w:hAnsi="Arial"/>
                <w:sz w:val="16"/>
                <w:szCs w:val="16"/>
                <w:color w:val="auto"/>
              </w:rPr>
              <w:t>PART II. OTHER INFORMATION</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400" w:type="dxa"/>
            <w:vAlign w:val="bottom"/>
            <w:tcBorders>
              <w:left w:val="single" w:sz="8" w:color="CFF0FC"/>
              <w:right w:val="single" w:sz="8" w:color="CFF0FC"/>
            </w:tcBorders>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Legal Proceedings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1A.</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Risk Factors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54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Mine Safety Disclosures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54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tcBorders>
              <w:left w:val="single" w:sz="8" w:color="CFF0FC"/>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5.</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Other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54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1240" w:type="dxa"/>
            <w:vAlign w:val="bottom"/>
            <w:gridSpan w:val="6"/>
            <w:shd w:val="clear" w:color="auto" w:fill="CFF0FC"/>
          </w:tcPr>
          <w:p>
            <w:pPr>
              <w:ind w:left="460"/>
              <w:spacing w:after="0" w:line="162" w:lineRule="exact"/>
              <w:rPr>
                <w:sz w:val="20"/>
                <w:szCs w:val="20"/>
                <w:color w:val="auto"/>
              </w:rPr>
            </w:pPr>
            <w:r>
              <w:rPr>
                <w:rFonts w:ascii="Arial" w:cs="Arial" w:eastAsia="Arial" w:hAnsi="Arial"/>
                <w:sz w:val="16"/>
                <w:szCs w:val="16"/>
                <w:color w:val="0000FF"/>
              </w:rPr>
              <w:t>Exhibits</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40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54</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0000FF"/>
              </w:rPr>
              <w:t>Signatures</w:t>
            </w: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40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55</w:t>
            </w:r>
          </w:p>
        </w:tc>
        <w:tc>
          <w:tcPr>
            <w:tcW w:w="20" w:type="dxa"/>
            <w:vAlign w:val="bottom"/>
            <w:shd w:val="clear" w:color="auto" w:fill="CFF0FC"/>
          </w:tcPr>
          <w:p>
            <w:pPr>
              <w:spacing w:after="0"/>
              <w:rPr>
                <w:sz w:val="14"/>
                <w:szCs w:val="14"/>
                <w:color w:val="auto"/>
              </w:rPr>
            </w:pPr>
          </w:p>
        </w:tc>
      </w:tr>
      <w:tr>
        <w:trPr>
          <w:trHeight w:val="416"/>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18"/>
          </w:tcPr>
          <w:p>
            <w:pPr>
              <w:ind w:left="3100"/>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7760" w:type="dxa"/>
            <w:vAlign w:val="bottom"/>
          </w:tcPr>
          <w:p>
            <w:pPr>
              <w:ind w:left="3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480" w:type="dxa"/>
            <w:vAlign w:val="bottom"/>
          </w:tcPr>
          <w:p>
            <w:pPr>
              <w:spacing w:after="0"/>
              <w:rPr>
                <w:sz w:val="15"/>
                <w:szCs w:val="15"/>
                <w:color w:val="auto"/>
              </w:rPr>
            </w:pPr>
          </w:p>
        </w:tc>
        <w:tc>
          <w:tcPr>
            <w:tcW w:w="7760" w:type="dxa"/>
            <w:vAlign w:val="bottom"/>
          </w:tcPr>
          <w:p>
            <w:pPr>
              <w:spacing w:after="0"/>
              <w:rPr>
                <w:sz w:val="15"/>
                <w:szCs w:val="15"/>
                <w:color w:val="auto"/>
              </w:rPr>
            </w:pP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AFUDC</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Allowance for Funds Used During Construction</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AOCI</w:t>
            </w:r>
          </w:p>
        </w:tc>
        <w:tc>
          <w:tcPr>
            <w:tcW w:w="776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Arkansas Gas</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ASU</w:t>
            </w:r>
          </w:p>
        </w:tc>
        <w:tc>
          <w:tcPr>
            <w:tcW w:w="7760" w:type="dxa"/>
            <w:vAlign w:val="bottom"/>
          </w:tcPr>
          <w:p>
            <w:pPr>
              <w:ind w:left="240"/>
              <w:spacing w:after="0"/>
              <w:rPr>
                <w:sz w:val="20"/>
                <w:szCs w:val="20"/>
                <w:color w:val="auto"/>
              </w:rPr>
            </w:pPr>
            <w:r>
              <w:rPr>
                <w:rFonts w:ascii="Arial" w:cs="Arial" w:eastAsia="Arial" w:hAnsi="Arial"/>
                <w:sz w:val="16"/>
                <w:szCs w:val="16"/>
                <w:color w:val="auto"/>
              </w:rPr>
              <w:t>Accounting Standards Update as issued by the FASB</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ATM</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At-the-market equity offering program</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Availability</w:t>
            </w:r>
          </w:p>
        </w:tc>
        <w:tc>
          <w:tcPr>
            <w:tcW w:w="7760" w:type="dxa"/>
            <w:vAlign w:val="bottom"/>
          </w:tcPr>
          <w:p>
            <w:pPr>
              <w:ind w:left="24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BHC</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Corporation; the Company</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Black-box Settlement</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Colorado IPP</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Electric Generation</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Electric Parent Holdings</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Black Hills Energy</w:t>
            </w:r>
          </w:p>
        </w:tc>
        <w:tc>
          <w:tcPr>
            <w:tcW w:w="7760" w:type="dxa"/>
            <w:vAlign w:val="bottom"/>
          </w:tcPr>
          <w:p>
            <w:pPr>
              <w:ind w:left="24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 Hills Energy Renewable Resources</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03"/>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(BHERR)</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regulated Holdings</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Energy Services</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Black Hills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Non-regulated Holdings</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Utility Holdings</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business as Black Hills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Wyoming</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29"/>
        </w:trPr>
        <w:tc>
          <w:tcPr>
            <w:tcW w:w="3480" w:type="dxa"/>
            <w:vAlign w:val="bottom"/>
          </w:tcPr>
          <w:p>
            <w:pPr>
              <w:spacing w:after="0"/>
              <w:rPr>
                <w:sz w:val="20"/>
                <w:szCs w:val="20"/>
                <w:color w:val="auto"/>
              </w:rPr>
            </w:pPr>
            <w:r>
              <w:rPr>
                <w:rFonts w:ascii="Arial" w:cs="Arial" w:eastAsia="Arial" w:hAnsi="Arial"/>
                <w:sz w:val="16"/>
                <w:szCs w:val="16"/>
                <w:color w:val="auto"/>
              </w:rPr>
              <w:t>Blockchain Interruptible Service (BCIS) Tariff</w:t>
            </w:r>
          </w:p>
        </w:tc>
        <w:tc>
          <w:tcPr>
            <w:tcW w:w="7760" w:type="dxa"/>
            <w:vAlign w:val="bottom"/>
          </w:tcPr>
          <w:p>
            <w:pPr>
              <w:ind w:left="240"/>
              <w:spacing w:after="0"/>
              <w:rPr>
                <w:sz w:val="20"/>
                <w:szCs w:val="20"/>
                <w:color w:val="auto"/>
              </w:rPr>
            </w:pPr>
            <w:r>
              <w:rPr>
                <w:rFonts w:ascii="Arial" w:cs="Arial" w:eastAsia="Arial" w:hAnsi="Arial"/>
                <w:sz w:val="16"/>
                <w:szCs w:val="16"/>
                <w:color w:val="auto"/>
              </w:rPr>
              <w:t>A WPSC-approved tariff applicable to prospective new Wyoming Electric blockchain customers. The</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tariff allows customers to negotiate rates and terms and conditions for interruptible electric utility service</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of 10 MW or greater that would be interconnected with Wyoming Electric’s system. Agreements under</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the BCIS tariff must be filed with the WPSC prior to the first customer billing, be at least 2 years in</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duration and include specific pricing for all electricity purchased (with pricing terms subject to</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renegotiation every three years). BCIS customers shall not participate in the PCA to the extent of service</w:t>
            </w:r>
          </w:p>
        </w:tc>
      </w:tr>
      <w:tr>
        <w:trPr>
          <w:trHeight w:val="222"/>
        </w:trPr>
        <w:tc>
          <w:tcPr>
            <w:tcW w:w="348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received under the tariff.</w:t>
            </w:r>
          </w:p>
        </w:tc>
      </w:tr>
      <w:tr>
        <w:trPr>
          <w:trHeight w:val="183"/>
        </w:trPr>
        <w:tc>
          <w:tcPr>
            <w:tcW w:w="3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Busch Ranch I</w:t>
            </w:r>
          </w:p>
        </w:tc>
        <w:tc>
          <w:tcPr>
            <w:tcW w:w="7760" w:type="dxa"/>
            <w:vAlign w:val="bottom"/>
            <w:shd w:val="clear" w:color="auto" w:fill="CFF0FC"/>
          </w:tcPr>
          <w:p>
            <w:pPr>
              <w:ind w:left="240"/>
              <w:spacing w:after="0" w:line="183" w:lineRule="exact"/>
              <w:rPr>
                <w:sz w:val="20"/>
                <w:szCs w:val="20"/>
                <w:color w:val="auto"/>
              </w:rPr>
            </w:pPr>
            <w:r>
              <w:rPr>
                <w:rFonts w:ascii="Arial" w:cs="Arial" w:eastAsia="Arial" w:hAnsi="Arial"/>
                <w:sz w:val="16"/>
                <w:szCs w:val="16"/>
                <w:color w:val="auto"/>
              </w:rPr>
              <w:t>A 29 MW wind farm near Pueblo, Colorado, jointly owned by Colorado Electric and Black Hills Electric</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the wind farm. Black Hills Electric Generation provides its share of energy from the wind farm to</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Colorado Electric through a PPA, which expires in October 2037.</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Busch Ranch II</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A 59.4 MW wind farm near Pueblo, Colorado owned by Black Hills Electric Generation to provide wind</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CEPR</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Clean Energy Plan Rider, which is a 1.5% surcharge to fund Colorado Electric's recovery of renewable</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energy projects under the Clean Energy Plan. In conjunction with the implementation of the CEPR in</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January 2025, the RESA surcharge was reduced from 2.0% to 1.5%.</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Choice Gas Program</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distribution delivery service.</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Chief Operating Decision Maker (CODM)</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Chief Executive Officer</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CIAC</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Contribution in aid of construction</w:t>
            </w:r>
          </w:p>
        </w:tc>
      </w:tr>
      <w:tr>
        <w:trPr>
          <w:trHeight w:val="215"/>
        </w:trPr>
        <w:tc>
          <w:tcPr>
            <w:tcW w:w="3480" w:type="dxa"/>
            <w:vAlign w:val="bottom"/>
          </w:tcPr>
          <w:p>
            <w:pPr>
              <w:spacing w:after="0"/>
              <w:rPr>
                <w:sz w:val="18"/>
                <w:szCs w:val="18"/>
                <w:color w:val="auto"/>
              </w:rPr>
            </w:pPr>
          </w:p>
        </w:tc>
        <w:tc>
          <w:tcPr>
            <w:tcW w:w="7760" w:type="dxa"/>
            <w:vAlign w:val="bottom"/>
          </w:tcPr>
          <w:p>
            <w:pPr>
              <w:ind w:left="2100"/>
              <w:spacing w:after="0"/>
              <w:rPr>
                <w:sz w:val="20"/>
                <w:szCs w:val="20"/>
                <w:color w:val="auto"/>
              </w:rPr>
            </w:pPr>
            <w:r>
              <w:rPr>
                <w:rFonts w:ascii="Arial" w:cs="Arial" w:eastAsia="Arial" w:hAnsi="Arial"/>
                <w:sz w:val="16"/>
                <w:szCs w:val="16"/>
                <w:color w:val="auto"/>
              </w:rPr>
              <w:t>3</w:t>
            </w:r>
          </w:p>
        </w:tc>
      </w:tr>
      <w:tr>
        <w:trPr>
          <w:trHeight w:val="751"/>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Clean Energy Plan</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emissions by a minimum of 80% from 2005 levels by 2030. The recommended resource portfolio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proposes the addition of 350 MW of clean energy resources to Colorado Electric's system. Colorado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 comply</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with the Clean Energy Plan.</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Colorado Electric</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Colorado Gas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Consolidated Indebtedness to Capitalization Ratio</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Cooling Degree Day</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A cooling degree day is equivalent to each degree that the average of the high and the low temperatures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for a day is above 65 degrees. The warmer the climate, the greater the number of cooling degree days.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Cooling degree days are used in the utility industry to measure the relative warmth of weather and to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CP Program</w:t>
            </w:r>
          </w:p>
        </w:tc>
        <w:tc>
          <w:tcPr>
            <w:tcW w:w="7580" w:type="dxa"/>
            <w:vAlign w:val="bottom"/>
          </w:tcPr>
          <w:p>
            <w:pPr>
              <w:ind w:left="60"/>
              <w:spacing w:after="0"/>
              <w:rPr>
                <w:sz w:val="20"/>
                <w:szCs w:val="20"/>
                <w:color w:val="auto"/>
              </w:rPr>
            </w:pPr>
            <w:r>
              <w:rPr>
                <w:rFonts w:ascii="Arial" w:cs="Arial" w:eastAsia="Arial" w:hAnsi="Arial"/>
                <w:sz w:val="16"/>
                <w:szCs w:val="16"/>
                <w:color w:val="auto"/>
              </w:rPr>
              <w:t>Commercial Paper Program</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CPCN</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Certificate of Public Convenience and Necessity</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CPUC</w:t>
            </w:r>
          </w:p>
        </w:tc>
        <w:tc>
          <w:tcPr>
            <w:tcW w:w="7580" w:type="dxa"/>
            <w:vAlign w:val="bottom"/>
          </w:tcPr>
          <w:p>
            <w:pPr>
              <w:ind w:left="60"/>
              <w:spacing w:after="0"/>
              <w:rPr>
                <w:sz w:val="20"/>
                <w:szCs w:val="20"/>
                <w:color w:val="auto"/>
              </w:rPr>
            </w:pPr>
            <w:r>
              <w:rPr>
                <w:rFonts w:ascii="Arial" w:cs="Arial" w:eastAsia="Arial" w:hAnsi="Arial"/>
                <w:sz w:val="16"/>
                <w:szCs w:val="16"/>
                <w:color w:val="auto"/>
              </w:rPr>
              <w:t>Colorado Public Utilities Commission</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CT</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Combustion Turbine</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Dth</w:t>
            </w:r>
          </w:p>
        </w:tc>
        <w:tc>
          <w:tcPr>
            <w:tcW w:w="7580" w:type="dxa"/>
            <w:vAlign w:val="bottom"/>
          </w:tcPr>
          <w:p>
            <w:pPr>
              <w:ind w:left="6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Emergency PSPS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Emergency Public Safety Power Shutoff is a safety measure to prevent the</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electric system from becoming a potential source of ignition during extreme weather conditions/events. It</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entails selectively and intentionally turning off power to a portion of a service area when high-fire-risk</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weather and fuel conditions occur.</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FASB</w:t>
            </w:r>
          </w:p>
        </w:tc>
        <w:tc>
          <w:tcPr>
            <w:tcW w:w="7580" w:type="dxa"/>
            <w:vAlign w:val="bottom"/>
          </w:tcPr>
          <w:p>
            <w:pPr>
              <w:ind w:left="60"/>
              <w:spacing w:after="0"/>
              <w:rPr>
                <w:sz w:val="20"/>
                <w:szCs w:val="20"/>
                <w:color w:val="auto"/>
              </w:rPr>
            </w:pPr>
            <w:r>
              <w:rPr>
                <w:rFonts w:ascii="Arial" w:cs="Arial" w:eastAsia="Arial" w:hAnsi="Arial"/>
                <w:sz w:val="16"/>
                <w:szCs w:val="16"/>
                <w:color w:val="auto"/>
              </w:rPr>
              <w:t>Financial Accounting Standards Board</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FCC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Federal Communications Commission</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FERC</w:t>
            </w:r>
          </w:p>
        </w:tc>
        <w:tc>
          <w:tcPr>
            <w:tcW w:w="7580" w:type="dxa"/>
            <w:vAlign w:val="bottom"/>
          </w:tcPr>
          <w:p>
            <w:pPr>
              <w:ind w:left="60"/>
              <w:spacing w:after="0"/>
              <w:rPr>
                <w:sz w:val="20"/>
                <w:szCs w:val="20"/>
                <w:color w:val="auto"/>
              </w:rPr>
            </w:pPr>
            <w:r>
              <w:rPr>
                <w:rFonts w:ascii="Arial" w:cs="Arial" w:eastAsia="Arial" w:hAnsi="Arial"/>
                <w:sz w:val="16"/>
                <w:szCs w:val="16"/>
                <w:color w:val="auto"/>
              </w:rPr>
              <w:t>Federal Energy Regulatory Commission</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Fitch</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Fitch Ratings Inc.</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GAAP</w:t>
            </w:r>
          </w:p>
        </w:tc>
        <w:tc>
          <w:tcPr>
            <w:tcW w:w="7580" w:type="dxa"/>
            <w:vAlign w:val="bottom"/>
          </w:tcPr>
          <w:p>
            <w:pPr>
              <w:ind w:left="6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GSRS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Gas System Reliability Surcharge is a monthly charge that recovers Kansas Gas's costs associated with</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pipeline safety and government-mandated projects.</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Heating Degree Day</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HomeServe</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additional home repair service plans.</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HSR Act</w:t>
            </w:r>
          </w:p>
        </w:tc>
        <w:tc>
          <w:tcPr>
            <w:tcW w:w="7580" w:type="dxa"/>
            <w:vAlign w:val="bottom"/>
          </w:tcPr>
          <w:p>
            <w:pPr>
              <w:ind w:left="60"/>
              <w:spacing w:after="0"/>
              <w:rPr>
                <w:sz w:val="20"/>
                <w:szCs w:val="20"/>
                <w:color w:val="auto"/>
              </w:rPr>
            </w:pPr>
            <w:r>
              <w:rPr>
                <w:rFonts w:ascii="Arial" w:cs="Arial" w:eastAsia="Arial" w:hAnsi="Arial"/>
                <w:sz w:val="16"/>
                <w:szCs w:val="16"/>
                <w:color w:val="auto"/>
              </w:rPr>
              <w:t>Hart-Scott-Rodino Antitrust Improvements Act of 1976</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Integrated Generation</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Iowa Gas</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IPP</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Independent Power Producer</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IRA</w:t>
            </w:r>
          </w:p>
        </w:tc>
        <w:tc>
          <w:tcPr>
            <w:tcW w:w="7580" w:type="dxa"/>
            <w:vAlign w:val="bottom"/>
          </w:tcPr>
          <w:p>
            <w:pPr>
              <w:ind w:left="60"/>
              <w:spacing w:after="0"/>
              <w:rPr>
                <w:sz w:val="20"/>
                <w:szCs w:val="20"/>
                <w:color w:val="auto"/>
              </w:rPr>
            </w:pPr>
            <w:r>
              <w:rPr>
                <w:rFonts w:ascii="Arial" w:cs="Arial" w:eastAsia="Arial" w:hAnsi="Arial"/>
                <w:sz w:val="16"/>
                <w:szCs w:val="16"/>
                <w:color w:val="auto"/>
              </w:rPr>
              <w:t>Inflation Reduction Act of 2022</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IRS</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United States Internal Revenue Service</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IUC</w:t>
            </w:r>
          </w:p>
        </w:tc>
        <w:tc>
          <w:tcPr>
            <w:tcW w:w="7580" w:type="dxa"/>
            <w:vAlign w:val="bottom"/>
          </w:tcPr>
          <w:p>
            <w:pPr>
              <w:ind w:left="60"/>
              <w:spacing w:after="0"/>
              <w:rPr>
                <w:sz w:val="20"/>
                <w:szCs w:val="20"/>
                <w:color w:val="auto"/>
              </w:rPr>
            </w:pPr>
            <w:r>
              <w:rPr>
                <w:rFonts w:ascii="Arial" w:cs="Arial" w:eastAsia="Arial" w:hAnsi="Arial"/>
                <w:sz w:val="16"/>
                <w:szCs w:val="16"/>
                <w:color w:val="auto"/>
              </w:rPr>
              <w:t>Iowa Utilities Commission</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Kansas Gas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KCC</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Kansas Corporation Commission</w:t>
            </w:r>
          </w:p>
        </w:tc>
      </w:tr>
      <w:tr>
        <w:trPr>
          <w:trHeight w:val="215"/>
        </w:trPr>
        <w:tc>
          <w:tcPr>
            <w:tcW w:w="3660" w:type="dxa"/>
            <w:vAlign w:val="bottom"/>
          </w:tcPr>
          <w:p>
            <w:pPr>
              <w:spacing w:after="0"/>
              <w:rPr>
                <w:sz w:val="18"/>
                <w:szCs w:val="18"/>
                <w:color w:val="auto"/>
              </w:rPr>
            </w:pPr>
          </w:p>
        </w:tc>
        <w:tc>
          <w:tcPr>
            <w:tcW w:w="7580" w:type="dxa"/>
            <w:vAlign w:val="bottom"/>
          </w:tcPr>
          <w:p>
            <w:pPr>
              <w:ind w:left="1920"/>
              <w:spacing w:after="0"/>
              <w:rPr>
                <w:sz w:val="20"/>
                <w:szCs w:val="20"/>
                <w:color w:val="auto"/>
              </w:rPr>
            </w:pPr>
            <w:r>
              <w:rPr>
                <w:rFonts w:ascii="Arial" w:cs="Arial" w:eastAsia="Arial" w:hAnsi="Arial"/>
                <w:sz w:val="16"/>
                <w:szCs w:val="16"/>
                <w:color w:val="auto"/>
              </w:rPr>
              <w:t>4</w:t>
            </w:r>
          </w:p>
        </w:tc>
      </w:tr>
      <w:tr>
        <w:trPr>
          <w:trHeight w:val="751"/>
        </w:trPr>
        <w:tc>
          <w:tcPr>
            <w:tcW w:w="36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Lange II</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 dual fuel (natural gas and diesel oil) electric generation project in Rapid City, South Dakota with an</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estimated total capacity of 99 MW. This facility will be owned and operated by South Dakota Electric and</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will be located adjacent to the Lange CT generation facility. This project is expected to begin</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construction in third quarter of 2025 and in service during the second half of 2026. The addition of these</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resources will replace generation facilities planned for retirement and support updated planning reserve</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margin requirements.</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Large Power Contract Service (LPCS) Tariff</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Innovative tariff solution developed in collaboration with Microsoft and approved by the WPSC in 2016.</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The LPSC is applicable to Wyoming Electric retail customers with new loads of 13 MW or greater who</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agree to Black Hills Energy-dispatched, customer-owned generation, on-site for the purpose of providing</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backup service for the customer’s load and maintaining reliability. If the parties agree through</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negotiations to electric service through this tariff, a Large Power Service Agreement will be executed.</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The associated service agreement provides qualifying customers with market-based energy rates and</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access to renewable energy resources that is not served from utility-owned generation (i.e. minimal</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capital model for Wyoming Electric). Customers shall not participate in the PCA or TCAM to the extent of</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service received under the tariff.</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Merger Sub</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River Merger Sub Inc., a Delaware corporation and direct, wholly owned subsidiary of BHC</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MMBtu</w:t>
            </w:r>
          </w:p>
        </w:tc>
        <w:tc>
          <w:tcPr>
            <w:tcW w:w="7800" w:type="dxa"/>
            <w:vAlign w:val="bottom"/>
          </w:tcPr>
          <w:p>
            <w:pPr>
              <w:ind w:left="280"/>
              <w:spacing w:after="0"/>
              <w:rPr>
                <w:sz w:val="20"/>
                <w:szCs w:val="20"/>
                <w:color w:val="auto"/>
              </w:rPr>
            </w:pPr>
            <w:r>
              <w:rPr>
                <w:rFonts w:ascii="Arial" w:cs="Arial" w:eastAsia="Arial" w:hAnsi="Arial"/>
                <w:sz w:val="16"/>
                <w:szCs w:val="16"/>
                <w:color w:val="auto"/>
              </w:rPr>
              <w:t>Million British thermal units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Moody's</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Moody's Ratings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MPSC</w:t>
            </w:r>
          </w:p>
        </w:tc>
        <w:tc>
          <w:tcPr>
            <w:tcW w:w="7800" w:type="dxa"/>
            <w:vAlign w:val="bottom"/>
          </w:tcPr>
          <w:p>
            <w:pPr>
              <w:ind w:left="280"/>
              <w:spacing w:after="0"/>
              <w:rPr>
                <w:sz w:val="20"/>
                <w:szCs w:val="20"/>
                <w:color w:val="auto"/>
              </w:rPr>
            </w:pPr>
            <w:r>
              <w:rPr>
                <w:rFonts w:ascii="Arial" w:cs="Arial" w:eastAsia="Arial" w:hAnsi="Arial"/>
                <w:sz w:val="16"/>
                <w:szCs w:val="16"/>
                <w:color w:val="auto"/>
              </w:rPr>
              <w:t>Montana Public Service Commission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MW</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Megawatts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MWh</w:t>
            </w:r>
          </w:p>
        </w:tc>
        <w:tc>
          <w:tcPr>
            <w:tcW w:w="7800" w:type="dxa"/>
            <w:vAlign w:val="bottom"/>
          </w:tcPr>
          <w:p>
            <w:pPr>
              <w:ind w:left="280"/>
              <w:spacing w:after="0"/>
              <w:rPr>
                <w:sz w:val="20"/>
                <w:szCs w:val="20"/>
                <w:color w:val="auto"/>
              </w:rPr>
            </w:pPr>
            <w:r>
              <w:rPr>
                <w:rFonts w:ascii="Arial" w:cs="Arial" w:eastAsia="Arial" w:hAnsi="Arial"/>
                <w:sz w:val="16"/>
                <w:szCs w:val="16"/>
                <w:color w:val="auto"/>
              </w:rPr>
              <w:t>Megawatt-hours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N/A</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Not applicable</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Nebraska Gas</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NorthWestern</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NorthWestern Energy Group, Inc., a Delaware corporation</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NPSC</w:t>
            </w:r>
          </w:p>
        </w:tc>
        <w:tc>
          <w:tcPr>
            <w:tcW w:w="7800" w:type="dxa"/>
            <w:vAlign w:val="bottom"/>
          </w:tcPr>
          <w:p>
            <w:pPr>
              <w:ind w:left="280"/>
              <w:spacing w:after="0"/>
              <w:rPr>
                <w:sz w:val="20"/>
                <w:szCs w:val="20"/>
                <w:color w:val="auto"/>
              </w:rPr>
            </w:pPr>
            <w:r>
              <w:rPr>
                <w:rFonts w:ascii="Arial" w:cs="Arial" w:eastAsia="Arial" w:hAnsi="Arial"/>
                <w:sz w:val="16"/>
                <w:szCs w:val="16"/>
                <w:color w:val="auto"/>
              </w:rPr>
              <w:t>Nebraska Public Service Commission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NYSE</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New York Stock Exchange</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OBBBA</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One Big Beautiful Bill Act enacted on July 4, 2025, which is a legislative package designed to</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permanently extend certain expiring provisions of the TCJA and deliver additional tax relief for</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individuals and businesses. The OBBBA introduced changes to federal energy policies by rolling back</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several clean energy provisions and codified restrictions related to prohibited foreign entities, termination</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and restrictions on clean energy PTCs, extension and modification of clean fuel production. The OBBBA</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does not repeal tax credit transferability provisions enacted under the IRA, but restricts credit transfers to</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prohibited foreign entities.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OCI</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Other Comprehensive Income</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PCA</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Power Cost Adjustment is an annual adjustment mechanism that allows Wyoming Electric to pass a</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portion of prudently-incurred delivered power costs, including fuel, purchased capacity and energy, and</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transmission costs, through to customers.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PPA</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Power Purchase Agreement</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PTC</w:t>
            </w:r>
          </w:p>
        </w:tc>
        <w:tc>
          <w:tcPr>
            <w:tcW w:w="7800" w:type="dxa"/>
            <w:vAlign w:val="bottom"/>
          </w:tcPr>
          <w:p>
            <w:pPr>
              <w:ind w:left="280"/>
              <w:spacing w:after="0"/>
              <w:rPr>
                <w:sz w:val="20"/>
                <w:szCs w:val="20"/>
                <w:color w:val="auto"/>
              </w:rPr>
            </w:pPr>
            <w:r>
              <w:rPr>
                <w:rFonts w:ascii="Arial" w:cs="Arial" w:eastAsia="Arial" w:hAnsi="Arial"/>
                <w:sz w:val="16"/>
                <w:szCs w:val="16"/>
                <w:color w:val="auto"/>
              </w:rPr>
              <w:t>Production Tax Credit</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Pueblo Airport Generation</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Pueblo Airport Generating Station located in Pueblo, Colorado includes 440 MW of combined cycle gas-</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fired power generation plants jointly owned by Colorado Electric (240 MW) and Black Hills Colorado IPP</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(200 MW). Black Hills Colorado IPP operates this facility. The plants commenced operation on January</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1, 2012.</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Ready Wyoming</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expected to serve the growing needs of customers by enhancing resiliency of Wyoming Electric’s overall</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electric system and expanding access to power markets and renewable resources. The project is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expected to help Wyoming Electric maintain top-quartile reliability and enable economic development in</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the Cheyenne, Wyoming region.</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RESA</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Renewable Energy Standard Adjustment is an incremental retail rate limited to 1.5% for Colorado</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Electric customers that provides funding for renewable energy projects and programs to comply with</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Colorado’s Renewable Energy Standard.</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Revolving Credit Facility</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purposes, which was amended on May 31, 2024, and will terminate on May 31, 2030. This facility</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commitment.</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RNG</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Renewable natural gas</w:t>
            </w:r>
          </w:p>
        </w:tc>
      </w:tr>
      <w:tr>
        <w:trPr>
          <w:trHeight w:val="215"/>
        </w:trPr>
        <w:tc>
          <w:tcPr>
            <w:tcW w:w="3440" w:type="dxa"/>
            <w:vAlign w:val="bottom"/>
          </w:tcPr>
          <w:p>
            <w:pPr>
              <w:spacing w:after="0"/>
              <w:rPr>
                <w:sz w:val="18"/>
                <w:szCs w:val="18"/>
                <w:color w:val="auto"/>
              </w:rPr>
            </w:pPr>
          </w:p>
        </w:tc>
        <w:tc>
          <w:tcPr>
            <w:tcW w:w="7800" w:type="dxa"/>
            <w:vAlign w:val="bottom"/>
          </w:tcPr>
          <w:p>
            <w:pPr>
              <w:ind w:left="2140"/>
              <w:spacing w:after="0"/>
              <w:rPr>
                <w:sz w:val="20"/>
                <w:szCs w:val="20"/>
                <w:color w:val="auto"/>
              </w:rPr>
            </w:pPr>
            <w:r>
              <w:rPr>
                <w:rFonts w:ascii="Arial" w:cs="Arial" w:eastAsia="Arial" w:hAnsi="Arial"/>
                <w:sz w:val="16"/>
                <w:szCs w:val="16"/>
                <w:color w:val="auto"/>
              </w:rPr>
              <w:t>5</w:t>
            </w:r>
          </w:p>
        </w:tc>
      </w:tr>
      <w:tr>
        <w:trPr>
          <w:trHeight w:val="737"/>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SDPUC</w:t>
            </w:r>
          </w:p>
        </w:tc>
        <w:tc>
          <w:tcPr>
            <w:tcW w:w="8360" w:type="dxa"/>
            <w:vAlign w:val="bottom"/>
          </w:tcPr>
          <w:p>
            <w:pPr>
              <w:ind w:left="840"/>
              <w:spacing w:after="0"/>
              <w:rPr>
                <w:sz w:val="20"/>
                <w:szCs w:val="20"/>
                <w:color w:val="auto"/>
              </w:rPr>
            </w:pPr>
            <w:r>
              <w:rPr>
                <w:rFonts w:ascii="Arial" w:cs="Arial" w:eastAsia="Arial" w:hAnsi="Arial"/>
                <w:sz w:val="16"/>
                <w:szCs w:val="16"/>
                <w:color w:val="auto"/>
              </w:rPr>
              <w:t>South Dakota Public Utilities Commission</w:t>
            </w:r>
          </w:p>
        </w:tc>
      </w:tr>
      <w:tr>
        <w:trPr>
          <w:trHeight w:val="18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SEC</w:t>
            </w: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Service Guard Comfort Plan</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service agreements to residential utility customers.</w:t>
            </w:r>
          </w:p>
        </w:tc>
      </w:tr>
      <w:tr>
        <w:trPr>
          <w:trHeight w:val="18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S&amp;P</w:t>
            </w: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S&amp;P Global Ratings, a division of S&amp;P Global Inc.</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South Dakota Electric</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175"/>
        </w:trPr>
        <w:tc>
          <w:tcPr>
            <w:tcW w:w="28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TCAM</w:t>
            </w:r>
          </w:p>
        </w:tc>
        <w:tc>
          <w:tcPr>
            <w:tcW w:w="8360" w:type="dxa"/>
            <w:vAlign w:val="bottom"/>
            <w:shd w:val="clear" w:color="auto" w:fill="CFF0FC"/>
          </w:tcPr>
          <w:p>
            <w:pPr>
              <w:ind w:left="840"/>
              <w:spacing w:after="0" w:line="175" w:lineRule="exact"/>
              <w:rPr>
                <w:sz w:val="20"/>
                <w:szCs w:val="20"/>
                <w:color w:val="auto"/>
              </w:rPr>
            </w:pPr>
            <w:r>
              <w:rPr>
                <w:rFonts w:ascii="Arial" w:cs="Arial" w:eastAsia="Arial" w:hAnsi="Arial"/>
                <w:sz w:val="16"/>
                <w:szCs w:val="16"/>
                <w:color w:val="auto"/>
              </w:rPr>
              <w:t>Transmission Cost Adjustment Mechanism is a WPSC-approved tariff based on a formulaic approach</w:t>
            </w:r>
          </w:p>
        </w:tc>
      </w:tr>
      <w:tr>
        <w:trPr>
          <w:trHeight w:val="203"/>
        </w:trPr>
        <w:tc>
          <w:tcPr>
            <w:tcW w:w="2880" w:type="dxa"/>
            <w:vAlign w:val="bottom"/>
            <w:shd w:val="clear" w:color="auto" w:fill="CFF0FC"/>
          </w:tcPr>
          <w:p>
            <w:pPr>
              <w:spacing w:after="0"/>
              <w:rPr>
                <w:sz w:val="17"/>
                <w:szCs w:val="17"/>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that determines the recovery of Wyoming Electric's transmission costs.</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TCJA</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Tax Cuts and Jobs Act enacted on December 22, 2017, which reduced the U.S. federal corporate tax</w:t>
            </w:r>
          </w:p>
        </w:tc>
      </w:tr>
      <w:tr>
        <w:trPr>
          <w:trHeight w:val="189"/>
        </w:trPr>
        <w:tc>
          <w:tcPr>
            <w:tcW w:w="2880" w:type="dxa"/>
            <w:vAlign w:val="bottom"/>
          </w:tcPr>
          <w:p>
            <w:pPr>
              <w:spacing w:after="0"/>
              <w:rPr>
                <w:sz w:val="16"/>
                <w:szCs w:val="16"/>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rate from 35% to 21%. As such, we remeasured our deferred income taxes at the 21% federal tax rate</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as of December 31, 2017.</w:t>
            </w:r>
          </w:p>
        </w:tc>
      </w:tr>
      <w:tr>
        <w:trPr>
          <w:trHeight w:val="175"/>
        </w:trPr>
        <w:tc>
          <w:tcPr>
            <w:tcW w:w="28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Tech Services</w:t>
            </w:r>
          </w:p>
        </w:tc>
        <w:tc>
          <w:tcPr>
            <w:tcW w:w="8360" w:type="dxa"/>
            <w:vAlign w:val="bottom"/>
            <w:shd w:val="clear" w:color="auto" w:fill="CFF0FC"/>
          </w:tcPr>
          <w:p>
            <w:pPr>
              <w:ind w:left="840"/>
              <w:spacing w:after="0" w:line="175"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880" w:type="dxa"/>
            <w:vAlign w:val="bottom"/>
            <w:shd w:val="clear" w:color="auto" w:fill="CFF0FC"/>
          </w:tcPr>
          <w:p>
            <w:pPr>
              <w:spacing w:after="0"/>
              <w:rPr>
                <w:sz w:val="16"/>
                <w:szCs w:val="16"/>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 customers</w:t>
            </w:r>
          </w:p>
        </w:tc>
      </w:tr>
      <w:tr>
        <w:trPr>
          <w:trHeight w:val="189"/>
        </w:trPr>
        <w:tc>
          <w:tcPr>
            <w:tcW w:w="2880" w:type="dxa"/>
            <w:vAlign w:val="bottom"/>
            <w:shd w:val="clear" w:color="auto" w:fill="CFF0FC"/>
          </w:tcPr>
          <w:p>
            <w:pPr>
              <w:spacing w:after="0"/>
              <w:rPr>
                <w:sz w:val="16"/>
                <w:szCs w:val="16"/>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throughout its service territory by constructing and maintaining customer-owned gas infrastructure</w:t>
            </w:r>
          </w:p>
        </w:tc>
      </w:tr>
      <w:tr>
        <w:trPr>
          <w:trHeight w:val="203"/>
        </w:trPr>
        <w:tc>
          <w:tcPr>
            <w:tcW w:w="2880" w:type="dxa"/>
            <w:vAlign w:val="bottom"/>
            <w:shd w:val="clear" w:color="auto" w:fill="CFF0FC"/>
          </w:tcPr>
          <w:p>
            <w:pPr>
              <w:spacing w:after="0"/>
              <w:rPr>
                <w:sz w:val="17"/>
                <w:szCs w:val="17"/>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facilities, typically through one-time contracts.</w:t>
            </w:r>
          </w:p>
        </w:tc>
      </w:tr>
      <w:tr>
        <w:trPr>
          <w:trHeight w:val="189"/>
        </w:trPr>
        <w:tc>
          <w:tcPr>
            <w:tcW w:w="2880" w:type="dxa"/>
            <w:vAlign w:val="bottom"/>
          </w:tcPr>
          <w:p>
            <w:pPr>
              <w:spacing w:after="0"/>
              <w:rPr>
                <w:sz w:val="20"/>
                <w:szCs w:val="20"/>
                <w:color w:val="auto"/>
              </w:rPr>
            </w:pPr>
            <w:r>
              <w:rPr>
                <w:rFonts w:ascii="Arial" w:cs="Arial" w:eastAsia="Arial" w:hAnsi="Arial"/>
                <w:sz w:val="16"/>
                <w:szCs w:val="16"/>
                <w:color w:val="auto"/>
              </w:rPr>
              <w:t>Utilities</w:t>
            </w:r>
          </w:p>
        </w:tc>
        <w:tc>
          <w:tcPr>
            <w:tcW w:w="8360" w:type="dxa"/>
            <w:vAlign w:val="bottom"/>
          </w:tcPr>
          <w:p>
            <w:pPr>
              <w:ind w:left="84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8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Wind Capacity Factor</w:t>
            </w:r>
          </w:p>
        </w:tc>
        <w:tc>
          <w:tcPr>
            <w:tcW w:w="8360" w:type="dxa"/>
            <w:vAlign w:val="bottom"/>
            <w:shd w:val="clear" w:color="auto" w:fill="CFF0FC"/>
          </w:tcPr>
          <w:p>
            <w:pPr>
              <w:ind w:left="84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03"/>
        </w:trPr>
        <w:tc>
          <w:tcPr>
            <w:tcW w:w="2880" w:type="dxa"/>
            <w:vAlign w:val="bottom"/>
            <w:shd w:val="clear" w:color="auto" w:fill="CFF0FC"/>
          </w:tcPr>
          <w:p>
            <w:pPr>
              <w:spacing w:after="0"/>
              <w:rPr>
                <w:sz w:val="17"/>
                <w:szCs w:val="17"/>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maximum potential.</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Winter Storm Uri</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189"/>
        </w:trPr>
        <w:tc>
          <w:tcPr>
            <w:tcW w:w="2880" w:type="dxa"/>
            <w:vAlign w:val="bottom"/>
          </w:tcPr>
          <w:p>
            <w:pPr>
              <w:spacing w:after="0"/>
              <w:rPr>
                <w:sz w:val="16"/>
                <w:szCs w:val="16"/>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energy.</w:t>
            </w:r>
          </w:p>
        </w:tc>
      </w:tr>
      <w:tr>
        <w:trPr>
          <w:trHeight w:val="18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WPSC</w:t>
            </w: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WRDC</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 Black</w:t>
            </w:r>
          </w:p>
        </w:tc>
      </w:tr>
      <w:tr>
        <w:trPr>
          <w:trHeight w:val="189"/>
        </w:trPr>
        <w:tc>
          <w:tcPr>
            <w:tcW w:w="2880" w:type="dxa"/>
            <w:vAlign w:val="bottom"/>
          </w:tcPr>
          <w:p>
            <w:pPr>
              <w:spacing w:after="0"/>
              <w:rPr>
                <w:sz w:val="16"/>
                <w:szCs w:val="16"/>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Hills Non-regulated Holdings, providing coal supply primarily to five on-site, mine-mouth generating</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facilities at our Gillette Energy Complex (doing business as Black Hills Energy).</w:t>
            </w:r>
          </w:p>
        </w:tc>
      </w:tr>
      <w:tr>
        <w:trPr>
          <w:trHeight w:val="175"/>
        </w:trPr>
        <w:tc>
          <w:tcPr>
            <w:tcW w:w="28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Wygen I</w:t>
            </w:r>
          </w:p>
        </w:tc>
        <w:tc>
          <w:tcPr>
            <w:tcW w:w="8360" w:type="dxa"/>
            <w:vAlign w:val="bottom"/>
            <w:shd w:val="clear" w:color="auto" w:fill="CFF0FC"/>
          </w:tcPr>
          <w:p>
            <w:pPr>
              <w:ind w:left="840"/>
              <w:spacing w:after="0" w:line="175" w:lineRule="exact"/>
              <w:rPr>
                <w:sz w:val="20"/>
                <w:szCs w:val="20"/>
                <w:color w:val="auto"/>
              </w:rPr>
            </w:pPr>
            <w:r>
              <w:rPr>
                <w:rFonts w:ascii="Arial" w:cs="Arial" w:eastAsia="Arial" w:hAnsi="Arial"/>
                <w:sz w:val="16"/>
                <w:szCs w:val="16"/>
                <w:color w:val="auto"/>
              </w:rPr>
              <w:t>A mine-mouth, coal-fired generating facility with a total capacity of 90 MW located at our Gillette Energy</w:t>
            </w:r>
          </w:p>
        </w:tc>
      </w:tr>
      <w:tr>
        <w:trPr>
          <w:trHeight w:val="189"/>
        </w:trPr>
        <w:tc>
          <w:tcPr>
            <w:tcW w:w="2880" w:type="dxa"/>
            <w:vAlign w:val="bottom"/>
            <w:shd w:val="clear" w:color="auto" w:fill="CFF0FC"/>
          </w:tcPr>
          <w:p>
            <w:pPr>
              <w:spacing w:after="0"/>
              <w:rPr>
                <w:sz w:val="16"/>
                <w:szCs w:val="16"/>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Complex. Black Hills Wyoming owns 76.5% of the facility and Municipal Energy Agency of Nebraska</w:t>
            </w:r>
          </w:p>
        </w:tc>
      </w:tr>
      <w:tr>
        <w:trPr>
          <w:trHeight w:val="203"/>
        </w:trPr>
        <w:tc>
          <w:tcPr>
            <w:tcW w:w="2880" w:type="dxa"/>
            <w:vAlign w:val="bottom"/>
            <w:shd w:val="clear" w:color="auto" w:fill="CFF0FC"/>
          </w:tcPr>
          <w:p>
            <w:pPr>
              <w:spacing w:after="0"/>
              <w:rPr>
                <w:sz w:val="17"/>
                <w:szCs w:val="17"/>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(MEAN) owns the remaining 23.5%.</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Wygen III</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2880" w:type="dxa"/>
            <w:vAlign w:val="bottom"/>
          </w:tcPr>
          <w:p>
            <w:pPr>
              <w:spacing w:after="0"/>
              <w:rPr>
                <w:sz w:val="16"/>
                <w:szCs w:val="16"/>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w:t>
            </w:r>
          </w:p>
        </w:tc>
      </w:tr>
      <w:tr>
        <w:trPr>
          <w:trHeight w:val="203"/>
        </w:trPr>
        <w:tc>
          <w:tcPr>
            <w:tcW w:w="2880" w:type="dxa"/>
            <w:vAlign w:val="bottom"/>
          </w:tcPr>
          <w:p>
            <w:pPr>
              <w:spacing w:after="0"/>
              <w:rPr>
                <w:sz w:val="17"/>
                <w:szCs w:val="17"/>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25%, and the City of Gillette owns the remaining 23%.</w:t>
            </w:r>
          </w:p>
        </w:tc>
      </w:tr>
      <w:tr>
        <w:trPr>
          <w:trHeight w:val="175"/>
        </w:trPr>
        <w:tc>
          <w:tcPr>
            <w:tcW w:w="28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Wyoming Electric</w:t>
            </w:r>
          </w:p>
        </w:tc>
        <w:tc>
          <w:tcPr>
            <w:tcW w:w="8360" w:type="dxa"/>
            <w:vAlign w:val="bottom"/>
            <w:shd w:val="clear" w:color="auto" w:fill="CFF0FC"/>
          </w:tcPr>
          <w:p>
            <w:pPr>
              <w:ind w:left="840"/>
              <w:spacing w:after="0" w:line="175"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2880" w:type="dxa"/>
            <w:vAlign w:val="bottom"/>
            <w:shd w:val="clear" w:color="auto" w:fill="CFF0FC"/>
          </w:tcPr>
          <w:p>
            <w:pPr>
              <w:spacing w:after="0"/>
              <w:rPr>
                <w:sz w:val="16"/>
                <w:szCs w:val="16"/>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03"/>
        </w:trPr>
        <w:tc>
          <w:tcPr>
            <w:tcW w:w="2880" w:type="dxa"/>
            <w:vAlign w:val="bottom"/>
            <w:shd w:val="clear" w:color="auto" w:fill="CFF0FC"/>
          </w:tcPr>
          <w:p>
            <w:pPr>
              <w:spacing w:after="0"/>
              <w:rPr>
                <w:sz w:val="17"/>
                <w:szCs w:val="17"/>
                <w:color w:val="auto"/>
              </w:rPr>
            </w:pPr>
          </w:p>
        </w:tc>
        <w:tc>
          <w:tcPr>
            <w:tcW w:w="8360" w:type="dxa"/>
            <w:vAlign w:val="bottom"/>
            <w:shd w:val="clear" w:color="auto" w:fill="CFF0FC"/>
          </w:tcPr>
          <w:p>
            <w:pPr>
              <w:ind w:left="840"/>
              <w:spacing w:after="0"/>
              <w:rPr>
                <w:sz w:val="20"/>
                <w:szCs w:val="20"/>
                <w:color w:val="auto"/>
              </w:rPr>
            </w:pPr>
            <w:r>
              <w:rPr>
                <w:rFonts w:ascii="Arial" w:cs="Arial" w:eastAsia="Arial" w:hAnsi="Arial"/>
                <w:sz w:val="16"/>
                <w:szCs w:val="16"/>
                <w:color w:val="auto"/>
              </w:rPr>
              <w:t>Energy).</w:t>
            </w:r>
          </w:p>
        </w:tc>
      </w:tr>
      <w:tr>
        <w:trPr>
          <w:trHeight w:val="175"/>
        </w:trPr>
        <w:tc>
          <w:tcPr>
            <w:tcW w:w="2880" w:type="dxa"/>
            <w:vAlign w:val="bottom"/>
          </w:tcPr>
          <w:p>
            <w:pPr>
              <w:spacing w:after="0" w:line="175" w:lineRule="exact"/>
              <w:rPr>
                <w:sz w:val="20"/>
                <w:szCs w:val="20"/>
                <w:color w:val="auto"/>
              </w:rPr>
            </w:pPr>
            <w:r>
              <w:rPr>
                <w:rFonts w:ascii="Arial" w:cs="Arial" w:eastAsia="Arial" w:hAnsi="Arial"/>
                <w:sz w:val="16"/>
                <w:szCs w:val="16"/>
                <w:color w:val="auto"/>
              </w:rPr>
              <w:t>Wyoming Gas</w:t>
            </w:r>
          </w:p>
        </w:tc>
        <w:tc>
          <w:tcPr>
            <w:tcW w:w="8360" w:type="dxa"/>
            <w:vAlign w:val="bottom"/>
          </w:tcPr>
          <w:p>
            <w:pPr>
              <w:ind w:left="84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189"/>
        </w:trPr>
        <w:tc>
          <w:tcPr>
            <w:tcW w:w="2880" w:type="dxa"/>
            <w:vAlign w:val="bottom"/>
          </w:tcPr>
          <w:p>
            <w:pPr>
              <w:spacing w:after="0"/>
              <w:rPr>
                <w:sz w:val="16"/>
                <w:szCs w:val="16"/>
                <w:color w:val="auto"/>
              </w:rPr>
            </w:pPr>
          </w:p>
        </w:tc>
        <w:tc>
          <w:tcPr>
            <w:tcW w:w="8360" w:type="dxa"/>
            <w:vAlign w:val="bottom"/>
          </w:tcPr>
          <w:p>
            <w:pPr>
              <w:ind w:left="84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15"/>
        </w:trPr>
        <w:tc>
          <w:tcPr>
            <w:tcW w:w="2880" w:type="dxa"/>
            <w:vAlign w:val="bottom"/>
          </w:tcPr>
          <w:p>
            <w:pPr>
              <w:spacing w:after="0"/>
              <w:rPr>
                <w:sz w:val="18"/>
                <w:szCs w:val="18"/>
                <w:color w:val="auto"/>
              </w:rPr>
            </w:pPr>
          </w:p>
        </w:tc>
        <w:tc>
          <w:tcPr>
            <w:tcW w:w="8360" w:type="dxa"/>
            <w:vAlign w:val="bottom"/>
          </w:tcPr>
          <w:p>
            <w:pPr>
              <w:ind w:left="2700"/>
              <w:spacing w:after="0"/>
              <w:rPr>
                <w:sz w:val="20"/>
                <w:szCs w:val="20"/>
                <w:color w:val="auto"/>
              </w:rPr>
            </w:pPr>
            <w:r>
              <w:rPr>
                <w:rFonts w:ascii="Arial" w:cs="Arial" w:eastAsia="Arial" w:hAnsi="Arial"/>
                <w:sz w:val="16"/>
                <w:szCs w:val="16"/>
                <w:color w:val="auto"/>
              </w:rPr>
              <w:t>6</w:t>
            </w:r>
          </w:p>
        </w:tc>
      </w:tr>
      <w:tr>
        <w:trPr>
          <w:trHeight w:val="751"/>
        </w:trPr>
        <w:tc>
          <w:tcPr>
            <w:tcW w:w="288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2024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tariffs and volatile energy prices;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w:t>
      </w:r>
    </w:p>
    <w:p>
      <w:pPr>
        <w:spacing w:after="0" w:line="206" w:lineRule="exact"/>
        <w:rPr>
          <w:rFonts w:ascii="Times New Roman" w:cs="Times New Roman" w:eastAsia="Times New Roman" w:hAnsi="Times New Roman"/>
          <w:sz w:val="16"/>
          <w:szCs w:val="16"/>
          <w:color w:val="auto"/>
        </w:rPr>
      </w:pPr>
    </w:p>
    <w:p>
      <w:pPr>
        <w:ind w:left="380" w:right="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and likelihood of completion and our ability to realize the anticipated benefits of the proposed merger with NorthWestern, including the timing, receipt and terms and conditions of any required governmental and regulatory approvals of the proposed acquisition that could reduce anticipated benefits or give rise to the termination of the merger; and</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STATEMENTS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BLACK HILLS CORPORATION</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500" w:type="dxa"/>
            <w:vAlign w:val="bottom"/>
            <w:gridSpan w:val="4"/>
          </w:tcPr>
          <w:p>
            <w:pPr>
              <w:jc w:val="center"/>
              <w:spacing w:after="0"/>
              <w:rPr>
                <w:sz w:val="20"/>
                <w:szCs w:val="20"/>
                <w:color w:val="auto"/>
              </w:rPr>
            </w:pPr>
            <w:r>
              <w:rPr>
                <w:rFonts w:ascii="Arial" w:cs="Arial" w:eastAsia="Arial" w:hAnsi="Arial"/>
                <w:sz w:val="16"/>
                <w:szCs w:val="16"/>
                <w:b w:val="1"/>
                <w:bCs w:val="1"/>
                <w:color w:val="auto"/>
              </w:rPr>
              <w:t>CONSOLIDATED STATEMENTS OF INCOME</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262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(unaudited)</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6"/>
                <w:szCs w:val="16"/>
                <w:color w:val="auto"/>
              </w:rPr>
            </w:pPr>
          </w:p>
        </w:tc>
        <w:tc>
          <w:tcPr>
            <w:tcW w:w="262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183"/>
        </w:trPr>
        <w:tc>
          <w:tcPr>
            <w:tcW w:w="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ind w:left="40"/>
              <w:spacing w:after="0" w:line="183" w:lineRule="exact"/>
              <w:rPr>
                <w:sz w:val="20"/>
                <w:szCs w:val="20"/>
                <w:color w:val="auto"/>
              </w:rPr>
            </w:pPr>
            <w:r>
              <w:rPr>
                <w:rFonts w:ascii="Arial" w:cs="Arial" w:eastAsia="Arial" w:hAnsi="Arial"/>
                <w:sz w:val="16"/>
                <w:szCs w:val="16"/>
                <w:color w:val="auto"/>
              </w:rPr>
              <w:t>(in millions, except per share amounts)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6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430.2</w:t>
            </w:r>
          </w:p>
        </w:tc>
        <w:tc>
          <w:tcPr>
            <w:tcW w:w="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401.6</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1,674.5</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1,530.6</w:t>
            </w:r>
          </w:p>
        </w:tc>
      </w:tr>
      <w:tr>
        <w:trPr>
          <w:trHeight w:val="183"/>
        </w:trPr>
        <w:tc>
          <w:tcPr>
            <w:tcW w:w="3840" w:type="dxa"/>
            <w:vAlign w:val="bottom"/>
            <w:tcBorders>
              <w:top w:val="single" w:sz="8" w:color="CFF0FC"/>
            </w:tcBorders>
            <w:gridSpan w:val="2"/>
          </w:tcPr>
          <w:p>
            <w:pPr>
              <w:spacing w:after="0"/>
              <w:rPr>
                <w:sz w:val="15"/>
                <w:szCs w:val="15"/>
                <w:color w:val="auto"/>
              </w:rPr>
            </w:pPr>
          </w:p>
        </w:tc>
        <w:tc>
          <w:tcPr>
            <w:tcW w:w="15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Fuel, purchased power and cost of natural gas sold</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5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595.7</w:t>
            </w:r>
          </w:p>
        </w:tc>
        <w:tc>
          <w:tcPr>
            <w:tcW w:w="3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518.2</w:t>
            </w: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150.8</w:t>
            </w: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145.6</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452.2</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420.8</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5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210.5</w:t>
            </w:r>
          </w:p>
        </w:tc>
        <w:tc>
          <w:tcPr>
            <w:tcW w:w="3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201.8</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5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17.2</w:t>
            </w: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16.4</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w:t>
            </w:r>
          </w:p>
        </w:tc>
      </w:tr>
      <w:tr>
        <w:trPr>
          <w:trHeight w:val="183"/>
        </w:trPr>
        <w:tc>
          <w:tcPr>
            <w:tcW w:w="38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operating expenses</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351.5</w:t>
            </w:r>
          </w:p>
        </w:tc>
        <w:tc>
          <w:tcPr>
            <w:tcW w:w="500" w:type="dxa"/>
            <w:vAlign w:val="bottom"/>
          </w:tcPr>
          <w:p>
            <w:pPr>
              <w:spacing w:after="0"/>
              <w:rPr>
                <w:sz w:val="15"/>
                <w:szCs w:val="15"/>
                <w:color w:val="auto"/>
              </w:rPr>
            </w:pP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325.8</w:t>
            </w:r>
          </w:p>
        </w:tc>
        <w:tc>
          <w:tcPr>
            <w:tcW w:w="32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1,308.4</w:t>
            </w:r>
          </w:p>
        </w:tc>
        <w:tc>
          <w:tcPr>
            <w:tcW w:w="32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1,190.8</w:t>
            </w:r>
          </w:p>
        </w:tc>
      </w:tr>
      <w:tr>
        <w:trPr>
          <w:trHeight w:val="189"/>
        </w:trPr>
        <w:tc>
          <w:tcPr>
            <w:tcW w:w="3840" w:type="dxa"/>
            <w:vAlign w:val="bottom"/>
            <w:gridSpan w:val="2"/>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78.7</w:t>
            </w:r>
          </w:p>
        </w:tc>
        <w:tc>
          <w:tcPr>
            <w:tcW w:w="5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366.1</w:t>
            </w:r>
          </w:p>
        </w:tc>
        <w:tc>
          <w:tcPr>
            <w:tcW w:w="3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339.8</w:t>
            </w:r>
          </w:p>
        </w:tc>
      </w:tr>
      <w:tr>
        <w:trPr>
          <w:trHeight w:val="189"/>
        </w:trPr>
        <w:tc>
          <w:tcPr>
            <w:tcW w:w="3840" w:type="dxa"/>
            <w:vAlign w:val="bottom"/>
            <w:gridSpan w:val="2"/>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 incurred net of amounts capitalized</w:t>
            </w: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5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38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other (expense)</w:t>
            </w:r>
          </w:p>
        </w:tc>
        <w:tc>
          <w:tcPr>
            <w:tcW w:w="1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(48.8)</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(46.5)</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(148.5)</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(133.6)</w:t>
            </w:r>
          </w:p>
        </w:tc>
      </w:tr>
      <w:tr>
        <w:trPr>
          <w:trHeight w:val="183"/>
        </w:trPr>
        <w:tc>
          <w:tcPr>
            <w:tcW w:w="3840" w:type="dxa"/>
            <w:vAlign w:val="bottom"/>
            <w:gridSpan w:val="2"/>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5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3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206.2</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r>
      <w:tr>
        <w:trPr>
          <w:trHeight w:val="183"/>
        </w:trPr>
        <w:tc>
          <w:tcPr>
            <w:tcW w:w="980" w:type="dxa"/>
            <w:vAlign w:val="bottom"/>
          </w:tcPr>
          <w:p>
            <w:pPr>
              <w:ind w:left="60"/>
              <w:spacing w:after="0" w:line="183" w:lineRule="exact"/>
              <w:rPr>
                <w:sz w:val="20"/>
                <w:szCs w:val="20"/>
                <w:color w:val="auto"/>
              </w:rPr>
            </w:pPr>
            <w:r>
              <w:rPr>
                <w:rFonts w:ascii="Arial" w:cs="Arial" w:eastAsia="Arial" w:hAnsi="Arial"/>
                <w:sz w:val="16"/>
                <w:szCs w:val="16"/>
                <w:color w:val="auto"/>
              </w:rPr>
              <w:t>Net income</w:t>
            </w: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25.9</w:t>
            </w:r>
          </w:p>
        </w:tc>
        <w:tc>
          <w:tcPr>
            <w:tcW w:w="500" w:type="dxa"/>
            <w:vAlign w:val="bottom"/>
          </w:tcPr>
          <w:p>
            <w:pPr>
              <w:spacing w:after="0"/>
              <w:rPr>
                <w:sz w:val="15"/>
                <w:szCs w:val="15"/>
                <w:color w:val="auto"/>
              </w:rPr>
            </w:pP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26.4</w:t>
            </w:r>
          </w:p>
        </w:tc>
        <w:tc>
          <w:tcPr>
            <w:tcW w:w="32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191.1</w:t>
            </w:r>
          </w:p>
        </w:tc>
        <w:tc>
          <w:tcPr>
            <w:tcW w:w="32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182.6</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15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r>
      <w:tr>
        <w:trPr>
          <w:trHeight w:val="183"/>
        </w:trPr>
        <w:tc>
          <w:tcPr>
            <w:tcW w:w="3840" w:type="dxa"/>
            <w:vAlign w:val="bottom"/>
            <w:gridSpan w:val="2"/>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1860" w:type="dxa"/>
            <w:vAlign w:val="bottom"/>
            <w:gridSpan w:val="2"/>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24.9</w:t>
            </w:r>
          </w:p>
        </w:tc>
        <w:tc>
          <w:tcPr>
            <w:tcW w:w="500" w:type="dxa"/>
            <w:vAlign w:val="bottom"/>
          </w:tcPr>
          <w:p>
            <w:pPr>
              <w:ind w:left="20"/>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24.4</w:t>
            </w:r>
          </w:p>
        </w:tc>
        <w:tc>
          <w:tcPr>
            <w:tcW w:w="32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186.6</w:t>
            </w:r>
          </w:p>
        </w:tc>
        <w:tc>
          <w:tcPr>
            <w:tcW w:w="32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175.0</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Earnings per share of common stock:</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3840" w:type="dxa"/>
            <w:vAlign w:val="bottom"/>
            <w:tcBorders>
              <w:bottom w:val="single" w:sz="8" w:color="CFF0FC"/>
            </w:tcBorders>
            <w:gridSpan w:val="2"/>
            <w:shd w:val="clear" w:color="auto" w:fill="CFF0FC"/>
          </w:tcPr>
          <w:p>
            <w:pPr>
              <w:ind w:left="60"/>
              <w:spacing w:after="0" w:line="169" w:lineRule="exact"/>
              <w:rPr>
                <w:sz w:val="20"/>
                <w:szCs w:val="20"/>
                <w:color w:val="auto"/>
              </w:rPr>
            </w:pPr>
            <w:r>
              <w:rPr>
                <w:rFonts w:ascii="Arial" w:cs="Arial" w:eastAsia="Arial" w:hAnsi="Arial"/>
                <w:sz w:val="16"/>
                <w:szCs w:val="16"/>
                <w:color w:val="auto"/>
              </w:rPr>
              <w:t>Earnings per share, Basic</w:t>
            </w:r>
          </w:p>
        </w:tc>
        <w:tc>
          <w:tcPr>
            <w:tcW w:w="1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0.34</w:t>
            </w:r>
          </w:p>
        </w:tc>
        <w:tc>
          <w:tcPr>
            <w:tcW w:w="500" w:type="dxa"/>
            <w:vAlign w:val="bottom"/>
            <w:tcBorders>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0.35</w:t>
            </w:r>
          </w:p>
        </w:tc>
        <w:tc>
          <w:tcPr>
            <w:tcW w:w="32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2.58</w:t>
            </w:r>
          </w:p>
        </w:tc>
        <w:tc>
          <w:tcPr>
            <w:tcW w:w="32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2.53</w:t>
            </w:r>
          </w:p>
        </w:tc>
      </w:tr>
      <w:tr>
        <w:trPr>
          <w:trHeight w:val="170"/>
        </w:trPr>
        <w:tc>
          <w:tcPr>
            <w:tcW w:w="38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Earnings per share, Diluted</w:t>
            </w:r>
          </w:p>
        </w:tc>
        <w:tc>
          <w:tcPr>
            <w:tcW w:w="1860" w:type="dxa"/>
            <w:vAlign w:val="bottom"/>
            <w:gridSpan w:val="2"/>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0.34</w:t>
            </w:r>
          </w:p>
        </w:tc>
        <w:tc>
          <w:tcPr>
            <w:tcW w:w="500" w:type="dxa"/>
            <w:vAlign w:val="bottom"/>
          </w:tcPr>
          <w:p>
            <w:pPr>
              <w:ind w:left="20"/>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0.35</w:t>
            </w:r>
          </w:p>
        </w:tc>
        <w:tc>
          <w:tcPr>
            <w:tcW w:w="32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2.58</w:t>
            </w:r>
          </w:p>
        </w:tc>
        <w:tc>
          <w:tcPr>
            <w:tcW w:w="320" w:type="dxa"/>
            <w:vAlign w:val="bottom"/>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2.52</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980" w:type="dxa"/>
            <w:vAlign w:val="bottom"/>
            <w:tcBorders>
              <w:bottom w:val="single" w:sz="8" w:color="CFF0FC"/>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Basic</w:t>
            </w:r>
          </w:p>
        </w:tc>
        <w:tc>
          <w:tcPr>
            <w:tcW w:w="28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72.8</w:t>
            </w: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70.5</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72.3</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69.2</w:t>
            </w:r>
          </w:p>
        </w:tc>
      </w:tr>
      <w:tr>
        <w:trPr>
          <w:trHeight w:val="170"/>
        </w:trPr>
        <w:tc>
          <w:tcPr>
            <w:tcW w:w="980" w:type="dxa"/>
            <w:vAlign w:val="bottom"/>
          </w:tcPr>
          <w:p>
            <w:pPr>
              <w:ind w:left="60"/>
              <w:spacing w:after="0" w:line="169" w:lineRule="exact"/>
              <w:rPr>
                <w:sz w:val="20"/>
                <w:szCs w:val="20"/>
                <w:color w:val="auto"/>
              </w:rPr>
            </w:pPr>
            <w:r>
              <w:rPr>
                <w:rFonts w:ascii="Arial" w:cs="Arial" w:eastAsia="Arial" w:hAnsi="Arial"/>
                <w:sz w:val="16"/>
                <w:szCs w:val="16"/>
                <w:color w:val="auto"/>
              </w:rPr>
              <w:t>Diluted</w:t>
            </w:r>
          </w:p>
        </w:tc>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72.9</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70.6</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72.4</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69.3</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0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16"/>
                <w:szCs w:val="16"/>
                <w:color w:val="auto"/>
              </w:rPr>
            </w:pPr>
          </w:p>
        </w:tc>
        <w:tc>
          <w:tcPr>
            <w:tcW w:w="222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206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25.9</w:t>
            </w:r>
          </w:p>
        </w:tc>
        <w:tc>
          <w:tcPr>
            <w:tcW w:w="2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26.4</w:t>
            </w: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191.1</w:t>
            </w: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240"/>
              <w:spacing w:after="0" w:line="175" w:lineRule="exact"/>
              <w:rPr>
                <w:sz w:val="20"/>
                <w:szCs w:val="20"/>
                <w:color w:val="auto"/>
              </w:rPr>
            </w:pPr>
            <w:r>
              <w:rPr>
                <w:rFonts w:ascii="Arial" w:cs="Arial" w:eastAsia="Arial" w:hAnsi="Arial"/>
                <w:sz w:val="16"/>
                <w:szCs w:val="16"/>
                <w:color w:val="auto"/>
              </w:rPr>
              <w:t>Reclassification adjustments of benefit plan liability - net loss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40"/>
              <w:spacing w:after="0"/>
              <w:rPr>
                <w:sz w:val="20"/>
                <w:szCs w:val="20"/>
                <w:color w:val="auto"/>
              </w:rPr>
            </w:pPr>
            <w:r>
              <w:rPr>
                <w:rFonts w:ascii="Arial" w:cs="Arial" w:eastAsia="Arial" w:hAnsi="Arial"/>
                <w:sz w:val="16"/>
                <w:szCs w:val="16"/>
                <w:color w:val="auto"/>
              </w:rPr>
              <w:t>(net of tax of $0.0, $0.0, $0.0 and $0.0, respectively)</w:t>
            </w:r>
          </w:p>
        </w:tc>
        <w:tc>
          <w:tcPr>
            <w:tcW w:w="2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Derivative instruments designated as cash flow hedges:</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240"/>
              <w:spacing w:after="0" w:line="175" w:lineRule="exact"/>
              <w:rPr>
                <w:sz w:val="20"/>
                <w:szCs w:val="20"/>
                <w:color w:val="auto"/>
              </w:rPr>
            </w:pPr>
            <w:r>
              <w:rPr>
                <w:rFonts w:ascii="Arial" w:cs="Arial" w:eastAsia="Arial" w:hAnsi="Arial"/>
                <w:sz w:val="16"/>
                <w:szCs w:val="16"/>
                <w:color w:val="auto"/>
              </w:rPr>
              <w:t>Reclassification of net realized (gains) losses on settled/amortized interest rate</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40"/>
              <w:spacing w:after="0"/>
              <w:rPr>
                <w:sz w:val="20"/>
                <w:szCs w:val="20"/>
                <w:color w:val="auto"/>
              </w:rPr>
            </w:pPr>
            <w:r>
              <w:rPr>
                <w:rFonts w:ascii="Arial" w:cs="Arial" w:eastAsia="Arial" w:hAnsi="Arial"/>
                <w:sz w:val="16"/>
                <w:szCs w:val="16"/>
                <w:color w:val="auto"/>
              </w:rPr>
              <w:t>swaps (net of tax of $(0.2), $(0.2), $(0.5), and $(0.5), respectively)</w:t>
            </w:r>
          </w:p>
        </w:tc>
        <w:tc>
          <w:tcPr>
            <w:tcW w:w="2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5"/>
        </w:trPr>
        <w:tc>
          <w:tcPr>
            <w:tcW w:w="638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Net unrealized gains (losses) on commodity derivatives</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of tax of $0.4, $0.0, $0.4, and $0.0, respectively)</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6380" w:type="dxa"/>
            <w:vAlign w:val="bottom"/>
          </w:tcPr>
          <w:p>
            <w:pPr>
              <w:ind w:left="240"/>
              <w:spacing w:after="0" w:line="175" w:lineRule="exact"/>
              <w:rPr>
                <w:sz w:val="20"/>
                <w:szCs w:val="20"/>
                <w:color w:val="auto"/>
              </w:rPr>
            </w:pPr>
            <w:r>
              <w:rPr>
                <w:rFonts w:ascii="Arial" w:cs="Arial" w:eastAsia="Arial" w:hAnsi="Arial"/>
                <w:sz w:val="16"/>
                <w:szCs w:val="16"/>
                <w:color w:val="auto"/>
              </w:rPr>
              <w:t>Reclassification of net realized (gains) losses on settled commodity derivatives (net</w:t>
            </w:r>
          </w:p>
        </w:tc>
        <w:tc>
          <w:tcPr>
            <w:tcW w:w="220" w:type="dxa"/>
            <w:vAlign w:val="bottom"/>
          </w:tcPr>
          <w:p>
            <w:pPr>
              <w:spacing w:after="0"/>
              <w:rPr>
                <w:sz w:val="15"/>
                <w:szCs w:val="15"/>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5"/>
                <w:szCs w:val="15"/>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0"/>
        </w:trPr>
        <w:tc>
          <w:tcPr>
            <w:tcW w:w="6380" w:type="dxa"/>
            <w:vAlign w:val="bottom"/>
          </w:tcPr>
          <w:p>
            <w:pPr>
              <w:ind w:left="240"/>
              <w:spacing w:after="0"/>
              <w:rPr>
                <w:sz w:val="20"/>
                <w:szCs w:val="20"/>
                <w:color w:val="auto"/>
              </w:rPr>
            </w:pPr>
            <w:r>
              <w:rPr>
                <w:rFonts w:ascii="Arial" w:cs="Arial" w:eastAsia="Arial" w:hAnsi="Arial"/>
                <w:sz w:val="16"/>
                <w:szCs w:val="16"/>
                <w:color w:val="auto"/>
              </w:rPr>
              <w:t>of tax of $0.0, $0.0, $(0.1), and $(0.7), respectively)</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0.7</w:t>
            </w:r>
          </w:p>
        </w:tc>
        <w:tc>
          <w:tcPr>
            <w:tcW w:w="3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25.1</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27.1</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191.7</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186.8</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Comprehensive income available for common stock</w:t>
            </w: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24.1</w:t>
            </w:r>
          </w:p>
        </w:tc>
        <w:tc>
          <w:tcPr>
            <w:tcW w:w="28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25.1</w:t>
            </w: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187.2</w:t>
            </w:r>
          </w:p>
        </w:tc>
        <w:tc>
          <w:tcPr>
            <w:tcW w:w="24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280" w:type="dxa"/>
            <w:vAlign w:val="bottom"/>
          </w:tcPr>
          <w:p>
            <w:pPr>
              <w:spacing w:after="0"/>
              <w:rPr>
                <w:sz w:val="16"/>
                <w:szCs w:val="16"/>
                <w:color w:val="auto"/>
              </w:rPr>
            </w:pPr>
          </w:p>
        </w:tc>
        <w:tc>
          <w:tcPr>
            <w:tcW w:w="27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September 30, 2025</w:t>
            </w:r>
          </w:p>
        </w:tc>
        <w:tc>
          <w:tcPr>
            <w:tcW w:w="4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66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21.1</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cash and equivalents</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251.4</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351.2</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Materials, supplies and fuel</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173.0</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Income tax receivable, net</w:t>
            </w:r>
          </w:p>
        </w:tc>
        <w:tc>
          <w:tcPr>
            <w:tcW w:w="2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21.0</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assets, current</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FF0FC"/>
          </w:tcPr>
          <w:p>
            <w:pPr>
              <w:spacing w:after="0"/>
              <w:rPr>
                <w:sz w:val="15"/>
                <w:szCs w:val="15"/>
                <w:color w:val="auto"/>
              </w:rPr>
            </w:pPr>
          </w:p>
        </w:tc>
        <w:tc>
          <w:tcPr>
            <w:tcW w:w="2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667.6</w:t>
            </w: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742.3</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10,104.2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9,566.5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(2,076.5)</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(1,936.6)</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property, plant and equipment, net</w:t>
            </w:r>
          </w:p>
        </w:tc>
        <w:tc>
          <w:tcPr>
            <w:tcW w:w="280" w:type="dxa"/>
            <w:vAlign w:val="bottom"/>
            <w:tcBorders>
              <w:bottom w:val="single" w:sz="8" w:color="auto"/>
            </w:tcBorders>
            <w:shd w:val="clear" w:color="auto" w:fill="CFF0FC"/>
          </w:tcPr>
          <w:p>
            <w:pPr>
              <w:spacing w:after="0"/>
              <w:rPr>
                <w:sz w:val="15"/>
                <w:szCs w:val="15"/>
                <w:color w:val="auto"/>
              </w:rPr>
            </w:pPr>
          </w:p>
        </w:tc>
        <w:tc>
          <w:tcPr>
            <w:tcW w:w="2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8,027.7</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7,629.9</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1,299.5</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FF0FC"/>
          </w:tcPr>
          <w:p>
            <w:pPr>
              <w:spacing w:after="0"/>
              <w:rPr>
                <w:sz w:val="16"/>
                <w:szCs w:val="16"/>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assets, non-current</w:t>
            </w:r>
          </w:p>
        </w:tc>
        <w:tc>
          <w:tcPr>
            <w:tcW w:w="2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253.0</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assets, non-current</w:t>
            </w:r>
          </w:p>
        </w:tc>
        <w:tc>
          <w:tcPr>
            <w:tcW w:w="2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182"/>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other assets, non-current</w:t>
            </w: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1,633.7</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1,650.4</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2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10,329.0</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10,022.6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10"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payable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Accrued liabilities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Derivative liabilities, current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Regulatory liabilities, current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payable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net of current maturities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Deferred credits and other liabilities: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income tax liabilities, net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Regulatory liabilities, non-current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Benefit plan liabilities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80" w:type="dxa"/>
            <w:vAlign w:val="bottom"/>
          </w:tcPr>
          <w:p>
            <w:pPr>
              <w:spacing w:after="0"/>
              <w:rPr>
                <w:sz w:val="16"/>
                <w:szCs w:val="16"/>
                <w:color w:val="auto"/>
              </w:rPr>
            </w:pPr>
          </w:p>
        </w:tc>
        <w:tc>
          <w:tcPr>
            <w:tcW w:w="2780" w:type="dxa"/>
            <w:vAlign w:val="bottom"/>
            <w:gridSpan w:val="2"/>
          </w:tcPr>
          <w:p>
            <w:pPr>
              <w:jc w:val="center"/>
              <w:ind w:left="1699"/>
              <w:spacing w:after="0"/>
              <w:rPr>
                <w:sz w:val="20"/>
                <w:szCs w:val="20"/>
                <w:color w:val="auto"/>
              </w:rPr>
            </w:pPr>
            <w:r>
              <w:rPr>
                <w:rFonts w:ascii="Arial" w:cs="Arial" w:eastAsia="Arial" w:hAnsi="Arial"/>
                <w:sz w:val="16"/>
                <w:szCs w:val="16"/>
                <w:b w:val="1"/>
                <w:bCs w:val="1"/>
                <w:color w:val="auto"/>
                <w:w w:val="99"/>
              </w:rPr>
              <w:t>As of</w:t>
            </w:r>
          </w:p>
        </w:tc>
        <w:tc>
          <w:tcPr>
            <w:tcW w:w="2200" w:type="dxa"/>
            <w:vAlign w:val="bottom"/>
          </w:tcPr>
          <w:p>
            <w:pPr>
              <w:spacing w:after="0"/>
              <w:rPr>
                <w:sz w:val="16"/>
                <w:szCs w:val="16"/>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September 30, 2025</w:t>
            </w:r>
          </w:p>
        </w:tc>
        <w:tc>
          <w:tcPr>
            <w:tcW w:w="5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2"/>
          </w:tcPr>
          <w:p>
            <w:pPr>
              <w:jc w:val="center"/>
              <w:ind w:left="1699"/>
              <w:spacing w:after="0" w:line="183" w:lineRule="exact"/>
              <w:rPr>
                <w:sz w:val="20"/>
                <w:szCs w:val="20"/>
                <w:color w:val="auto"/>
              </w:rPr>
            </w:pPr>
            <w:r>
              <w:rPr>
                <w:rFonts w:ascii="Arial" w:cs="Arial" w:eastAsia="Arial" w:hAnsi="Arial"/>
                <w:sz w:val="16"/>
                <w:szCs w:val="16"/>
                <w:color w:val="auto"/>
                <w:w w:val="98"/>
              </w:rPr>
              <w:t>(in millions)</w:t>
            </w:r>
          </w:p>
        </w:tc>
        <w:tc>
          <w:tcPr>
            <w:tcW w:w="2200" w:type="dxa"/>
            <w:vAlign w:val="bottom"/>
            <w:tcBorders>
              <w:bottom w:val="single" w:sz="8" w:color="auto"/>
            </w:tcBorders>
          </w:tcPr>
          <w:p>
            <w:pPr>
              <w:spacing w:after="0"/>
              <w:rPr>
                <w:sz w:val="15"/>
                <w:szCs w:val="15"/>
                <w:color w:val="auto"/>
              </w:rPr>
            </w:pPr>
          </w:p>
        </w:tc>
      </w:tr>
      <w:tr>
        <w:trPr>
          <w:trHeight w:val="54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2280" w:type="dxa"/>
            <w:vAlign w:val="bottom"/>
          </w:tcPr>
          <w:p>
            <w:pPr>
              <w:jc w:val="right"/>
              <w:spacing w:after="0"/>
              <w:rPr>
                <w:sz w:val="20"/>
                <w:szCs w:val="20"/>
                <w:color w:val="auto"/>
              </w:rPr>
            </w:pPr>
            <w:r>
              <w:rPr>
                <w:rFonts w:ascii="Arial" w:cs="Arial" w:eastAsia="Arial" w:hAnsi="Arial"/>
                <w:sz w:val="16"/>
                <w:szCs w:val="16"/>
                <w:color w:val="auto"/>
              </w:rPr>
              <w:t>219.1</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229.1</w:t>
            </w:r>
          </w:p>
        </w:tc>
      </w:tr>
      <w:tr>
        <w:trPr>
          <w:trHeight w:val="189"/>
        </w:trPr>
        <w:tc>
          <w:tcPr>
            <w:tcW w:w="28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292.4</w:t>
            </w:r>
          </w:p>
        </w:tc>
        <w:tc>
          <w:tcPr>
            <w:tcW w:w="50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302.2</w:t>
            </w:r>
          </w:p>
        </w:tc>
      </w:tr>
      <w:tr>
        <w:trPr>
          <w:trHeight w:val="189"/>
        </w:trPr>
        <w:tc>
          <w:tcPr>
            <w:tcW w:w="28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50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189"/>
        </w:trPr>
        <w:tc>
          <w:tcPr>
            <w:tcW w:w="28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91.9</w:t>
            </w:r>
          </w:p>
        </w:tc>
        <w:tc>
          <w:tcPr>
            <w:tcW w:w="50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94.1</w:t>
            </w:r>
          </w:p>
        </w:tc>
      </w:tr>
      <w:tr>
        <w:trPr>
          <w:trHeight w:val="203"/>
        </w:trPr>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5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133.8</w:t>
            </w:r>
          </w:p>
        </w:tc>
      </w:tr>
      <w:tr>
        <w:trPr>
          <w:trHeight w:val="183"/>
        </w:trPr>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734.6</w:t>
            </w:r>
          </w:p>
        </w:tc>
        <w:tc>
          <w:tcPr>
            <w:tcW w:w="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763.4</w:t>
            </w:r>
          </w:p>
        </w:tc>
      </w:tr>
      <w:tr>
        <w:trPr>
          <w:trHeight w:val="372"/>
        </w:trPr>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4,252.8</w:t>
            </w:r>
          </w:p>
        </w:tc>
        <w:tc>
          <w:tcPr>
            <w:tcW w:w="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4,250.2</w:t>
            </w:r>
          </w:p>
        </w:tc>
      </w:tr>
      <w:tr>
        <w:trPr>
          <w:trHeight w:val="546"/>
        </w:trPr>
        <w:tc>
          <w:tcPr>
            <w:tcW w:w="2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679.6</w:t>
            </w:r>
          </w:p>
        </w:tc>
        <w:tc>
          <w:tcPr>
            <w:tcW w:w="500" w:type="dxa"/>
            <w:vAlign w:val="bottom"/>
          </w:tcPr>
          <w:p>
            <w:pPr>
              <w:spacing w:after="0"/>
              <w:rPr>
                <w:sz w:val="24"/>
                <w:szCs w:val="24"/>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625.1</w:t>
            </w:r>
          </w:p>
        </w:tc>
      </w:tr>
      <w:tr>
        <w:trPr>
          <w:trHeight w:val="189"/>
        </w:trPr>
        <w:tc>
          <w:tcPr>
            <w:tcW w:w="28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484.7</w:t>
            </w:r>
          </w:p>
        </w:tc>
        <w:tc>
          <w:tcPr>
            <w:tcW w:w="50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474.6</w:t>
            </w:r>
          </w:p>
        </w:tc>
      </w:tr>
      <w:tr>
        <w:trPr>
          <w:trHeight w:val="201"/>
        </w:trPr>
        <w:tc>
          <w:tcPr>
            <w:tcW w:w="2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120.9</w:t>
            </w:r>
          </w:p>
        </w:tc>
        <w:tc>
          <w:tcPr>
            <w:tcW w:w="500" w:type="dxa"/>
            <w:vAlign w:val="bottom"/>
          </w:tcPr>
          <w:p>
            <w:pPr>
              <w:spacing w:after="0"/>
              <w:rPr>
                <w:sz w:val="17"/>
                <w:szCs w:val="17"/>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-1703705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-1464310</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-1223645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-984250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-727075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-478155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-238125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deferred credits and other liabilities</w:t>
            </w:r>
          </w:p>
        </w:tc>
        <w:tc>
          <w:tcPr>
            <w:tcW w:w="98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102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201.2</w:t>
            </w: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1,490.7</w:t>
            </w:r>
          </w:p>
        </w:tc>
        <w:tc>
          <w:tcPr>
            <w:tcW w:w="10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1,423.8</w:t>
            </w:r>
          </w:p>
        </w:tc>
      </w:tr>
      <w:tr>
        <w:trPr>
          <w:trHeight w:val="183"/>
        </w:trPr>
        <w:tc>
          <w:tcPr>
            <w:tcW w:w="59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Commitments, contingencies and guarantees (Note 3)</w:t>
            </w: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59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Equity:</w:t>
            </w: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equity -</w:t>
            </w:r>
          </w:p>
        </w:tc>
        <w:tc>
          <w:tcPr>
            <w:tcW w:w="98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r>
      <w:tr>
        <w:trPr>
          <w:trHeight w:val="175"/>
        </w:trPr>
        <w:tc>
          <w:tcPr>
            <w:tcW w:w="5980" w:type="dxa"/>
            <w:vAlign w:val="bottom"/>
          </w:tcPr>
          <w:p>
            <w:pPr>
              <w:ind w:left="120"/>
              <w:spacing w:after="0" w:line="175" w:lineRule="exact"/>
              <w:rPr>
                <w:sz w:val="20"/>
                <w:szCs w:val="20"/>
                <w:color w:val="auto"/>
              </w:rPr>
            </w:pPr>
            <w:r>
              <w:rPr>
                <w:rFonts w:ascii="Arial" w:cs="Arial" w:eastAsia="Arial" w:hAnsi="Arial"/>
                <w:sz w:val="16"/>
                <w:szCs w:val="16"/>
                <w:color w:val="auto"/>
              </w:rPr>
              <w:t>Common stock $1 par value; 100,000,000 shares authorized; issued</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3"/>
        </w:trPr>
        <w:tc>
          <w:tcPr>
            <w:tcW w:w="5980" w:type="dxa"/>
            <w:vAlign w:val="bottom"/>
          </w:tcPr>
          <w:p>
            <w:pPr>
              <w:ind w:left="120"/>
              <w:spacing w:after="0"/>
              <w:rPr>
                <w:sz w:val="20"/>
                <w:szCs w:val="20"/>
                <w:color w:val="auto"/>
              </w:rPr>
            </w:pPr>
            <w:r>
              <w:rPr>
                <w:rFonts w:ascii="Arial" w:cs="Arial" w:eastAsia="Arial" w:hAnsi="Arial"/>
                <w:sz w:val="16"/>
                <w:szCs w:val="16"/>
                <w:color w:val="auto"/>
              </w:rPr>
              <w:t>75,520,225 and 71,676,756 shares, respectively</w:t>
            </w:r>
          </w:p>
        </w:tc>
        <w:tc>
          <w:tcPr>
            <w:tcW w:w="9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75.5</w:t>
            </w:r>
          </w:p>
        </w:tc>
        <w:tc>
          <w:tcPr>
            <w:tcW w:w="1020" w:type="dxa"/>
            <w:vAlign w:val="bottom"/>
          </w:tcPr>
          <w:p>
            <w:pPr>
              <w:spacing w:after="0"/>
              <w:rPr>
                <w:sz w:val="17"/>
                <w:szCs w:val="17"/>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71.7</w:t>
            </w: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Additional paid-in capital</w:t>
            </w:r>
          </w:p>
        </w:tc>
        <w:tc>
          <w:tcPr>
            <w:tcW w:w="98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2,415.0</w:t>
            </w:r>
          </w:p>
        </w:tc>
        <w:tc>
          <w:tcPr>
            <w:tcW w:w="102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2,193.4</w:t>
            </w: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9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1,289.0</w:t>
            </w:r>
          </w:p>
        </w:tc>
        <w:tc>
          <w:tcPr>
            <w:tcW w:w="102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1,249.1</w:t>
            </w: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Treasury stock, at cost - 46,443 and 56,608 shares, respectively</w:t>
            </w:r>
          </w:p>
        </w:tc>
        <w:tc>
          <w:tcPr>
            <w:tcW w:w="98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2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183"/>
        </w:trPr>
        <w:tc>
          <w:tcPr>
            <w:tcW w:w="598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stockholders' equity</w:t>
            </w:r>
          </w:p>
        </w:tc>
        <w:tc>
          <w:tcPr>
            <w:tcW w:w="98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3,768.0</w:t>
            </w:r>
          </w:p>
        </w:tc>
        <w:tc>
          <w:tcPr>
            <w:tcW w:w="1020" w:type="dxa"/>
            <w:vAlign w:val="bottom"/>
            <w:shd w:val="clear" w:color="auto" w:fill="CFF0FC"/>
          </w:tcPr>
          <w:p>
            <w:pPr>
              <w:spacing w:after="0"/>
              <w:rPr>
                <w:sz w:val="15"/>
                <w:szCs w:val="15"/>
                <w:color w:val="auto"/>
              </w:rPr>
            </w:pPr>
          </w:p>
        </w:tc>
        <w:tc>
          <w:tcPr>
            <w:tcW w:w="16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3,501.5</w:t>
            </w: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Non-controlling interest</w:t>
            </w: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83.7</w:t>
            </w: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equity</w:t>
            </w:r>
          </w:p>
        </w:tc>
        <w:tc>
          <w:tcPr>
            <w:tcW w:w="98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3,850.9</w:t>
            </w:r>
          </w:p>
        </w:tc>
        <w:tc>
          <w:tcPr>
            <w:tcW w:w="102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3,585.2</w:t>
            </w:r>
          </w:p>
        </w:tc>
      </w:tr>
      <w:tr>
        <w:trPr>
          <w:trHeight w:val="183"/>
        </w:trPr>
        <w:tc>
          <w:tcPr>
            <w:tcW w:w="5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9"/>
        </w:trPr>
        <w:tc>
          <w:tcPr>
            <w:tcW w:w="59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LIABILITIES AND TOTAL EQUITY</w:t>
            </w:r>
          </w:p>
        </w:tc>
        <w:tc>
          <w:tcPr>
            <w:tcW w:w="980" w:type="dxa"/>
            <w:vAlign w:val="bottom"/>
            <w:tcBorders>
              <w:bottom w:val="single" w:sz="8" w:color="auto"/>
            </w:tcBorders>
            <w:shd w:val="clear" w:color="auto" w:fill="CFF0FC"/>
          </w:tcPr>
          <w:p>
            <w:pPr>
              <w:jc w:val="right"/>
              <w:ind w:right="824"/>
              <w:spacing w:after="0" w:line="169" w:lineRule="exact"/>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10,329.0</w:t>
            </w:r>
          </w:p>
        </w:tc>
        <w:tc>
          <w:tcPr>
            <w:tcW w:w="1020" w:type="dxa"/>
            <w:vAlign w:val="bottom"/>
            <w:tcBorders>
              <w:bottom w:val="single" w:sz="8" w:color="auto"/>
            </w:tcBorders>
            <w:shd w:val="clear" w:color="auto" w:fill="CFF0FC"/>
          </w:tcPr>
          <w:p>
            <w:pPr>
              <w:jc w:val="right"/>
              <w:ind w:right="819"/>
              <w:spacing w:after="0" w:line="169"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10,022.6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682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191.1</w:t>
            </w:r>
          </w:p>
        </w:tc>
        <w:tc>
          <w:tcPr>
            <w:tcW w:w="5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210.5</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financing cost amortization</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benefit plans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8.9</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Other adjustments, net</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certain operating assets and liabilities: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Materials, supplies and fuel</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(19.0)</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and other current assets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(70.4)</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Regulatory assets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47.1</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operating activities, net</w:t>
            </w:r>
          </w:p>
        </w:tc>
        <w:tc>
          <w:tcPr>
            <w:tcW w:w="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505.3</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Property, plant and equipment additions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(550.2)</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(530.5)</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(556.4)</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(532.0)</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Dividends paid on common stock</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Common stock issued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219.2</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Long-term debt - issuance</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Long-term debt - repayments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Distributions to non-controlling interests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financing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56.8</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Net change in cash, restricted cash and cash equivalents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restricted cash, and cash equivalents end of period</w:t>
            </w:r>
          </w:p>
        </w:tc>
        <w:tc>
          <w:tcPr>
            <w:tcW w:w="11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29.1</w:t>
            </w:r>
          </w:p>
        </w:tc>
        <w:tc>
          <w:tcPr>
            <w:tcW w:w="500" w:type="dxa"/>
            <w:vAlign w:val="bottom"/>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70"/>
        </w:trPr>
        <w:tc>
          <w:tcPr>
            <w:tcW w:w="682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Supplemental cash flow information:</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Cash (paid) received during the period:</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Interest (net of amounts capitalized)</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(145.4)</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89"/>
        </w:trPr>
        <w:tc>
          <w:tcPr>
            <w:tcW w:w="6820" w:type="dxa"/>
            <w:vAlign w:val="bottom"/>
          </w:tcPr>
          <w:p>
            <w:pPr>
              <w:ind w:left="160"/>
              <w:spacing w:after="0"/>
              <w:rPr>
                <w:sz w:val="20"/>
                <w:szCs w:val="20"/>
                <w:color w:val="auto"/>
              </w:rPr>
            </w:pPr>
            <w:r>
              <w:rPr>
                <w:rFonts w:ascii="Arial" w:cs="Arial" w:eastAsia="Arial" w:hAnsi="Arial"/>
                <w:sz w:val="16"/>
                <w:szCs w:val="16"/>
                <w:color w:val="auto"/>
              </w:rPr>
              <w:t>Income taxes, net of transferred tax credits (Note 11)</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160"/>
              <w:spacing w:after="0"/>
              <w:rPr>
                <w:sz w:val="20"/>
                <w:szCs w:val="20"/>
                <w:color w:val="auto"/>
              </w:rPr>
            </w:pPr>
            <w:r>
              <w:rPr>
                <w:rFonts w:ascii="Arial" w:cs="Arial" w:eastAsia="Arial" w:hAnsi="Arial"/>
                <w:sz w:val="16"/>
                <w:szCs w:val="16"/>
                <w:color w:val="auto"/>
              </w:rPr>
              <w:t>Accrued property, plant, and equipment purchases at September 30,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121.7</w:t>
            </w:r>
          </w:p>
        </w:tc>
        <w:tc>
          <w:tcPr>
            <w:tcW w:w="50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Borders>
              <w:bottom w:val="single" w:sz="8" w:color="auto"/>
            </w:tcBorders>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Paid in</w:t>
            </w:r>
          </w:p>
        </w:tc>
        <w:tc>
          <w:tcPr>
            <w:tcW w:w="9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0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71,676,75</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2024</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71.7</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56,608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2,193.4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1,249.1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83.7</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3,585.2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134.3</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103,995</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(22,488)</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763,481</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72,544,23</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2025</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72.5</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34,120</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2,238.2</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1,334.8</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(8.4)</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82.0</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3,717.1</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ind w:right="8"/>
              <w:spacing w:after="0" w:line="143" w:lineRule="exact"/>
              <w:rPr>
                <w:sz w:val="20"/>
                <w:szCs w:val="20"/>
                <w:color w:val="auto"/>
              </w:rPr>
            </w:pPr>
            <w:r>
              <w:rPr>
                <w:rFonts w:ascii="Arial" w:cs="Arial" w:eastAsia="Arial" w:hAnsi="Arial"/>
                <w:sz w:val="14"/>
                <w:szCs w:val="14"/>
                <w:color w:val="auto"/>
              </w:rPr>
              <w:t>27.5</w:t>
            </w:r>
          </w:p>
        </w:tc>
        <w:tc>
          <w:tcPr>
            <w:tcW w:w="180" w:type="dxa"/>
            <w:vAlign w:val="bottom"/>
          </w:tcPr>
          <w:p>
            <w:pPr>
              <w:spacing w:after="0"/>
              <w:rPr>
                <w:sz w:val="12"/>
                <w:szCs w:val="12"/>
                <w:color w:val="auto"/>
              </w:rPr>
            </w:pP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7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19,159</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13,827</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339,285</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72,902,67</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June 30, 2025</w:t>
            </w:r>
          </w:p>
        </w:tc>
        <w:tc>
          <w:tcPr>
            <w:tcW w:w="8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72.9</w:t>
            </w:r>
          </w:p>
        </w:tc>
        <w:tc>
          <w:tcPr>
            <w:tcW w:w="8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47,947</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auto"/>
            </w:tcBorders>
            <w:gridSpan w:val="2"/>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2,260.7</w:t>
            </w: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1,313.3</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(8.0)</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83.3</w:t>
            </w:r>
          </w:p>
        </w:tc>
        <w:tc>
          <w:tcPr>
            <w:tcW w:w="1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3,719.4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income</w:t>
            </w:r>
          </w:p>
        </w:tc>
        <w:tc>
          <w:tcPr>
            <w:tcW w:w="880" w:type="dxa"/>
            <w:vAlign w:val="bottom"/>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24.9</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3"/>
        </w:trPr>
        <w:tc>
          <w:tcPr>
            <w:tcW w:w="29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(1,504)</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2,617,539</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153.0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costs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75,520,22</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September 30, 2025</w:t>
            </w:r>
          </w:p>
        </w:tc>
        <w:tc>
          <w:tcPr>
            <w:tcW w:w="8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75.5</w:t>
            </w:r>
          </w:p>
        </w:tc>
        <w:tc>
          <w:tcPr>
            <w:tcW w:w="8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46,443</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w:t>
            </w:r>
          </w:p>
        </w:tc>
        <w:tc>
          <w:tcPr>
            <w:tcW w:w="140" w:type="dxa"/>
            <w:vAlign w:val="bottom"/>
            <w:tcBorders>
              <w:bottom w:val="single" w:sz="8" w:color="auto"/>
            </w:tcBorders>
            <w:gridSpan w:val="2"/>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2,415.0</w:t>
            </w: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1,289.0</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(8.8)</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82.9</w:t>
            </w:r>
          </w:p>
        </w:tc>
        <w:tc>
          <w:tcPr>
            <w:tcW w:w="1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Borders>
              <w:bottom w:val="single" w:sz="8" w:color="auto"/>
            </w:tcBorders>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Paid in</w:t>
            </w:r>
          </w:p>
        </w:tc>
        <w:tc>
          <w:tcPr>
            <w:tcW w:w="9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0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68,265,04</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2023</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68.3</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68,073</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2,007.7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104,181</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14,270</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600,355</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68,969,57</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2024</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69.0</w:t>
            </w:r>
          </w:p>
        </w:tc>
        <w:tc>
          <w:tcPr>
            <w:tcW w:w="8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82,343</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(4.7)</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2,040.2</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(12.3)</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88.6</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3,422.5</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ind w:right="8"/>
              <w:spacing w:after="0" w:line="143" w:lineRule="exact"/>
              <w:rPr>
                <w:sz w:val="20"/>
                <w:szCs w:val="20"/>
                <w:color w:val="auto"/>
              </w:rPr>
            </w:pPr>
            <w:r>
              <w:rPr>
                <w:rFonts w:ascii="Arial" w:cs="Arial" w:eastAsia="Arial" w:hAnsi="Arial"/>
                <w:sz w:val="14"/>
                <w:szCs w:val="14"/>
                <w:color w:val="auto"/>
              </w:rPr>
              <w:t>22.8</w:t>
            </w:r>
          </w:p>
        </w:tc>
        <w:tc>
          <w:tcPr>
            <w:tcW w:w="180" w:type="dxa"/>
            <w:vAlign w:val="bottom"/>
          </w:tcPr>
          <w:p>
            <w:pPr>
              <w:spacing w:after="0"/>
              <w:rPr>
                <w:sz w:val="12"/>
                <w:szCs w:val="12"/>
                <w:color w:val="auto"/>
              </w:rPr>
            </w:pP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7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(44.9)</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9,623</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768,019</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69,747,22</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June 30, 2024</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0</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69.7</w:t>
            </w:r>
          </w:p>
        </w:tc>
        <w:tc>
          <w:tcPr>
            <w:tcW w:w="8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83,160</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(4.9)</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2,084.2</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1,219.6</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(11.3)</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86.1</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3,443.4</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ind w:right="8"/>
              <w:spacing w:after="0" w:line="143" w:lineRule="exact"/>
              <w:rPr>
                <w:sz w:val="20"/>
                <w:szCs w:val="20"/>
                <w:color w:val="auto"/>
              </w:rPr>
            </w:pPr>
            <w:r>
              <w:rPr>
                <w:rFonts w:ascii="Arial" w:cs="Arial" w:eastAsia="Arial" w:hAnsi="Arial"/>
                <w:sz w:val="14"/>
                <w:szCs w:val="14"/>
                <w:color w:val="auto"/>
              </w:rPr>
              <w:t>24.4</w:t>
            </w:r>
          </w:p>
        </w:tc>
        <w:tc>
          <w:tcPr>
            <w:tcW w:w="180" w:type="dxa"/>
            <w:vAlign w:val="bottom"/>
          </w:tcPr>
          <w:p>
            <w:pPr>
              <w:spacing w:after="0"/>
              <w:rPr>
                <w:sz w:val="12"/>
                <w:szCs w:val="12"/>
                <w:color w:val="auto"/>
              </w:rPr>
            </w:pP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7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(46.5)</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18,311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1,929,516</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71,676,74</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September 30, 2024</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71.7</w:t>
            </w:r>
          </w:p>
        </w:tc>
        <w:tc>
          <w:tcPr>
            <w:tcW w:w="8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101,471</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(5.9)</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2,193.9</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1,197.5</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(10.6)</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85.6</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3,532.2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2024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2024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September 30, 2025, December 31, 2024, and September 30, 2024,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We are evaluating the disclosure impact of ASU 2023-09; however, the standard is not expected to have an impact on our financial condition, results of operations and/or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evaluating the disclosure impact of ASU 2024-03; however, the standard is not expected to have an impact on our financial condition, results of operations and/or cash flows.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Targeted Improvements to the Accounting for Internal-Use Software, ASU 2025-06</w:t>
      </w:r>
    </w:p>
    <w:p>
      <w:pPr>
        <w:spacing w:after="0" w:line="194"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In September 2025, the FASB issued ASU 2025-06, Targeted Improvements to the Accounting for Internal-Use Software, which amends the accounting guidance for internal-use software under ASC 350-40. The amendments are intended to modernize the recognition and capitalization framework to better reflect current software development practices, particularly agile methodologies. ASU 2025-06 is effective for fiscal years beginning after December 15, 2027, including interim periods within those fiscal years. Early adoption is permitted. We are currently evaluating the impact of ASU 2025-06 on our consolidated financial statements and related disclosures.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2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w:t>
            </w: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2"/>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0" w:type="dxa"/>
            <w:vAlign w:val="bottom"/>
          </w:tcPr>
          <w:p>
            <w:pPr>
              <w:jc w:val="right"/>
              <w:ind w:right="479"/>
              <w:spacing w:after="0"/>
              <w:rPr>
                <w:sz w:val="20"/>
                <w:szCs w:val="20"/>
                <w:color w:val="auto"/>
              </w:rPr>
            </w:pPr>
            <w:r>
              <w:rPr>
                <w:rFonts w:ascii="Arial" w:cs="Arial" w:eastAsia="Arial" w:hAnsi="Arial"/>
                <w:sz w:val="16"/>
                <w:szCs w:val="16"/>
                <w:b w:val="1"/>
                <w:bCs w:val="1"/>
                <w:color w:val="auto"/>
              </w:rPr>
              <w:t>As of</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jc w:val="right"/>
              <w:ind w:right="1059"/>
              <w:spacing w:after="0"/>
              <w:rPr>
                <w:sz w:val="20"/>
                <w:szCs w:val="20"/>
                <w:color w:val="auto"/>
              </w:rPr>
            </w:pPr>
            <w:r>
              <w:rPr>
                <w:rFonts w:ascii="Arial" w:cs="Arial" w:eastAsia="Arial" w:hAnsi="Arial"/>
                <w:sz w:val="16"/>
                <w:szCs w:val="16"/>
                <w:b w:val="1"/>
                <w:bCs w:val="1"/>
                <w:color w:val="auto"/>
              </w:rPr>
              <w:t>As of</w:t>
            </w:r>
          </w:p>
        </w:tc>
      </w:tr>
      <w:tr>
        <w:trPr>
          <w:trHeight w:val="203"/>
        </w:trPr>
        <w:tc>
          <w:tcPr>
            <w:tcW w:w="3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2025</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140" w:type="dxa"/>
            <w:vAlign w:val="bottom"/>
            <w:tcBorders>
              <w:bottom w:val="single" w:sz="8" w:color="auto"/>
            </w:tcBorders>
          </w:tcPr>
          <w:p>
            <w:pPr>
              <w:spacing w:after="0"/>
              <w:rPr>
                <w:sz w:val="15"/>
                <w:szCs w:val="15"/>
                <w:color w:val="auto"/>
              </w:rPr>
            </w:pP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Regulatory assets</w:t>
            </w:r>
          </w:p>
        </w:tc>
        <w:tc>
          <w:tcPr>
            <w:tcW w:w="2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Winter Storm Uri</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109.5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Deferred energy and fuel cost adjustments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76.1</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gas cost adjustments</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Gas price derivatives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AFUDC</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plans and related deferred taxes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85.7</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89.0</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Environmental</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Loss on reacquired debt</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14.5</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flow through accounting</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93.1</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87.7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Decommissioning costs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Other regulatory assets</w:t>
            </w:r>
          </w:p>
        </w:tc>
        <w:tc>
          <w:tcPr>
            <w:tcW w:w="2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regulatory assets</w:t>
            </w:r>
          </w:p>
        </w:tc>
        <w:tc>
          <w:tcPr>
            <w:tcW w:w="20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391.2</w:t>
            </w: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427.7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Less current regulatory assets</w:t>
            </w:r>
          </w:p>
        </w:tc>
        <w:tc>
          <w:tcPr>
            <w:tcW w:w="2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223"/>
        </w:trPr>
        <w:tc>
          <w:tcPr>
            <w:tcW w:w="610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Regulatory assets, non-current</w:t>
            </w:r>
          </w:p>
        </w:tc>
        <w:tc>
          <w:tcPr>
            <w:tcW w:w="2000" w:type="dxa"/>
            <w:vAlign w:val="bottom"/>
            <w:tcBorders>
              <w:bottom w:val="single" w:sz="8" w:color="auto"/>
            </w:tcBorders>
            <w:shd w:val="clear" w:color="auto" w:fill="CFF0FC"/>
          </w:tcPr>
          <w:p>
            <w:pPr>
              <w:jc w:val="right"/>
              <w:ind w:right="1819"/>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253.0</w:t>
            </w:r>
          </w:p>
        </w:tc>
        <w:tc>
          <w:tcPr>
            <w:tcW w:w="44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272.9</w:t>
            </w:r>
          </w:p>
        </w:tc>
      </w:tr>
      <w:tr>
        <w:trPr>
          <w:trHeight w:val="170"/>
        </w:trPr>
        <w:tc>
          <w:tcPr>
            <w:tcW w:w="6100" w:type="dxa"/>
            <w:vAlign w:val="bottom"/>
            <w:gridSpan w:val="2"/>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89"/>
        </w:trPr>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liabilities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rPr>
                <w:sz w:val="16"/>
                <w:szCs w:val="16"/>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energy and gas costs</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67.8</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 costs and related deferred taxes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35.0</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Cost of removal</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212.0</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197.0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Excess deferred income taxes</w:t>
            </w:r>
          </w:p>
        </w:tc>
        <w:tc>
          <w:tcPr>
            <w:tcW w:w="20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232.4</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238.5</w:t>
            </w:r>
          </w:p>
        </w:tc>
      </w:tr>
      <w:tr>
        <w:trPr>
          <w:trHeight w:val="189"/>
        </w:trPr>
        <w:tc>
          <w:tcPr>
            <w:tcW w:w="6100" w:type="dxa"/>
            <w:vAlign w:val="bottom"/>
            <w:gridSpan w:val="2"/>
          </w:tcPr>
          <w:p>
            <w:pPr>
              <w:ind w:left="60"/>
              <w:spacing w:after="0" w:line="189" w:lineRule="exact"/>
              <w:rPr>
                <w:sz w:val="20"/>
                <w:szCs w:val="20"/>
                <w:color w:val="auto"/>
              </w:rPr>
            </w:pPr>
            <w:r>
              <w:rPr>
                <w:rFonts w:ascii="Arial" w:cs="Arial" w:eastAsia="Arial" w:hAnsi="Arial"/>
                <w:sz w:val="16"/>
                <w:szCs w:val="16"/>
                <w:color w:val="auto"/>
              </w:rPr>
              <w:t xml:space="preserve">Colorado renewable energy </w:t>
            </w:r>
            <w:r>
              <w:rPr>
                <w:rFonts w:ascii="Arial" w:cs="Arial" w:eastAsia="Arial" w:hAnsi="Arial"/>
                <w:sz w:val="21"/>
                <w:szCs w:val="21"/>
                <w:color w:val="auto"/>
                <w:vertAlign w:val="superscript"/>
              </w:rPr>
              <w:t>(a)</w:t>
            </w:r>
          </w:p>
        </w:tc>
        <w:tc>
          <w:tcPr>
            <w:tcW w:w="2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Other regulatory liabilities</w:t>
            </w:r>
          </w:p>
        </w:tc>
        <w:tc>
          <w:tcPr>
            <w:tcW w:w="2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5.4</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3"/>
        </w:trPr>
        <w:tc>
          <w:tcPr>
            <w:tcW w:w="6100" w:type="dxa"/>
            <w:vAlign w:val="bottom"/>
            <w:gridSpan w:val="2"/>
          </w:tcPr>
          <w:p>
            <w:pPr>
              <w:spacing w:after="0" w:line="183" w:lineRule="exact"/>
              <w:rPr>
                <w:sz w:val="20"/>
                <w:szCs w:val="20"/>
                <w:color w:val="auto"/>
              </w:rPr>
            </w:pPr>
            <w:r>
              <w:rPr>
                <w:rFonts w:ascii="Arial" w:cs="Arial" w:eastAsia="Arial" w:hAnsi="Arial"/>
                <w:sz w:val="16"/>
                <w:szCs w:val="16"/>
                <w:color w:val="auto"/>
              </w:rPr>
              <w:t>Total regulatory liabilities</w:t>
            </w:r>
          </w:p>
        </w:tc>
        <w:tc>
          <w:tcPr>
            <w:tcW w:w="2000" w:type="dxa"/>
            <w:vAlign w:val="bottom"/>
          </w:tcPr>
          <w:p>
            <w:pPr>
              <w:spacing w:after="0"/>
              <w:rPr>
                <w:sz w:val="15"/>
                <w:szCs w:val="15"/>
                <w:color w:val="auto"/>
              </w:rPr>
            </w:pPr>
          </w:p>
        </w:tc>
        <w:tc>
          <w:tcPr>
            <w:tcW w:w="5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576.6</w:t>
            </w:r>
          </w:p>
        </w:tc>
        <w:tc>
          <w:tcPr>
            <w:tcW w:w="440" w:type="dxa"/>
            <w:vAlign w:val="bottom"/>
          </w:tcPr>
          <w:p>
            <w:pPr>
              <w:spacing w:after="0"/>
              <w:rPr>
                <w:sz w:val="15"/>
                <w:szCs w:val="15"/>
                <w:color w:val="auto"/>
              </w:rPr>
            </w:pPr>
          </w:p>
        </w:tc>
        <w:tc>
          <w:tcPr>
            <w:tcW w:w="2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568.7</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Less current regulatory liabilities</w:t>
            </w:r>
          </w:p>
        </w:tc>
        <w:tc>
          <w:tcPr>
            <w:tcW w:w="2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w:t>
            </w:r>
          </w:p>
        </w:tc>
      </w:tr>
      <w:tr>
        <w:trPr>
          <w:trHeight w:val="183"/>
        </w:trPr>
        <w:tc>
          <w:tcPr>
            <w:tcW w:w="6100" w:type="dxa"/>
            <w:vAlign w:val="bottom"/>
            <w:gridSpan w:val="2"/>
          </w:tcPr>
          <w:p>
            <w:pPr>
              <w:spacing w:after="0" w:line="169" w:lineRule="exact"/>
              <w:rPr>
                <w:sz w:val="20"/>
                <w:szCs w:val="20"/>
                <w:color w:val="auto"/>
              </w:rPr>
            </w:pPr>
            <w:r>
              <w:rPr>
                <w:rFonts w:ascii="Arial" w:cs="Arial" w:eastAsia="Arial" w:hAnsi="Arial"/>
                <w:sz w:val="16"/>
                <w:szCs w:val="16"/>
                <w:color w:val="auto"/>
              </w:rPr>
              <w:t>Regulatory liabilities, non-current</w:t>
            </w:r>
          </w:p>
        </w:tc>
        <w:tc>
          <w:tcPr>
            <w:tcW w:w="2000" w:type="dxa"/>
            <w:vAlign w:val="bottom"/>
            <w:tcBorders>
              <w:bottom w:val="single" w:sz="8" w:color="auto"/>
            </w:tcBorders>
          </w:tcPr>
          <w:p>
            <w:pPr>
              <w:jc w:val="right"/>
              <w:ind w:right="1819"/>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484.7</w:t>
            </w:r>
          </w:p>
        </w:tc>
        <w:tc>
          <w:tcPr>
            <w:tcW w:w="4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474.6</w:t>
            </w:r>
          </w:p>
        </w:tc>
      </w:tr>
      <w:tr>
        <w:trPr>
          <w:trHeight w:val="20"/>
        </w:trPr>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Colorado Electric's RESA and CEPR mechanisms, which allow for recovery/repayment of costs, but not a rate of return.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June 14, 2024, Colorado Electric filed a rate review with the CPUC seeking recovery of infrastructure investments in its 3,200-mile electric distribution and 600-mile electric transmission systems. On March 17, 2025, Colorado Electric received an order from the CPUC for a general rate increase which was expected to generate approximately $ 17.0 million of new annual revenue based on a weighted average cost of capital of 6.9% with a capital structure in a range of 47% to 49% equity and 51% to 53% debt, and a return on equity in a range of 9.3% to 9.5%. The new rates were effective March 22, 2025. On April 7, 2025, Colorado Electric filed a request with the CPUC for rehearing, re-argument or reconsideration ("RRR"). On May 6, 2025, Colorado Electric received a final decision from the CPUC related to its RRR request, increasing new annual revenue from approximately $17.0 million to approximately $17.5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May 1, 2024, Iowa Gas filed a rate review with the IUC seeking recovery of infrastructure investments in its 5,000-mile natural gas pipeline system. In the fourth quarter of 2024, Iowa Gas received final approval from the IUC for a settlement agreement for a general rate increase. The approved Black-box Settlement is expected to generate $15.0 million of new annual revenue based on a weighted average cost of capital of 7.2%. New rates were enacted on January 1, 2025, which replaced interim rates.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Kansas Gas</w:t>
      </w:r>
    </w:p>
    <w:p>
      <w:pPr>
        <w:spacing w:after="0" w:line="192"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On February 3, 2025, Kansas Gas filed a rate review with the KCC seeking recovery of infrastructure investments in its 4,765-mile natural gas pipeline system and increased operations and maintenance costs driven by inflation and operational needs to serve customers. On July 24, 2025, Kansas Gas received final approval from the KCC for a settlement agreement for a general rate increase. The approved Black-box Settlement is expected to generate $10.8 million in new annual revenue and will shift $4.4 million of GSRS rider revenue to base rates. New rates were enacted on August 1, 2025. The settlement also includes approval for Kansas Gas to file an abbreviated case in first quarter of 2026 that includes the addition of capital placed in service through December 31, 2025.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May 1, 2025, Nebraska Gas filed a rate review with the NPSC seeking recovery of infrastructure investments in its 12,900-mile natural gas pipeline system and increased operations and maintenance costs driven by inflation and operational needs to serve customers. On October 7, 2025, Nebraska Gas reached a settlement with all intervenors for a general rate increase which is subject to NPSC approval. The settlement is expected to generate $23.9 million in new annual revenue with a capital structure of 51% equity and 49% debt and a return on equity of 9.85%. The settlement also includes renewal of Nebraska Gas' SSIR for five years and the development of a two-year pilot program for a weather normalization adjustment rider. If approved, new rates will be effective on January 1, 2026, and will replace interim rates which were effective in August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settlement agreement from the NPSC is expected by mid-December 2025.</w:t>
      </w:r>
    </w:p>
    <w:p>
      <w:pPr>
        <w:spacing w:after="0" w:line="38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2024 Annual Report on Form 10-K except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Transfers of Renewable Tax Credits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 January 2025, we entered into an agreement with a third party to sell our 2024 generated PTCs. In the agreement, we provided indemnifications associated with the proceeds for PTCs transferred to the third party in the event of an adverse change or interpretation of tax law, including whether the related tax credits meet the qualification requirements. We believe the likelihood of having to make any material cash payments under these indemnifications is remote.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-31750</wp:posOffset>
            </wp:positionV>
            <wp:extent cx="3600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2008, we acquired liabilities for a former manufactured gas plant site in Iowa, which was previously used to convert coal to natural gas. The acquisition provided for an insurance recovery, which was used to help offset remediation costs. Our insurance recovery asset was valued at $1.5 million as of September 30, 2025, and was recorded in Other current assets on our Consolidated Balance Sheets. We recovered our insurance recovery asset in October 2025.</w:t>
      </w:r>
    </w:p>
    <w:p>
      <w:pPr>
        <w:spacing w:after="0" w:line="34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of December 31, 2024, we had an Accrued liability of $9.7 million on our Consolidated Balance Sheets for the remaining remediation of the manufactured gas plant site in Iowa. During the nine months ended September 30, 2025, we completed substantially all remaining remediation work. As of September 30, 2025, $11.5 million of cumulative remediation costs, which are net of our $1.5 million insurance recovery asset, were recorded to a Regulatory asset on our Consolidated Balance Sheets. Iowa Gas intends to seek recovery of this $11.5 million regulatory asset during a future rate review.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Deborah Ferrari et al. v. Colorado Electric, Case No. 2024CV31889 (District Court for the City and County of Denver, Colorado)</w:t>
      </w:r>
    </w:p>
    <w:p>
      <w:pPr>
        <w:spacing w:after="0" w:line="192"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Colorado Electric is currently involved in a legal matter related to an auto accident that could result in a liability. While we have determined that liability is probable, we believe Colorado Electric has meritorious defenses regarding the damages claimed and are vigorously defending its position. As such, the outcome of this matter remains uncertain.</w:t>
      </w:r>
    </w:p>
    <w:p>
      <w:pPr>
        <w:spacing w:after="0" w:line="144"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At this time, we are unable to estimate the possible range of liability due to the complexity of the issues involved and the status of the proceedings. Accordingly, to date, we have not recorded an accrual in the financial statements. We will continue to monitor the matter and will accrue a liability if and when it becomes reasonably estimable.</w:t>
      </w:r>
    </w:p>
    <w:p>
      <w:pPr>
        <w:spacing w:after="0" w:line="14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At the time of the accident, the Company maintained an insurance policy designed to provide coverage for certain legal and regulatory exposures. In the event we incur a liability related to this legal matter, we will seek recovery under this insurance policy.</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(District Court for the City and County of Denver, Colorado)</w:t>
      </w:r>
    </w:p>
    <w:p>
      <w:pPr>
        <w:spacing w:after="0" w:line="19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The retrial occurred and on May 12, 2025, the jury returned a verdict in favor of BHC and its subsidiaries on all counts, thus resolving any claims without material impact on our financial position, results or operations and cash flows.</w:t>
      </w:r>
    </w:p>
    <w:p>
      <w:pPr>
        <w:spacing w:after="0" w:line="34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nine months ended September 30, 2025, and 2024. Sales tax and other similar taxes are excluded from revenues.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September 30, 2025</w:t>
            </w: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68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500" w:type="dxa"/>
            <w:vAlign w:val="bottom"/>
            <w:gridSpan w:val="2"/>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201.3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329.9</w:t>
            </w: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43.5</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5.5</w:t>
            </w: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w:t>
            </w:r>
          </w:p>
        </w:tc>
      </w:tr>
      <w:tr>
        <w:trPr>
          <w:trHeight w:val="189"/>
        </w:trPr>
        <w:tc>
          <w:tcPr>
            <w:tcW w:w="36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5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21.0</w:t>
            </w:r>
          </w:p>
        </w:tc>
      </w:tr>
      <w:tr>
        <w:trPr>
          <w:trHeight w:val="183"/>
        </w:trPr>
        <w:tc>
          <w:tcPr>
            <w:tcW w:w="368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6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248.8</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182.5</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427.4</w:t>
            </w:r>
          </w:p>
        </w:tc>
      </w:tr>
      <w:tr>
        <w:trPr>
          <w:trHeight w:val="189"/>
        </w:trPr>
        <w:tc>
          <w:tcPr>
            <w:tcW w:w="36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5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r>
        <w:trPr>
          <w:trHeight w:val="183"/>
        </w:trPr>
        <w:tc>
          <w:tcPr>
            <w:tcW w:w="368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6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249.7</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184.4</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430.2</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68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418.6</w:t>
            </w:r>
          </w:p>
        </w:tc>
      </w:tr>
      <w:tr>
        <w:trPr>
          <w:trHeight w:val="223"/>
        </w:trPr>
        <w:tc>
          <w:tcPr>
            <w:tcW w:w="368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6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248.8</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182.5</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427.4</w:t>
            </w:r>
          </w:p>
        </w:tc>
      </w:tr>
      <w:tr>
        <w:trPr>
          <w:trHeight w:val="344"/>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3"/>
        </w:trPr>
        <w:tc>
          <w:tcPr>
            <w:tcW w:w="36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September 30, 2024</w:t>
            </w: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68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500" w:type="dxa"/>
            <w:vAlign w:val="bottom"/>
            <w:gridSpan w:val="2"/>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186.3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303.8</w:t>
            </w: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43.2</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13.6</w:t>
            </w:r>
          </w:p>
        </w:tc>
      </w:tr>
      <w:tr>
        <w:trPr>
          <w:trHeight w:val="189"/>
        </w:trPr>
        <w:tc>
          <w:tcPr>
            <w:tcW w:w="36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5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21.2</w:t>
            </w:r>
          </w:p>
        </w:tc>
      </w:tr>
      <w:tr>
        <w:trPr>
          <w:trHeight w:val="183"/>
        </w:trPr>
        <w:tc>
          <w:tcPr>
            <w:tcW w:w="368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6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231.6</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171.5</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398.6</w:t>
            </w:r>
          </w:p>
        </w:tc>
      </w:tr>
      <w:tr>
        <w:trPr>
          <w:trHeight w:val="189"/>
        </w:trPr>
        <w:tc>
          <w:tcPr>
            <w:tcW w:w="368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5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r>
      <w:tr>
        <w:trPr>
          <w:trHeight w:val="183"/>
        </w:trPr>
        <w:tc>
          <w:tcPr>
            <w:tcW w:w="368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6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232.5</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173.6</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401.6</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68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6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r>
      <w:tr>
        <w:trPr>
          <w:trHeight w:val="189"/>
        </w:trPr>
        <w:tc>
          <w:tcPr>
            <w:tcW w:w="368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389.3</w:t>
            </w:r>
          </w:p>
        </w:tc>
      </w:tr>
      <w:tr>
        <w:trPr>
          <w:trHeight w:val="223"/>
        </w:trPr>
        <w:tc>
          <w:tcPr>
            <w:tcW w:w="368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6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231.6</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171.5</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398.6</w:t>
            </w:r>
          </w:p>
        </w:tc>
      </w:tr>
      <w:tr>
        <w:trPr>
          <w:trHeight w:val="397"/>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51"/>
        </w:trPr>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6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Nine Months Ended September 30, 2025</w:t>
            </w: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62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480" w:type="dxa"/>
            <w:vAlign w:val="bottom"/>
          </w:tcPr>
          <w:p>
            <w:pPr>
              <w:ind w:left="40"/>
              <w:spacing w:after="0"/>
              <w:rPr>
                <w:sz w:val="20"/>
                <w:szCs w:val="20"/>
                <w:color w:val="auto"/>
              </w:rPr>
            </w:pPr>
            <w:r>
              <w:rPr>
                <w:rFonts w:ascii="Arial" w:cs="Arial" w:eastAsia="Arial" w:hAnsi="Arial"/>
                <w:sz w:val="16"/>
                <w:szCs w:val="16"/>
                <w:color w:val="auto"/>
              </w:rPr>
              <w:t>Retail</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570.6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797.0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1,367.6</w:t>
            </w: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143.1</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Wholesale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16.9</w:t>
            </w: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38.4</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Transmission</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33.3</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33.6</w:t>
            </w:r>
          </w:p>
        </w:tc>
      </w:tr>
      <w:tr>
        <w:trPr>
          <w:trHeight w:val="189"/>
        </w:trPr>
        <w:tc>
          <w:tcPr>
            <w:tcW w:w="36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5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64.0</w:t>
            </w:r>
          </w:p>
        </w:tc>
      </w:tr>
      <w:tr>
        <w:trPr>
          <w:trHeight w:val="183"/>
        </w:trPr>
        <w:tc>
          <w:tcPr>
            <w:tcW w:w="362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7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703.0</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972.3</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(11.7)</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1,663.6</w:t>
            </w:r>
          </w:p>
        </w:tc>
      </w:tr>
      <w:tr>
        <w:trPr>
          <w:trHeight w:val="189"/>
        </w:trPr>
        <w:tc>
          <w:tcPr>
            <w:tcW w:w="36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5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w:t>
            </w:r>
          </w:p>
        </w:tc>
      </w:tr>
      <w:tr>
        <w:trPr>
          <w:trHeight w:val="183"/>
        </w:trPr>
        <w:tc>
          <w:tcPr>
            <w:tcW w:w="3620" w:type="dxa"/>
            <w:vAlign w:val="bottom"/>
            <w:gridSpan w:val="4"/>
          </w:tcPr>
          <w:p>
            <w:pPr>
              <w:spacing w:after="0" w:line="169" w:lineRule="exact"/>
              <w:rPr>
                <w:sz w:val="20"/>
                <w:szCs w:val="20"/>
                <w:color w:val="auto"/>
              </w:rPr>
            </w:pPr>
            <w:r>
              <w:rPr>
                <w:rFonts w:ascii="Arial" w:cs="Arial" w:eastAsia="Arial" w:hAnsi="Arial"/>
                <w:sz w:val="16"/>
                <w:szCs w:val="16"/>
                <w:color w:val="auto"/>
              </w:rPr>
              <w:t>Total revenues</w:t>
            </w:r>
          </w:p>
        </w:tc>
        <w:tc>
          <w:tcPr>
            <w:tcW w:w="7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706.3</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979.9</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(11.7)</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1,674.5</w:t>
            </w: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gridSpan w:val="2"/>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620" w:type="dxa"/>
            <w:vAlign w:val="bottom"/>
            <w:gridSpan w:val="4"/>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Services transferred over time</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972.3</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1,637.7</w:t>
            </w:r>
          </w:p>
        </w:tc>
      </w:tr>
      <w:tr>
        <w:trPr>
          <w:trHeight w:val="223"/>
        </w:trPr>
        <w:tc>
          <w:tcPr>
            <w:tcW w:w="3620" w:type="dxa"/>
            <w:vAlign w:val="bottom"/>
            <w:gridSpan w:val="4"/>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7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703.0</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972.3</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(11.7)</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1,663.6</w:t>
            </w:r>
          </w:p>
        </w:tc>
      </w:tr>
      <w:tr>
        <w:trPr>
          <w:trHeight w:val="344"/>
        </w:trPr>
        <w:tc>
          <w:tcPr>
            <w:tcW w:w="48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3"/>
        </w:trPr>
        <w:tc>
          <w:tcPr>
            <w:tcW w:w="36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Nine Months Ended September 30, 2024</w:t>
            </w: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62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480" w:type="dxa"/>
            <w:vAlign w:val="bottom"/>
          </w:tcPr>
          <w:p>
            <w:pPr>
              <w:ind w:left="40"/>
              <w:spacing w:after="0"/>
              <w:rPr>
                <w:sz w:val="20"/>
                <w:szCs w:val="20"/>
                <w:color w:val="auto"/>
              </w:rPr>
            </w:pPr>
            <w:r>
              <w:rPr>
                <w:rFonts w:ascii="Arial" w:cs="Arial" w:eastAsia="Arial" w:hAnsi="Arial"/>
                <w:sz w:val="16"/>
                <w:szCs w:val="16"/>
                <w:color w:val="auto"/>
              </w:rPr>
              <w:t>Retail</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529.4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707.8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1,237.2</w:t>
            </w: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130.9</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Wholesale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21.1</w:t>
            </w: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Transmission</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39.5</w:t>
            </w:r>
          </w:p>
        </w:tc>
      </w:tr>
      <w:tr>
        <w:trPr>
          <w:trHeight w:val="189"/>
        </w:trPr>
        <w:tc>
          <w:tcPr>
            <w:tcW w:w="36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5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61.5</w:t>
            </w:r>
          </w:p>
        </w:tc>
      </w:tr>
      <w:tr>
        <w:trPr>
          <w:trHeight w:val="183"/>
        </w:trPr>
        <w:tc>
          <w:tcPr>
            <w:tcW w:w="362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7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655.7</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870.7</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(13.4)</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1,513.0</w:t>
            </w:r>
          </w:p>
        </w:tc>
      </w:tr>
      <w:tr>
        <w:trPr>
          <w:trHeight w:val="189"/>
        </w:trPr>
        <w:tc>
          <w:tcPr>
            <w:tcW w:w="362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5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w:t>
            </w:r>
          </w:p>
        </w:tc>
      </w:tr>
      <w:tr>
        <w:trPr>
          <w:trHeight w:val="183"/>
        </w:trPr>
        <w:tc>
          <w:tcPr>
            <w:tcW w:w="3620" w:type="dxa"/>
            <w:vAlign w:val="bottom"/>
            <w:gridSpan w:val="4"/>
          </w:tcPr>
          <w:p>
            <w:pPr>
              <w:spacing w:after="0" w:line="169" w:lineRule="exact"/>
              <w:rPr>
                <w:sz w:val="20"/>
                <w:szCs w:val="20"/>
                <w:color w:val="auto"/>
              </w:rPr>
            </w:pPr>
            <w:r>
              <w:rPr>
                <w:rFonts w:ascii="Arial" w:cs="Arial" w:eastAsia="Arial" w:hAnsi="Arial"/>
                <w:sz w:val="16"/>
                <w:szCs w:val="16"/>
                <w:color w:val="auto"/>
              </w:rPr>
              <w:t>Total revenues</w:t>
            </w:r>
          </w:p>
        </w:tc>
        <w:tc>
          <w:tcPr>
            <w:tcW w:w="7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659.8</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884.2</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(13.4)</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1,530.6</w:t>
            </w: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gridSpan w:val="2"/>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620" w:type="dxa"/>
            <w:vAlign w:val="bottom"/>
            <w:gridSpan w:val="4"/>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62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w:t>
            </w:r>
          </w:p>
        </w:tc>
      </w:tr>
      <w:tr>
        <w:trPr>
          <w:trHeight w:val="189"/>
        </w:trPr>
        <w:tc>
          <w:tcPr>
            <w:tcW w:w="3620" w:type="dxa"/>
            <w:vAlign w:val="bottom"/>
            <w:gridSpan w:val="4"/>
          </w:tcPr>
          <w:p>
            <w:pPr>
              <w:ind w:left="40"/>
              <w:spacing w:after="0"/>
              <w:rPr>
                <w:sz w:val="20"/>
                <w:szCs w:val="20"/>
                <w:color w:val="auto"/>
              </w:rPr>
            </w:pPr>
            <w:r>
              <w:rPr>
                <w:rFonts w:ascii="Arial" w:cs="Arial" w:eastAsia="Arial" w:hAnsi="Arial"/>
                <w:sz w:val="16"/>
                <w:szCs w:val="16"/>
                <w:color w:val="auto"/>
              </w:rPr>
              <w:t>Services transferred over time</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1,487.1</w:t>
            </w:r>
          </w:p>
        </w:tc>
      </w:tr>
      <w:tr>
        <w:trPr>
          <w:trHeight w:val="222"/>
        </w:trPr>
        <w:tc>
          <w:tcPr>
            <w:tcW w:w="3620" w:type="dxa"/>
            <w:vAlign w:val="bottom"/>
            <w:gridSpan w:val="4"/>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7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655.7</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870.7</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(13.4)</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1,513.0</w:t>
            </w:r>
          </w:p>
        </w:tc>
      </w:tr>
      <w:tr>
        <w:trPr>
          <w:trHeight w:val="567"/>
        </w:trPr>
        <w:tc>
          <w:tcPr>
            <w:tcW w:w="48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(5)</w:t>
            </w:r>
          </w:p>
        </w:tc>
        <w:tc>
          <w:tcPr>
            <w:tcW w:w="3140" w:type="dxa"/>
            <w:vAlign w:val="bottom"/>
            <w:tcBorders>
              <w:top w:val="single" w:sz="8" w:color="CFF0FC"/>
            </w:tcBorders>
            <w:gridSpan w:val="3"/>
          </w:tcPr>
          <w:p>
            <w:pPr>
              <w:ind w:left="40"/>
              <w:spacing w:after="0"/>
              <w:rPr>
                <w:sz w:val="20"/>
                <w:szCs w:val="20"/>
                <w:color w:val="auto"/>
              </w:rPr>
            </w:pPr>
            <w:r>
              <w:rPr>
                <w:rFonts w:ascii="Arial" w:cs="Arial" w:eastAsia="Arial" w:hAnsi="Arial"/>
                <w:sz w:val="16"/>
                <w:szCs w:val="16"/>
                <w:b w:val="1"/>
                <w:bCs w:val="1"/>
                <w:color w:val="auto"/>
              </w:rPr>
              <w:t>Financing</w:t>
            </w:r>
          </w:p>
        </w:tc>
        <w:tc>
          <w:tcPr>
            <w:tcW w:w="5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June 6, 2025, with approval from our lenders, we utilized one of our two available one-year extension options under the amended and restated Revolving Credit Facility, thereby extending its maturity date to May 31, 2030.</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2025</w:t>
            </w:r>
          </w:p>
        </w:tc>
        <w:tc>
          <w:tcPr>
            <w:tcW w:w="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Borders>
              <w:bottom w:val="single" w:sz="8" w:color="auto"/>
            </w:tcBorders>
          </w:tcPr>
          <w:p>
            <w:pPr>
              <w:spacing w:after="0"/>
              <w:rPr>
                <w:sz w:val="17"/>
                <w:szCs w:val="17"/>
                <w:color w:val="auto"/>
              </w:rPr>
            </w:pPr>
          </w:p>
        </w:tc>
      </w:tr>
      <w:tr>
        <w:trPr>
          <w:trHeight w:val="183"/>
        </w:trPr>
        <w:tc>
          <w:tcPr>
            <w:tcW w:w="5860" w:type="dxa"/>
            <w:vAlign w:val="bottom"/>
          </w:tcPr>
          <w:p>
            <w:pPr>
              <w:spacing w:after="0"/>
              <w:rPr>
                <w:sz w:val="15"/>
                <w:szCs w:val="15"/>
                <w:color w:val="auto"/>
              </w:rPr>
            </w:pPr>
          </w:p>
        </w:tc>
        <w:tc>
          <w:tcPr>
            <w:tcW w:w="4700" w:type="dxa"/>
            <w:vAlign w:val="bottom"/>
            <w:tcBorders>
              <w:bottom w:val="single" w:sz="8" w:color="auto"/>
            </w:tcBorders>
            <w:gridSpan w:val="3"/>
          </w:tcPr>
          <w:p>
            <w:pPr>
              <w:jc w:val="center"/>
              <w:ind w:left="439"/>
              <w:spacing w:after="0" w:line="183" w:lineRule="exact"/>
              <w:rPr>
                <w:sz w:val="20"/>
                <w:szCs w:val="20"/>
                <w:color w:val="auto"/>
              </w:rPr>
            </w:pPr>
            <w:r>
              <w:rPr>
                <w:rFonts w:ascii="Arial" w:cs="Arial" w:eastAsia="Arial" w:hAnsi="Arial"/>
                <w:sz w:val="16"/>
                <w:szCs w:val="16"/>
                <w:color w:val="auto"/>
              </w:rPr>
              <w:t>(dollars in millions)</w:t>
            </w:r>
          </w:p>
        </w:tc>
        <w:tc>
          <w:tcPr>
            <w:tcW w:w="680" w:type="dxa"/>
            <w:vAlign w:val="bottom"/>
            <w:tcBorders>
              <w:bottom w:val="single" w:sz="8" w:color="auto"/>
            </w:tcBorders>
          </w:tcPr>
          <w:p>
            <w:pPr>
              <w:spacing w:after="0"/>
              <w:rPr>
                <w:sz w:val="15"/>
                <w:szCs w:val="15"/>
                <w:color w:val="auto"/>
              </w:rPr>
            </w:pPr>
          </w:p>
        </w:tc>
      </w:tr>
      <w:tr>
        <w:trPr>
          <w:trHeight w:val="183"/>
        </w:trPr>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Amount outstanding</w:t>
            </w:r>
          </w:p>
        </w:tc>
        <w:tc>
          <w:tcPr>
            <w:tcW w:w="1960" w:type="dxa"/>
            <w:vAlign w:val="bottom"/>
            <w:shd w:val="clear" w:color="auto" w:fill="CFF0FC"/>
          </w:tcPr>
          <w:p>
            <w:pPr>
              <w:jc w:val="right"/>
              <w:ind w:right="177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99"/>
              </w:rPr>
              <w:t>126.0</w:t>
            </w:r>
          </w:p>
        </w:tc>
        <w:tc>
          <w:tcPr>
            <w:tcW w:w="2160" w:type="dxa"/>
            <w:vAlign w:val="bottom"/>
            <w:shd w:val="clear" w:color="auto" w:fill="CFF0FC"/>
          </w:tcPr>
          <w:p>
            <w:pPr>
              <w:jc w:val="right"/>
              <w:ind w:right="1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133.8</w:t>
            </w: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960" w:type="dxa"/>
            <w:vAlign w:val="bottom"/>
          </w:tcPr>
          <w:p>
            <w:pPr>
              <w:spacing w:after="0"/>
              <w:rPr>
                <w:sz w:val="16"/>
                <w:szCs w:val="16"/>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16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3.5</w:t>
            </w:r>
          </w:p>
        </w:tc>
      </w:tr>
      <w:tr>
        <w:trPr>
          <w:trHeight w:val="18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Available capacity</w:t>
            </w:r>
          </w:p>
        </w:tc>
        <w:tc>
          <w:tcPr>
            <w:tcW w:w="19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9"/>
              </w:rPr>
              <w:t>620.9</w:t>
            </w:r>
          </w:p>
        </w:tc>
        <w:tc>
          <w:tcPr>
            <w:tcW w:w="21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612.7</w:t>
            </w: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Weighted average interest rates</w:t>
            </w:r>
          </w:p>
        </w:tc>
        <w:tc>
          <w:tcPr>
            <w:tcW w:w="1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4.26%</w:t>
            </w:r>
          </w:p>
        </w:tc>
        <w:tc>
          <w:tcPr>
            <w:tcW w:w="2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w:t>
            </w:r>
          </w:p>
        </w:tc>
      </w:tr>
    </w:tbl>
    <w:p>
      <w:pPr>
        <w:spacing w:after="0" w:line="109" w:lineRule="exact"/>
        <w:rPr>
          <w:sz w:val="20"/>
          <w:szCs w:val="20"/>
          <w:color w:val="auto"/>
        </w:rPr>
      </w:pPr>
    </w:p>
    <w:p>
      <w:pPr>
        <w:ind w:left="5540" w:right="1880" w:hanging="5532"/>
        <w:spacing w:after="0" w:line="404" w:lineRule="auto"/>
        <w:tabs>
          <w:tab w:leader="none" w:pos="523"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045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20"/>
                <w:szCs w:val="20"/>
                <w:color w:val="auto"/>
              </w:rPr>
            </w:pPr>
            <w:r>
              <w:rPr>
                <w:rFonts w:ascii="Arial" w:cs="Arial" w:eastAsia="Arial" w:hAnsi="Arial"/>
                <w:sz w:val="16"/>
                <w:szCs w:val="16"/>
                <w:color w:val="auto"/>
              </w:rPr>
              <w:t>Revolving Credit Facility and CP Program borrowing activity was as follows:</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52"/>
        </w:trPr>
        <w:tc>
          <w:tcPr>
            <w:tcW w:w="6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Nine Months Ended September 30,</w:t>
            </w:r>
          </w:p>
        </w:tc>
        <w:tc>
          <w:tcPr>
            <w:tcW w:w="720" w:type="dxa"/>
            <w:vAlign w:val="bottom"/>
          </w:tcPr>
          <w:p>
            <w:pPr>
              <w:spacing w:after="0"/>
              <w:rPr>
                <w:sz w:val="24"/>
                <w:szCs w:val="24"/>
                <w:color w:val="auto"/>
              </w:rPr>
            </w:pPr>
          </w:p>
        </w:tc>
      </w:tr>
      <w:tr>
        <w:trPr>
          <w:trHeight w:val="203"/>
        </w:trPr>
        <w:tc>
          <w:tcPr>
            <w:tcW w:w="6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183"/>
        </w:trPr>
        <w:tc>
          <w:tcPr>
            <w:tcW w:w="6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tcPr>
          <w:p>
            <w:pPr>
              <w:jc w:val="center"/>
              <w:ind w:right="679"/>
              <w:spacing w:after="0" w:line="183" w:lineRule="exact"/>
              <w:rPr>
                <w:sz w:val="20"/>
                <w:szCs w:val="20"/>
                <w:color w:val="auto"/>
              </w:rPr>
            </w:pPr>
            <w:r>
              <w:rPr>
                <w:rFonts w:ascii="Arial" w:cs="Arial" w:eastAsia="Arial" w:hAnsi="Arial"/>
                <w:sz w:val="16"/>
                <w:szCs w:val="16"/>
                <w:color w:val="auto"/>
              </w:rPr>
              <w:t>(dollars in millions)</w:t>
            </w:r>
          </w:p>
        </w:tc>
        <w:tc>
          <w:tcPr>
            <w:tcW w:w="720" w:type="dxa"/>
            <w:vAlign w:val="bottom"/>
            <w:tcBorders>
              <w:bottom w:val="single" w:sz="8" w:color="auto"/>
            </w:tcBorders>
          </w:tcPr>
          <w:p>
            <w:pPr>
              <w:spacing w:after="0"/>
              <w:rPr>
                <w:sz w:val="15"/>
                <w:szCs w:val="15"/>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2020" w:type="dxa"/>
            <w:vAlign w:val="bottom"/>
            <w:gridSpan w:val="2"/>
            <w:shd w:val="clear" w:color="auto" w:fill="CFF0FC"/>
          </w:tcPr>
          <w:p>
            <w:pPr>
              <w:jc w:val="right"/>
              <w:ind w:right="113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263.6</w:t>
            </w:r>
          </w:p>
        </w:tc>
        <w:tc>
          <w:tcPr>
            <w:tcW w:w="1480" w:type="dxa"/>
            <w:vAlign w:val="bottom"/>
            <w:shd w:val="clear" w:color="auto" w:fill="CFF0FC"/>
          </w:tcPr>
          <w:p>
            <w:pPr>
              <w:jc w:val="right"/>
              <w:ind w:right="129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25.8</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115.9</w:t>
            </w:r>
          </w:p>
        </w:tc>
        <w:tc>
          <w:tcPr>
            <w:tcW w:w="1480" w:type="dxa"/>
            <w:vAlign w:val="bottom"/>
          </w:tcPr>
          <w:p>
            <w:pPr>
              <w:spacing w:after="0"/>
              <w:rPr>
                <w:sz w:val="16"/>
                <w:szCs w:val="16"/>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0.6</w:t>
            </w:r>
          </w:p>
        </w:tc>
      </w:tr>
      <w:tr>
        <w:trPr>
          <w:trHeight w:val="18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interest rates</w:t>
            </w:r>
          </w:p>
        </w:tc>
        <w:tc>
          <w:tcPr>
            <w:tcW w:w="7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14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October 2, 2025, we completed a public debt offering of $450 million, 4.55% senior unsecured notes due January 31, 2031. Proceeds from the offering, which were reduced by $4.0 million of deferred financing costs, will be used to repay all $300 million principal amount outstanding of our 3.95% senior unsecured notes at or before their January 15, 2026, maturity date and for other general corporate purposes.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September 30, 2025.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September 30, 2025, our Consolidated Indebtedness to Capitalization Ratio was 0.54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September 30, 2025. Wyoming Electric is required to maintain a debt to capitalization ratio of no more than 0.60 to 1.00. As of September 30, 2025, Wyoming Electric's debt to capitalization ratio was 0.50 to 1.00.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ATM</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On May 8, 2025, we entered into a First Amendment to our Equity Distribution Sales Agreement (the “First Amendment”). The First Amendment, among other things, provides for the continuation of the ATM, which allows us to sell shares of common stock under the Company's shelf registration statement (Registration No. 333-272739), and resets the size of the ATM to $400 million. The First Amendment aggregate gross sales price limitation of $ 400 million supersedes and replaces the aggregate gross sales price limitation provided in our Equity Distribution Sales Agreement. Except as modified by the First Amendment, our Equity Distribution Sales Agreement remains in full force and effect.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gridSpan w:val="3"/>
          </w:tcPr>
          <w:p>
            <w:pPr>
              <w:spacing w:after="0"/>
              <w:rPr>
                <w:sz w:val="20"/>
                <w:szCs w:val="20"/>
                <w:color w:val="auto"/>
              </w:rPr>
            </w:pPr>
            <w:r>
              <w:rPr>
                <w:rFonts w:ascii="Arial" w:cs="Arial" w:eastAsia="Arial" w:hAnsi="Arial"/>
                <w:sz w:val="16"/>
                <w:szCs w:val="16"/>
                <w:color w:val="auto"/>
              </w:rPr>
              <w:t>ATM activity was as follows:</w:t>
            </w: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52"/>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 September</w:t>
            </w:r>
          </w:p>
        </w:tc>
        <w:tc>
          <w:tcPr>
            <w:tcW w:w="160" w:type="dxa"/>
            <w:vAlign w:val="bottom"/>
          </w:tcPr>
          <w:p>
            <w:pPr>
              <w:spacing w:after="0"/>
              <w:rPr>
                <w:sz w:val="24"/>
                <w:szCs w:val="24"/>
                <w:color w:val="auto"/>
              </w:rPr>
            </w:pPr>
          </w:p>
        </w:tc>
        <w:tc>
          <w:tcPr>
            <w:tcW w:w="26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Nine Months Ended September</w:t>
            </w:r>
          </w:p>
        </w:tc>
      </w:tr>
      <w:tr>
        <w:trPr>
          <w:trHeight w:val="189"/>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30,</w:t>
            </w: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30,</w:t>
            </w:r>
          </w:p>
        </w:tc>
        <w:tc>
          <w:tcPr>
            <w:tcW w:w="940" w:type="dxa"/>
            <w:vAlign w:val="bottom"/>
          </w:tcPr>
          <w:p>
            <w:pPr>
              <w:spacing w:after="0"/>
              <w:rPr>
                <w:sz w:val="16"/>
                <w:szCs w:val="16"/>
                <w:color w:val="auto"/>
              </w:rPr>
            </w:pPr>
          </w:p>
        </w:tc>
      </w:tr>
      <w:tr>
        <w:trPr>
          <w:trHeight w:val="203"/>
        </w:trPr>
        <w:tc>
          <w:tcPr>
            <w:tcW w:w="1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69"/>
        </w:trPr>
        <w:tc>
          <w:tcPr>
            <w:tcW w:w="2580" w:type="dxa"/>
            <w:vAlign w:val="bottom"/>
            <w:gridSpan w:val="3"/>
          </w:tcPr>
          <w:p>
            <w:pPr>
              <w:spacing w:after="0" w:line="169" w:lineRule="exact"/>
              <w:rPr>
                <w:sz w:val="20"/>
                <w:szCs w:val="20"/>
                <w:color w:val="auto"/>
              </w:rPr>
            </w:pPr>
            <w:r>
              <w:rPr>
                <w:rFonts w:ascii="Arial" w:cs="Arial" w:eastAsia="Arial" w:hAnsi="Arial"/>
                <w:sz w:val="16"/>
                <w:szCs w:val="16"/>
                <w:i w:val="1"/>
                <w:iCs w:val="1"/>
                <w:color w:val="auto"/>
              </w:rPr>
              <w:t>June 16, 2023 ATM Program</w:t>
            </w:r>
          </w:p>
        </w:tc>
        <w:tc>
          <w:tcPr>
            <w:tcW w:w="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60" w:type="dxa"/>
            <w:vAlign w:val="bottom"/>
            <w:gridSpan w:val="6"/>
          </w:tcPr>
          <w:p>
            <w:pPr>
              <w:jc w:val="right"/>
              <w:spacing w:after="0" w:line="169" w:lineRule="exact"/>
              <w:rPr>
                <w:sz w:val="20"/>
                <w:szCs w:val="20"/>
                <w:color w:val="auto"/>
              </w:rPr>
            </w:pPr>
            <w:r>
              <w:rPr>
                <w:rFonts w:ascii="Arial" w:cs="Arial" w:eastAsia="Arial" w:hAnsi="Arial"/>
                <w:sz w:val="16"/>
                <w:szCs w:val="16"/>
                <w:color w:val="auto"/>
              </w:rPr>
              <w:t>(in millions, except Average price per share amounts)</w:t>
            </w:r>
          </w:p>
        </w:tc>
        <w:tc>
          <w:tcPr>
            <w:tcW w:w="940" w:type="dxa"/>
            <w:vAlign w:val="bottom"/>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r>
        <w:trPr>
          <w:trHeight w:val="175"/>
        </w:trPr>
        <w:tc>
          <w:tcPr>
            <w:tcW w:w="5940" w:type="dxa"/>
            <w:vAlign w:val="bottom"/>
            <w:gridSpan w:val="6"/>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 $0.0, $(1.1), $(0.5), and $(1.8),</w:t>
            </w: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36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181.6</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5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w:t>
            </w:r>
          </w:p>
        </w:tc>
      </w:tr>
      <w:tr>
        <w:trPr>
          <w:trHeight w:val="189"/>
        </w:trPr>
        <w:tc>
          <w:tcPr>
            <w:tcW w:w="1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69"/>
        </w:trPr>
        <w:tc>
          <w:tcPr>
            <w:tcW w:w="19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i w:val="1"/>
                <w:iCs w:val="1"/>
                <w:color w:val="auto"/>
              </w:rPr>
              <w:t>May 8, 2025 ATM Program</w:t>
            </w:r>
          </w:p>
        </w:tc>
        <w:tc>
          <w:tcPr>
            <w:tcW w:w="6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2580" w:type="dxa"/>
            <w:vAlign w:val="bottom"/>
            <w:gridSpan w:val="3"/>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w:t>
            </w:r>
          </w:p>
        </w:tc>
        <w:tc>
          <w:tcPr>
            <w:tcW w:w="3360" w:type="dxa"/>
            <w:vAlign w:val="bottom"/>
            <w:gridSpan w:val="3"/>
            <w:shd w:val="clear" w:color="auto" w:fill="CFF0FC"/>
          </w:tcPr>
          <w:p>
            <w:pPr>
              <w:jc w:val="right"/>
              <w:ind w:right="1139"/>
              <w:spacing w:after="0" w:line="175" w:lineRule="exact"/>
              <w:rPr>
                <w:sz w:val="20"/>
                <w:szCs w:val="20"/>
                <w:color w:val="auto"/>
              </w:rPr>
            </w:pPr>
            <w:r>
              <w:rPr>
                <w:rFonts w:ascii="Arial" w:cs="Arial" w:eastAsia="Arial" w:hAnsi="Arial"/>
                <w:sz w:val="16"/>
                <w:szCs w:val="16"/>
                <w:color w:val="auto"/>
              </w:rPr>
              <w:t>$(1.3), $0.0, $(1.5), and $0.0,</w:t>
            </w: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36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1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spacing w:after="0"/>
              <w:rPr>
                <w:sz w:val="16"/>
                <w:szCs w:val="16"/>
                <w:color w:val="auto"/>
              </w:rPr>
            </w:pPr>
          </w:p>
        </w:tc>
        <w:tc>
          <w:tcPr>
            <w:tcW w:w="2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62"/>
        </w:trPr>
        <w:tc>
          <w:tcPr>
            <w:tcW w:w="5940" w:type="dxa"/>
            <w:vAlign w:val="bottom"/>
            <w:gridSpan w:val="6"/>
          </w:tcPr>
          <w:p>
            <w:pPr>
              <w:spacing w:after="0" w:line="162" w:lineRule="exact"/>
              <w:rPr>
                <w:sz w:val="20"/>
                <w:szCs w:val="20"/>
                <w:color w:val="auto"/>
              </w:rPr>
            </w:pPr>
            <w:r>
              <w:rPr>
                <w:rFonts w:ascii="Arial" w:cs="Arial" w:eastAsia="Arial" w:hAnsi="Arial"/>
                <w:sz w:val="16"/>
                <w:szCs w:val="16"/>
                <w:i w:val="1"/>
                <w:iCs w:val="1"/>
                <w:color w:val="auto"/>
              </w:rPr>
              <w:t>Total activity under both ATM Programs</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5"/>
        </w:trPr>
        <w:tc>
          <w:tcPr>
            <w:tcW w:w="5940" w:type="dxa"/>
            <w:vAlign w:val="bottom"/>
            <w:gridSpan w:val="6"/>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 $(1.3), $(1.1), $(2.0), and $(1.8),</w:t>
            </w: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36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181.6</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5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w:t>
            </w:r>
          </w:p>
        </w:tc>
      </w:tr>
      <w:tr>
        <w:trPr>
          <w:trHeight w:val="189"/>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price per share</w:t>
            </w:r>
          </w:p>
        </w:tc>
        <w:tc>
          <w:tcPr>
            <w:tcW w:w="336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59.47</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59.56</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55.63</w:t>
            </w:r>
          </w:p>
        </w:tc>
      </w:tr>
      <w:tr>
        <w:trPr>
          <w:trHeight w:val="416"/>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3"/>
          </w:tcPr>
          <w:p>
            <w:pPr>
              <w:jc w:val="right"/>
              <w:ind w:right="139"/>
              <w:spacing w:after="0"/>
              <w:rPr>
                <w:sz w:val="20"/>
                <w:szCs w:val="20"/>
                <w:color w:val="auto"/>
              </w:rPr>
            </w:pPr>
            <w:r>
              <w:rPr>
                <w:rFonts w:ascii="Arial" w:cs="Arial" w:eastAsia="Arial" w:hAnsi="Arial"/>
                <w:sz w:val="16"/>
                <w:szCs w:val="16"/>
                <w:color w:val="auto"/>
              </w:rPr>
              <w:t>20</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51"/>
        </w:trPr>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78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rPr>
              <w:t>Three Months Ended September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30,</w:t>
            </w:r>
          </w:p>
        </w:tc>
        <w:tc>
          <w:tcPr>
            <w:tcW w:w="1080" w:type="dxa"/>
            <w:vAlign w:val="bottom"/>
          </w:tcPr>
          <w:p>
            <w:pPr>
              <w:spacing w:after="0"/>
              <w:rPr>
                <w:sz w:val="16"/>
                <w:szCs w:val="16"/>
                <w:color w:val="auto"/>
              </w:rPr>
            </w:pPr>
          </w:p>
        </w:tc>
        <w:tc>
          <w:tcPr>
            <w:tcW w:w="29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5520" w:type="dxa"/>
            <w:vAlign w:val="bottom"/>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183"/>
        </w:trPr>
        <w:tc>
          <w:tcPr>
            <w:tcW w:w="5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ind w:left="60"/>
              <w:spacing w:after="0" w:line="183" w:lineRule="exact"/>
              <w:rPr>
                <w:sz w:val="20"/>
                <w:szCs w:val="20"/>
                <w:color w:val="auto"/>
              </w:rPr>
            </w:pPr>
            <w:r>
              <w:rPr>
                <w:rFonts w:ascii="Arial" w:cs="Arial" w:eastAsia="Arial" w:hAnsi="Arial"/>
                <w:sz w:val="16"/>
                <w:szCs w:val="16"/>
                <w:color w:val="auto"/>
              </w:rPr>
              <w:t>(in millions, except per share amounts)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23"/>
        </w:trPr>
        <w:tc>
          <w:tcPr>
            <w:tcW w:w="55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900" w:type="dxa"/>
            <w:vAlign w:val="bottom"/>
            <w:tcBorders>
              <w:bottom w:val="single" w:sz="8" w:color="auto"/>
            </w:tcBorders>
            <w:shd w:val="clear" w:color="auto" w:fill="CFF0FC"/>
          </w:tcPr>
          <w:p>
            <w:pPr>
              <w:jc w:val="right"/>
              <w:ind w:right="742"/>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24.9</w:t>
            </w:r>
          </w:p>
        </w:tc>
        <w:tc>
          <w:tcPr>
            <w:tcW w:w="360" w:type="dxa"/>
            <w:vAlign w:val="bottom"/>
            <w:tcBorders>
              <w:bottom w:val="single" w:sz="8" w:color="auto"/>
            </w:tcBorders>
            <w:shd w:val="clear" w:color="auto" w:fill="CFF0FC"/>
          </w:tcPr>
          <w:p>
            <w:pPr>
              <w:ind w:left="80"/>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24.4</w:t>
            </w:r>
          </w:p>
        </w:tc>
        <w:tc>
          <w:tcPr>
            <w:tcW w:w="34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186.6</w:t>
            </w:r>
          </w:p>
        </w:tc>
        <w:tc>
          <w:tcPr>
            <w:tcW w:w="34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175.0</w:t>
            </w:r>
          </w:p>
        </w:tc>
      </w:tr>
      <w:tr>
        <w:trPr>
          <w:trHeight w:val="169"/>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 basic</w:t>
            </w:r>
          </w:p>
        </w:tc>
        <w:tc>
          <w:tcPr>
            <w:tcW w:w="9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w:t>
            </w: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69.2</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Dilutive effect of equity compensation</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r>
      <w:tr>
        <w:trPr>
          <w:trHeight w:val="223"/>
        </w:trPr>
        <w:tc>
          <w:tcPr>
            <w:tcW w:w="55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900" w:type="dxa"/>
            <w:vAlign w:val="bottom"/>
            <w:tcBorders>
              <w:bottom w:val="single" w:sz="8" w:color="auto"/>
            </w:tcBorders>
            <w:shd w:val="clear" w:color="auto" w:fill="CFF0FC"/>
          </w:tcPr>
          <w:p>
            <w:pPr>
              <w:jc w:val="right"/>
              <w:ind w:right="742"/>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72.9</w:t>
            </w:r>
          </w:p>
        </w:tc>
        <w:tc>
          <w:tcPr>
            <w:tcW w:w="360" w:type="dxa"/>
            <w:vAlign w:val="bottom"/>
            <w:tcBorders>
              <w:bottom w:val="single" w:sz="8" w:color="auto"/>
            </w:tcBorders>
            <w:shd w:val="clear" w:color="auto" w:fill="CFF0FC"/>
          </w:tcPr>
          <w:p>
            <w:pPr>
              <w:ind w:left="80"/>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70.6</w:t>
            </w:r>
          </w:p>
        </w:tc>
        <w:tc>
          <w:tcPr>
            <w:tcW w:w="34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72.4</w:t>
            </w:r>
          </w:p>
        </w:tc>
        <w:tc>
          <w:tcPr>
            <w:tcW w:w="34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69.3</w:t>
            </w:r>
          </w:p>
        </w:tc>
      </w:tr>
      <w:tr>
        <w:trPr>
          <w:trHeight w:val="169"/>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for common stock, per share - Diluted</w:t>
            </w:r>
          </w:p>
        </w:tc>
        <w:tc>
          <w:tcPr>
            <w:tcW w:w="900" w:type="dxa"/>
            <w:vAlign w:val="bottom"/>
            <w:shd w:val="clear" w:color="auto" w:fill="CFF0FC"/>
          </w:tcPr>
          <w:p>
            <w:pPr>
              <w:jc w:val="right"/>
              <w:ind w:right="74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3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2.52</w:t>
            </w: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Anti-dilutive shares excluded from the diluted earnings per share computation were not material for the three and nine months ended September 30, 2025, and 2024.</w:t>
      </w:r>
    </w:p>
    <w:p>
      <w:pPr>
        <w:spacing w:after="0" w:line="318" w:lineRule="exact"/>
        <w:rPr>
          <w:sz w:val="20"/>
          <w:szCs w:val="20"/>
          <w:color w:val="auto"/>
        </w:rPr>
      </w:pPr>
    </w:p>
    <w:p>
      <w:pPr>
        <w:ind w:right="8100" w:firstLine="8"/>
        <w:spacing w:after="0" w:line="493"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80" w:hanging="518"/>
        <w:spacing w:after="0" w:line="259" w:lineRule="auto"/>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imposition of new tariffs,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through December 2027.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304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September 30, 2025</w:t>
            </w:r>
          </w:p>
        </w:tc>
        <w:tc>
          <w:tcPr>
            <w:tcW w:w="318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December 31, 2024</w:t>
            </w:r>
          </w:p>
        </w:tc>
      </w:tr>
      <w:tr>
        <w:trPr>
          <w:trHeight w:val="142"/>
        </w:trPr>
        <w:tc>
          <w:tcPr>
            <w:tcW w:w="5020" w:type="dxa"/>
            <w:vAlign w:val="bottom"/>
          </w:tcPr>
          <w:p>
            <w:pPr>
              <w:spacing w:after="0"/>
              <w:rPr>
                <w:sz w:val="12"/>
                <w:szCs w:val="12"/>
                <w:color w:val="auto"/>
              </w:rPr>
            </w:pPr>
          </w:p>
        </w:tc>
        <w:tc>
          <w:tcPr>
            <w:tcW w:w="16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Notional Amounts</w:t>
            </w:r>
          </w:p>
        </w:tc>
        <w:tc>
          <w:tcPr>
            <w:tcW w:w="14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66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rPr>
              <w:t>Notional Amounts</w:t>
            </w:r>
          </w:p>
        </w:tc>
        <w:tc>
          <w:tcPr>
            <w:tcW w:w="15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29"/>
        </w:trPr>
        <w:tc>
          <w:tcPr>
            <w:tcW w:w="5020" w:type="dxa"/>
            <w:vAlign w:val="bottom"/>
          </w:tcPr>
          <w:p>
            <w:pPr>
              <w:spacing w:after="0"/>
              <w:rPr>
                <w:sz w:val="19"/>
                <w:szCs w:val="19"/>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(MMBtus)</w:t>
            </w:r>
          </w:p>
        </w:tc>
        <w:tc>
          <w:tcPr>
            <w:tcW w:w="14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(MMBtus)</w:t>
            </w: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r>
      <w:tr>
        <w:trPr>
          <w:trHeight w:val="183"/>
        </w:trPr>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Natural gas futures purchased</w:t>
            </w:r>
          </w:p>
        </w:tc>
        <w:tc>
          <w:tcPr>
            <w:tcW w:w="1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1,760,000</w:t>
            </w:r>
          </w:p>
        </w:tc>
        <w:tc>
          <w:tcPr>
            <w:tcW w:w="14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6</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660,000</w:t>
            </w:r>
          </w:p>
        </w:tc>
        <w:tc>
          <w:tcPr>
            <w:tcW w:w="15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Natural gas options purchased, net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7,670,000</w:t>
            </w:r>
          </w:p>
        </w:tc>
        <w:tc>
          <w:tcPr>
            <w:tcW w:w="1420" w:type="dxa"/>
            <w:vAlign w:val="bottom"/>
          </w:tcPr>
          <w:p>
            <w:pPr>
              <w:jc w:val="center"/>
              <w:spacing w:after="0"/>
              <w:rPr>
                <w:sz w:val="20"/>
                <w:szCs w:val="20"/>
                <w:color w:val="auto"/>
              </w:rPr>
            </w:pPr>
            <w:r>
              <w:rPr>
                <w:rFonts w:ascii="Arial" w:cs="Arial" w:eastAsia="Arial" w:hAnsi="Arial"/>
                <w:sz w:val="16"/>
                <w:szCs w:val="16"/>
                <w:color w:val="auto"/>
              </w:rPr>
              <w:t>6</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Natural gas basis swaps purchased</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1,760,000</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1,080,000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4,810,000</w:t>
            </w:r>
          </w:p>
        </w:tc>
        <w:tc>
          <w:tcPr>
            <w:tcW w:w="1420" w:type="dxa"/>
            <w:vAlign w:val="bottom"/>
          </w:tcPr>
          <w:p>
            <w:pPr>
              <w:jc w:val="center"/>
              <w:spacing w:after="0"/>
              <w:rPr>
                <w:sz w:val="20"/>
                <w:szCs w:val="20"/>
                <w:color w:val="auto"/>
              </w:rPr>
            </w:pPr>
            <w:r>
              <w:rPr>
                <w:rFonts w:ascii="Arial" w:cs="Arial" w:eastAsia="Arial" w:hAnsi="Arial"/>
                <w:sz w:val="16"/>
                <w:szCs w:val="16"/>
                <w:color w:val="auto"/>
              </w:rPr>
              <w:t>26</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20</w:t>
            </w:r>
          </w:p>
        </w:tc>
      </w:tr>
      <w:tr>
        <w:trPr>
          <w:trHeight w:val="189"/>
        </w:trPr>
        <w:tc>
          <w:tcPr>
            <w:tcW w:w="50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24,513,400</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20,276,230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2025, 2,805,000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contracts that qualify for the normal purchases and normal sales exception under GAAP.</w:t>
      </w:r>
    </w:p>
    <w:p>
      <w:pPr>
        <w:spacing w:after="0" w:line="171"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September 30, 2025, the Company posted $0.8 million related to such provisions, which is included in Other current assets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120" w:type="dxa"/>
            <w:vAlign w:val="bottom"/>
          </w:tcPr>
          <w:p>
            <w:pPr>
              <w:spacing w:after="0"/>
              <w:rPr>
                <w:sz w:val="17"/>
                <w:szCs w:val="17"/>
                <w:color w:val="auto"/>
              </w:rPr>
            </w:pPr>
          </w:p>
        </w:tc>
        <w:tc>
          <w:tcPr>
            <w:tcW w:w="342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Balance Sheet Location</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183"/>
        </w:trPr>
        <w:tc>
          <w:tcPr>
            <w:tcW w:w="41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jc w:val="right"/>
              <w:ind w:right="1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hedges:</w:t>
            </w:r>
          </w:p>
        </w:tc>
        <w:tc>
          <w:tcPr>
            <w:tcW w:w="34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120" w:type="dxa"/>
            <w:vAlign w:val="bottom"/>
          </w:tcPr>
          <w:p>
            <w:pPr>
              <w:ind w:left="40"/>
              <w:spacing w:after="0"/>
              <w:rPr>
                <w:sz w:val="20"/>
                <w:szCs w:val="20"/>
                <w:color w:val="auto"/>
              </w:rPr>
            </w:pPr>
            <w:r>
              <w:rPr>
                <w:rFonts w:ascii="Arial" w:cs="Arial" w:eastAsia="Arial" w:hAnsi="Arial"/>
                <w:sz w:val="16"/>
                <w:szCs w:val="16"/>
                <w:color w:val="auto"/>
              </w:rPr>
              <w:t>Liability derivative instruments:</w:t>
            </w: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4120" w:type="dxa"/>
            <w:vAlign w:val="bottom"/>
          </w:tcPr>
          <w:p>
            <w:pPr>
              <w:spacing w:after="0" w:line="169" w:lineRule="exact"/>
              <w:rPr>
                <w:sz w:val="20"/>
                <w:szCs w:val="20"/>
                <w:color w:val="auto"/>
              </w:rPr>
            </w:pPr>
            <w:r>
              <w:rPr>
                <w:rFonts w:ascii="Arial" w:cs="Arial" w:eastAsia="Arial" w:hAnsi="Arial"/>
                <w:sz w:val="16"/>
                <w:szCs w:val="16"/>
                <w:color w:val="auto"/>
              </w:rPr>
              <w:t>Total derivatives designated as hedges</w:t>
            </w: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w:t>
            </w:r>
          </w:p>
        </w:tc>
        <w:tc>
          <w:tcPr>
            <w:tcW w:w="1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w:t>
            </w:r>
          </w:p>
        </w:tc>
      </w:tr>
      <w:tr>
        <w:trPr>
          <w:trHeight w:val="20"/>
        </w:trPr>
        <w:tc>
          <w:tcPr>
            <w:tcW w:w="4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0"/>
        </w:trPr>
        <w:tc>
          <w:tcPr>
            <w:tcW w:w="412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Derivatives not designated as hedges:</w:t>
            </w: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Liability derivative instruments:</w:t>
            </w:r>
          </w:p>
        </w:tc>
        <w:tc>
          <w:tcPr>
            <w:tcW w:w="34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4120" w:type="dxa"/>
            <w:vAlign w:val="bottom"/>
          </w:tcPr>
          <w:p>
            <w:pPr>
              <w:ind w:left="80"/>
              <w:spacing w:after="0"/>
              <w:rPr>
                <w:sz w:val="20"/>
                <w:szCs w:val="20"/>
                <w:color w:val="auto"/>
              </w:rPr>
            </w:pPr>
            <w:r>
              <w:rPr>
                <w:rFonts w:ascii="Arial" w:cs="Arial" w:eastAsia="Arial" w:hAnsi="Arial"/>
                <w:sz w:val="16"/>
                <w:szCs w:val="16"/>
                <w:color w:val="auto"/>
              </w:rPr>
              <w:t>Current commodity derivatives</w:t>
            </w:r>
          </w:p>
        </w:tc>
        <w:tc>
          <w:tcPr>
            <w:tcW w:w="3420" w:type="dxa"/>
            <w:vAlign w:val="bottom"/>
          </w:tcPr>
          <w:p>
            <w:pPr>
              <w:spacing w:after="0"/>
              <w:rPr>
                <w:sz w:val="20"/>
                <w:szCs w:val="20"/>
                <w:color w:val="auto"/>
              </w:rPr>
            </w:pPr>
            <w:r>
              <w:rPr>
                <w:rFonts w:ascii="Arial" w:cs="Arial" w:eastAsia="Arial" w:hAnsi="Arial"/>
                <w:sz w:val="16"/>
                <w:szCs w:val="16"/>
                <w:color w:val="auto"/>
              </w:rPr>
              <w:t>Derivative liabilities, current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412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derivatives not designated as hedges</w:t>
            </w: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(3.2)</w:t>
            </w: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w:t>
            </w:r>
          </w:p>
        </w:tc>
      </w:tr>
      <w:tr>
        <w:trPr>
          <w:trHeight w:val="397"/>
        </w:trPr>
        <w:tc>
          <w:tcPr>
            <w:tcW w:w="4120" w:type="dxa"/>
            <w:vAlign w:val="bottom"/>
          </w:tcPr>
          <w:p>
            <w:pPr>
              <w:spacing w:after="0"/>
              <w:rPr>
                <w:sz w:val="24"/>
                <w:szCs w:val="24"/>
                <w:color w:val="auto"/>
              </w:rPr>
            </w:pPr>
          </w:p>
        </w:tc>
        <w:tc>
          <w:tcPr>
            <w:tcW w:w="3420" w:type="dxa"/>
            <w:vAlign w:val="bottom"/>
          </w:tcPr>
          <w:p>
            <w:pPr>
              <w:jc w:val="right"/>
              <w:ind w:right="1739"/>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51"/>
        </w:trPr>
        <w:tc>
          <w:tcPr>
            <w:tcW w:w="41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and nine months ended September 30, 2025, and 2024.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8"/>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100" w:type="dxa"/>
            <w:vAlign w:val="bottom"/>
          </w:tcPr>
          <w:p>
            <w:pPr>
              <w:spacing w:after="0"/>
              <w:rPr>
                <w:sz w:val="16"/>
                <w:szCs w:val="16"/>
                <w:color w:val="auto"/>
              </w:rPr>
            </w:pPr>
          </w:p>
        </w:tc>
        <w:tc>
          <w:tcPr>
            <w:tcW w:w="210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Amount of Gain/(Loss)</w:t>
            </w: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rPr>
              <w:t>Recognized in OCI</w:t>
            </w: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left="3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right="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0.7</w:t>
            </w:r>
          </w:p>
        </w:tc>
        <w:tc>
          <w:tcPr>
            <w:tcW w:w="84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8"/>
              </w:rPr>
              <w:t>0.8</w:t>
            </w:r>
          </w:p>
        </w:tc>
        <w:tc>
          <w:tcPr>
            <w:tcW w:w="3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r>
      <w:tr>
        <w:trPr>
          <w:trHeight w:val="175"/>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line="175" w:lineRule="exact"/>
              <w:rPr>
                <w:sz w:val="20"/>
                <w:szCs w:val="20"/>
                <w:color w:val="auto"/>
              </w:rPr>
            </w:pPr>
            <w:r>
              <w:rPr>
                <w:rFonts w:ascii="Arial" w:cs="Arial" w:eastAsia="Arial" w:hAnsi="Arial"/>
                <w:sz w:val="16"/>
                <w:szCs w:val="16"/>
                <w:color w:val="auto"/>
              </w:rPr>
              <w:t>Fuel, purchased power, and cost of natural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Commodity derivatives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0.1</w:t>
            </w:r>
          </w:p>
        </w:tc>
        <w:tc>
          <w:tcPr>
            <w:tcW w:w="3180" w:type="dxa"/>
            <w:vAlign w:val="bottom"/>
          </w:tcPr>
          <w:p>
            <w:pPr>
              <w:spacing w:after="0"/>
              <w:rPr>
                <w:sz w:val="20"/>
                <w:szCs w:val="20"/>
                <w:color w:val="auto"/>
              </w:rPr>
            </w:pPr>
            <w:r>
              <w:rPr>
                <w:rFonts w:ascii="Arial" w:cs="Arial" w:eastAsia="Arial" w:hAnsi="Arial"/>
                <w:sz w:val="16"/>
                <w:szCs w:val="16"/>
                <w:color w:val="auto"/>
              </w:rPr>
              <w:t>gas sold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3540" w:type="dxa"/>
            <w:vAlign w:val="bottom"/>
            <w:shd w:val="clear" w:color="auto" w:fill="CFF0FC"/>
          </w:tcPr>
          <w:p>
            <w:pPr>
              <w:ind w:left="100"/>
              <w:spacing w:after="0" w:line="169" w:lineRule="exact"/>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(0.9)</w:t>
            </w:r>
          </w:p>
        </w:tc>
        <w:tc>
          <w:tcPr>
            <w:tcW w:w="840" w:type="dxa"/>
            <w:vAlign w:val="bottom"/>
            <w:shd w:val="clear" w:color="auto" w:fill="CFF0FC"/>
          </w:tcPr>
          <w:p>
            <w:pPr>
              <w:jc w:val="right"/>
              <w:ind w:right="639"/>
              <w:spacing w:after="0" w:line="169"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98"/>
              </w:rPr>
              <w:t>0.9</w:t>
            </w:r>
          </w:p>
        </w:tc>
        <w:tc>
          <w:tcPr>
            <w:tcW w:w="3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(0.8)</w:t>
            </w:r>
          </w:p>
        </w:tc>
        <w:tc>
          <w:tcPr>
            <w:tcW w:w="22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(0.8)</w:t>
            </w:r>
          </w:p>
        </w:tc>
      </w:tr>
      <w:tr>
        <w:trPr>
          <w:trHeight w:val="344"/>
        </w:trPr>
        <w:tc>
          <w:tcPr>
            <w:tcW w:w="35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top w:val="single" w:sz="8" w:color="auto"/>
            </w:tcBorders>
          </w:tcPr>
          <w:p>
            <w:pPr>
              <w:spacing w:after="0"/>
              <w:rPr>
                <w:sz w:val="24"/>
                <w:szCs w:val="24"/>
                <w:color w:val="auto"/>
              </w:rPr>
            </w:pPr>
          </w:p>
        </w:tc>
        <w:tc>
          <w:tcPr>
            <w:tcW w:w="3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Nine Months Ended</w:t>
            </w:r>
          </w:p>
        </w:tc>
      </w:tr>
      <w:tr>
        <w:trPr>
          <w:trHeight w:val="189"/>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8"/>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100" w:type="dxa"/>
            <w:vAlign w:val="bottom"/>
          </w:tcPr>
          <w:p>
            <w:pPr>
              <w:spacing w:after="0"/>
              <w:rPr>
                <w:sz w:val="16"/>
                <w:szCs w:val="16"/>
                <w:color w:val="auto"/>
              </w:rPr>
            </w:pPr>
          </w:p>
        </w:tc>
        <w:tc>
          <w:tcPr>
            <w:tcW w:w="210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Amount of Gain/(Loss)</w:t>
            </w: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rPr>
              <w:t>Recognized in OCI</w:t>
            </w: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740" w:type="dxa"/>
            <w:vAlign w:val="bottom"/>
            <w:tcBorders>
              <w:bottom w:val="single" w:sz="8" w:color="auto"/>
            </w:tcBorders>
            <w:gridSpan w:val="2"/>
            <w:shd w:val="clear" w:color="auto" w:fill="CFF0FC"/>
          </w:tcPr>
          <w:p>
            <w:pPr>
              <w:jc w:val="center"/>
              <w:ind w:left="3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shd w:val="clear" w:color="auto" w:fill="CFF0FC"/>
          </w:tcPr>
          <w:p>
            <w:pPr>
              <w:spacing w:after="0"/>
              <w:rPr>
                <w:sz w:val="15"/>
                <w:szCs w:val="15"/>
                <w:color w:val="auto"/>
              </w:rPr>
            </w:pPr>
          </w:p>
        </w:tc>
        <w:tc>
          <w:tcPr>
            <w:tcW w:w="3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100" w:type="dxa"/>
            <w:vAlign w:val="bottom"/>
            <w:tcBorders>
              <w:bottom w:val="single" w:sz="8" w:color="auto"/>
            </w:tcBorders>
            <w:gridSpan w:val="3"/>
            <w:shd w:val="clear" w:color="auto" w:fill="CFF0FC"/>
          </w:tcPr>
          <w:p>
            <w:pPr>
              <w:jc w:val="center"/>
              <w:ind w:right="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2.1</w:t>
            </w:r>
          </w:p>
        </w:tc>
        <w:tc>
          <w:tcPr>
            <w:tcW w:w="840" w:type="dxa"/>
            <w:vAlign w:val="bottom"/>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2.2</w:t>
            </w:r>
          </w:p>
        </w:tc>
        <w:tc>
          <w:tcPr>
            <w:tcW w:w="3180" w:type="dxa"/>
            <w:vAlign w:val="bottom"/>
          </w:tcPr>
          <w:p>
            <w:pPr>
              <w:spacing w:after="0" w:line="183" w:lineRule="exact"/>
              <w:rPr>
                <w:sz w:val="20"/>
                <w:szCs w:val="20"/>
                <w:color w:val="auto"/>
              </w:rPr>
            </w:pPr>
            <w:r>
              <w:rPr>
                <w:rFonts w:ascii="Arial" w:cs="Arial" w:eastAsia="Arial" w:hAnsi="Arial"/>
                <w:sz w:val="16"/>
                <w:szCs w:val="16"/>
                <w:color w:val="auto"/>
              </w:rPr>
              <w:t>Interest expense</w:t>
            </w:r>
          </w:p>
        </w:tc>
        <w:tc>
          <w:tcPr>
            <w:tcW w:w="2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2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75"/>
        </w:trPr>
        <w:tc>
          <w:tcPr>
            <w:tcW w:w="3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1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Fuel, purchased power, and cost of natural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0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3.1</w:t>
            </w: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gas sold</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354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0.8</w:t>
            </w:r>
          </w:p>
        </w:tc>
        <w:tc>
          <w:tcPr>
            <w:tcW w:w="84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8"/>
              </w:rPr>
              <w:t>5.3</w:t>
            </w:r>
          </w:p>
        </w:tc>
        <w:tc>
          <w:tcPr>
            <w:tcW w:w="3180" w:type="dxa"/>
            <w:vAlign w:val="bottom"/>
          </w:tcPr>
          <w:p>
            <w:pPr>
              <w:spacing w:after="0"/>
              <w:rPr>
                <w:sz w:val="15"/>
                <w:szCs w:val="15"/>
                <w:color w:val="auto"/>
              </w:rPr>
            </w:pP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(2.6)</w:t>
            </w:r>
          </w:p>
        </w:tc>
        <w:tc>
          <w:tcPr>
            <w:tcW w:w="2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(5.4)</w:t>
            </w:r>
          </w:p>
        </w:tc>
      </w:tr>
      <w:tr>
        <w:trPr>
          <w:trHeight w:val="20"/>
        </w:trPr>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-1525270</wp:posOffset>
            </wp:positionV>
            <wp:extent cx="2099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-1508125</wp:posOffset>
            </wp:positionV>
            <wp:extent cx="2099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9994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-521970</wp:posOffset>
            </wp:positionV>
            <wp:extent cx="2099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-153670</wp:posOffset>
            </wp:positionV>
            <wp:extent cx="2099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5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As of September 30, 2025, $4.5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nine months ended September 30, 2025, and 2024.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52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right="839"/>
              <w:spacing w:after="0"/>
              <w:rPr>
                <w:sz w:val="20"/>
                <w:szCs w:val="20"/>
                <w:color w:val="auto"/>
              </w:rPr>
            </w:pPr>
            <w:r>
              <w:rPr>
                <w:rFonts w:ascii="Arial" w:cs="Arial" w:eastAsia="Arial" w:hAnsi="Arial"/>
                <w:sz w:val="16"/>
                <w:szCs w:val="16"/>
                <w:b w:val="1"/>
                <w:bCs w:val="1"/>
                <w:color w:val="auto"/>
              </w:rPr>
              <w:t>in Income</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center"/>
              <w:ind w:right="819"/>
              <w:spacing w:after="0" w:line="183" w:lineRule="exact"/>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500" w:type="dxa"/>
            <w:vAlign w:val="bottom"/>
            <w:vMerge w:val="restart"/>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500" w:type="dxa"/>
            <w:vAlign w:val="bottom"/>
            <w:tcBorders>
              <w:bottom w:val="single" w:sz="8" w:color="auto"/>
            </w:tcBorders>
            <w:vMerge w:val="continue"/>
            <w:shd w:val="clear" w:color="auto" w:fill="CFF0FC"/>
          </w:tcPr>
          <w:p>
            <w:pPr>
              <w:spacing w:after="0"/>
              <w:rPr>
                <w:sz w:val="16"/>
                <w:szCs w:val="16"/>
                <w:color w:val="auto"/>
              </w:rPr>
            </w:pPr>
          </w:p>
        </w:tc>
        <w:tc>
          <w:tcPr>
            <w:tcW w:w="5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(0.6)</w:t>
            </w:r>
          </w:p>
        </w:tc>
        <w:tc>
          <w:tcPr>
            <w:tcW w:w="1500" w:type="dxa"/>
            <w:vAlign w:val="bottom"/>
            <w:tcBorders>
              <w:bottom w:val="single" w:sz="8" w:color="auto"/>
            </w:tcBorders>
          </w:tcPr>
          <w:p>
            <w:pPr>
              <w:jc w:val="right"/>
              <w:ind w:right="12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2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right="839"/>
              <w:spacing w:after="0"/>
              <w:rPr>
                <w:sz w:val="20"/>
                <w:szCs w:val="20"/>
                <w:color w:val="auto"/>
              </w:rPr>
            </w:pPr>
            <w:r>
              <w:rPr>
                <w:rFonts w:ascii="Arial" w:cs="Arial" w:eastAsia="Arial" w:hAnsi="Arial"/>
                <w:sz w:val="16"/>
                <w:szCs w:val="16"/>
                <w:b w:val="1"/>
                <w:bCs w:val="1"/>
                <w:color w:val="auto"/>
              </w:rPr>
              <w:t>in Income</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center"/>
              <w:ind w:right="819"/>
              <w:spacing w:after="0" w:line="183" w:lineRule="exact"/>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500" w:type="dxa"/>
            <w:vAlign w:val="bottom"/>
            <w:tcBorders>
              <w:bottom w:val="single" w:sz="8" w:color="auto"/>
            </w:tcBorders>
            <w:vMerge w:val="continue"/>
            <w:shd w:val="clear" w:color="auto" w:fill="CFF0FC"/>
          </w:tcPr>
          <w:p>
            <w:pPr>
              <w:spacing w:after="0"/>
              <w:rPr>
                <w:sz w:val="16"/>
                <w:szCs w:val="16"/>
                <w:color w:val="auto"/>
              </w:rPr>
            </w:pPr>
          </w:p>
        </w:tc>
        <w:tc>
          <w:tcPr>
            <w:tcW w:w="5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2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vMerge w:val="restart"/>
          </w:tcPr>
          <w:p>
            <w:pPr>
              <w:jc w:val="right"/>
              <w:ind w:right="1359"/>
              <w:spacing w:after="0"/>
              <w:rPr>
                <w:sz w:val="20"/>
                <w:szCs w:val="20"/>
                <w:color w:val="auto"/>
              </w:rPr>
            </w:pPr>
            <w:r>
              <w:rPr>
                <w:rFonts w:ascii="Arial" w:cs="Arial" w:eastAsia="Arial" w:hAnsi="Arial"/>
                <w:sz w:val="16"/>
                <w:szCs w:val="16"/>
                <w:color w:val="auto"/>
              </w:rPr>
              <w:t>23</w:t>
            </w: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5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5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were $4.9 million and $2.9 million as of September 30, 2025 and December 31, 2024, respectively.</w:t>
      </w:r>
    </w:p>
    <w:p>
      <w:pPr>
        <w:spacing w:after="0" w:line="34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2024 Annual Report on Form 10-K.</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00" w:type="dxa"/>
            <w:vAlign w:val="bottom"/>
            <w:gridSpan w:val="5"/>
          </w:tcPr>
          <w:p>
            <w:pPr>
              <w:jc w:val="right"/>
              <w:ind w:right="1263"/>
              <w:spacing w:after="0"/>
              <w:rPr>
                <w:sz w:val="20"/>
                <w:szCs w:val="20"/>
                <w:color w:val="auto"/>
              </w:rPr>
            </w:pPr>
            <w:r>
              <w:rPr>
                <w:rFonts w:ascii="Arial" w:cs="Arial" w:eastAsia="Arial" w:hAnsi="Arial"/>
                <w:sz w:val="16"/>
                <w:szCs w:val="16"/>
                <w:b w:val="1"/>
                <w:bCs w:val="1"/>
                <w:color w:val="auto"/>
              </w:rPr>
              <w:t>As of September 30, 2025</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tcPr>
          <w:p>
            <w:pPr>
              <w:jc w:val="center"/>
              <w:ind w:right="6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1060" w:type="dxa"/>
            <w:vAlign w:val="bottom"/>
            <w:vMerge w:val="restart"/>
          </w:tcPr>
          <w:p>
            <w:pPr>
              <w:jc w:val="right"/>
              <w:ind w:right="299"/>
              <w:spacing w:after="0" w:line="16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0"/>
                <w:szCs w:val="10"/>
                <w:color w:val="auto"/>
              </w:rPr>
            </w:pPr>
          </w:p>
        </w:tc>
        <w:tc>
          <w:tcPr>
            <w:tcW w:w="1100" w:type="dxa"/>
            <w:vAlign w:val="bottom"/>
            <w:vMerge w:val="restart"/>
          </w:tcPr>
          <w:p>
            <w:pPr>
              <w:ind w:left="12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60" w:type="dxa"/>
            <w:vAlign w:val="bottom"/>
          </w:tcPr>
          <w:p>
            <w:pPr>
              <w:jc w:val="center"/>
              <w:ind w:right="123"/>
              <w:spacing w:after="0" w:line="122" w:lineRule="exact"/>
              <w:rPr>
                <w:sz w:val="20"/>
                <w:szCs w:val="20"/>
                <w:color w:val="auto"/>
              </w:rPr>
            </w:pPr>
            <w:r>
              <w:rPr>
                <w:rFonts w:ascii="Arial" w:cs="Arial" w:eastAsia="Arial" w:hAnsi="Arial"/>
                <w:sz w:val="11"/>
                <w:szCs w:val="11"/>
                <w:b w:val="1"/>
                <w:bCs w:val="1"/>
                <w:color w:val="auto"/>
                <w:w w:val="88"/>
              </w:rPr>
              <w:t>(a)</w:t>
            </w:r>
          </w:p>
        </w:tc>
        <w:tc>
          <w:tcPr>
            <w:tcW w:w="26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(5.2)</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2025, $5.2 million of our commodity derivative assets and $2.8 million of our commodity derivative liabilities, as well as related gross collateral amounts, were subject to master netting agreements.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4"/>
          </w:tcPr>
          <w:p>
            <w:pPr>
              <w:jc w:val="right"/>
              <w:ind w:right="1283"/>
              <w:spacing w:after="0"/>
              <w:rPr>
                <w:sz w:val="20"/>
                <w:szCs w:val="20"/>
                <w:color w:val="auto"/>
              </w:rPr>
            </w:pPr>
            <w:r>
              <w:rPr>
                <w:rFonts w:ascii="Arial" w:cs="Arial" w:eastAsia="Arial" w:hAnsi="Arial"/>
                <w:sz w:val="16"/>
                <w:szCs w:val="16"/>
                <w:b w:val="1"/>
                <w:bCs w:val="1"/>
                <w:color w:val="auto"/>
              </w:rPr>
              <w:t>As of December 31, 2024</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Level 3</w:t>
            </w:r>
          </w:p>
        </w:tc>
        <w:tc>
          <w:tcPr>
            <w:tcW w:w="188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(a)</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82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79"/>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82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79"/>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400" w:hanging="512"/>
        <w:spacing w:after="0" w:line="285"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2024, $2.2 million of our commodity derivative assets and $0.6 million of our commodity derivative liabilities, as well as related gross collateral amounts, were subject to master netting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2024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September 30, 2025</w:t>
            </w:r>
          </w:p>
        </w:tc>
        <w:tc>
          <w:tcPr>
            <w:tcW w:w="5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December 31, 2024</w:t>
            </w:r>
          </w:p>
        </w:tc>
      </w:tr>
      <w:tr>
        <w:trPr>
          <w:trHeight w:val="168"/>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4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183"/>
        </w:trPr>
        <w:tc>
          <w:tcPr>
            <w:tcW w:w="4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800"/>
              <w:spacing w:after="0" w:line="183" w:lineRule="exact"/>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2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4,252.8</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4,180.9</w:t>
            </w:r>
          </w:p>
        </w:tc>
        <w:tc>
          <w:tcPr>
            <w:tcW w:w="5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4,250.2</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4,059.1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220" w:hanging="512"/>
        <w:spacing w:after="0" w:line="285"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Amount Reclassified from AOCI</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8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Location on the Consolidated</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Statements of Income</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65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Gains and (losses) on cash flow hedges:</w:t>
            </w: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Interest rate swaps</w:t>
            </w:r>
          </w:p>
        </w:tc>
        <w:tc>
          <w:tcPr>
            <w:tcW w:w="28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rPr>
                <w:sz w:val="15"/>
                <w:szCs w:val="15"/>
                <w:color w:val="auto"/>
              </w:rPr>
            </w:pPr>
          </w:p>
        </w:tc>
        <w:tc>
          <w:tcPr>
            <w:tcW w:w="2800" w:type="dxa"/>
            <w:vAlign w:val="bottom"/>
            <w:shd w:val="clear" w:color="auto" w:fill="CFF0FC"/>
          </w:tcPr>
          <w:p>
            <w:pPr>
              <w:ind w:left="40"/>
              <w:spacing w:after="0" w:line="175" w:lineRule="exact"/>
              <w:rPr>
                <w:sz w:val="20"/>
                <w:szCs w:val="20"/>
                <w:color w:val="auto"/>
              </w:rPr>
            </w:pPr>
            <w:r>
              <w:rPr>
                <w:rFonts w:ascii="Arial" w:cs="Arial" w:eastAsia="Arial" w:hAnsi="Arial"/>
                <w:sz w:val="16"/>
                <w:szCs w:val="16"/>
                <w:color w:val="auto"/>
              </w:rPr>
              <w:t>Fuel, purchased power, and cost of</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0"/>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contracts</w:t>
            </w:r>
          </w:p>
        </w:tc>
        <w:tc>
          <w:tcPr>
            <w:tcW w:w="28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natural gas sold</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w:t>
            </w:r>
          </w:p>
        </w:tc>
        <w:tc>
          <w:tcPr>
            <w:tcW w:w="28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8"/>
        </w:trPr>
        <w:tc>
          <w:tcPr>
            <w:tcW w:w="374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cash</w:t>
            </w:r>
          </w:p>
        </w:tc>
        <w:tc>
          <w:tcPr>
            <w:tcW w:w="2800" w:type="dxa"/>
            <w:vAlign w:val="bottom"/>
          </w:tcPr>
          <w:p>
            <w:pPr>
              <w:spacing w:after="0"/>
              <w:rPr>
                <w:sz w:val="14"/>
                <w:szCs w:val="14"/>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flow hedges, net of tax</w:t>
            </w:r>
          </w:p>
        </w:tc>
        <w:tc>
          <w:tcPr>
            <w:tcW w:w="28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rPr>
                <w:sz w:val="15"/>
                <w:szCs w:val="15"/>
                <w:color w:val="auto"/>
              </w:rPr>
            </w:pP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line="175" w:lineRule="exact"/>
              <w:rPr>
                <w:sz w:val="20"/>
                <w:szCs w:val="20"/>
                <w:color w:val="auto"/>
              </w:rPr>
            </w:pPr>
            <w:r>
              <w:rPr>
                <w:rFonts w:ascii="Arial" w:cs="Arial" w:eastAsia="Arial" w:hAnsi="Arial"/>
                <w:sz w:val="16"/>
                <w:szCs w:val="16"/>
                <w:color w:val="auto"/>
              </w:rPr>
              <w:t>Amortization of components of defined benefit</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plans:</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Actuarial (loss)</w:t>
            </w:r>
          </w:p>
        </w:tc>
        <w:tc>
          <w:tcPr>
            <w:tcW w:w="2800" w:type="dxa"/>
            <w:vAlign w:val="bottom"/>
            <w:shd w:val="clear" w:color="auto" w:fill="CFF0FC"/>
          </w:tcPr>
          <w:p>
            <w:pPr>
              <w:ind w:left="40"/>
              <w:spacing w:after="0"/>
              <w:rPr>
                <w:sz w:val="20"/>
                <w:szCs w:val="20"/>
                <w:color w:val="auto"/>
              </w:rPr>
            </w:pPr>
            <w:r>
              <w:rPr>
                <w:rFonts w:ascii="Arial" w:cs="Arial" w:eastAsia="Arial" w:hAnsi="Arial"/>
                <w:sz w:val="16"/>
                <w:szCs w:val="16"/>
                <w:color w:val="auto"/>
              </w:rPr>
              <w:t>Operations and maintenance</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6"/>
                <w:szCs w:val="16"/>
                <w:color w:val="auto"/>
              </w:rPr>
              <w:t>Total reclassification adjustments related to defined</w:t>
            </w:r>
          </w:p>
        </w:tc>
        <w:tc>
          <w:tcPr>
            <w:tcW w:w="2800" w:type="dxa"/>
            <w:vAlign w:val="bottom"/>
          </w:tcPr>
          <w:p>
            <w:pPr>
              <w:spacing w:after="0"/>
              <w:rPr>
                <w:sz w:val="13"/>
                <w:szCs w:val="13"/>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benefit plans, net of tax</w:t>
            </w:r>
          </w:p>
        </w:tc>
        <w:tc>
          <w:tcPr>
            <w:tcW w:w="28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 reclassifications</w:t>
            </w:r>
          </w:p>
        </w:tc>
        <w:tc>
          <w:tcPr>
            <w:tcW w:w="28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Derivatives Designated as Cash 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Commodity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Interest Rate Swaps</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4"/>
          </w:tcPr>
          <w:p>
            <w:pPr>
              <w:jc w:val="right"/>
              <w:ind w:right="139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2024</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5"/>
        </w:trPr>
        <w:tc>
          <w:tcPr>
            <w:tcW w:w="338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00" w:type="dxa"/>
            <w:vAlign w:val="bottom"/>
            <w:tcBorders>
              <w:bottom w:val="single" w:sz="8" w:color="auto"/>
            </w:tcBorders>
            <w:shd w:val="clear" w:color="auto" w:fill="CFF0FC"/>
          </w:tcPr>
          <w:p>
            <w:pPr>
              <w:spacing w:after="0"/>
              <w:rPr>
                <w:sz w:val="16"/>
                <w:szCs w:val="16"/>
                <w:color w:val="auto"/>
              </w:rPr>
            </w:pPr>
          </w:p>
        </w:tc>
        <w:tc>
          <w:tcPr>
            <w:tcW w:w="1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3380" w:type="dxa"/>
            <w:vAlign w:val="bottom"/>
          </w:tcPr>
          <w:p>
            <w:pPr>
              <w:spacing w:after="0" w:line="169" w:lineRule="exact"/>
              <w:rPr>
                <w:sz w:val="20"/>
                <w:szCs w:val="20"/>
                <w:color w:val="auto"/>
              </w:rPr>
            </w:pPr>
            <w:r>
              <w:rPr>
                <w:rFonts w:ascii="Arial" w:cs="Arial" w:eastAsia="Arial" w:hAnsi="Arial"/>
                <w:sz w:val="16"/>
                <w:szCs w:val="16"/>
                <w:color w:val="auto"/>
              </w:rPr>
              <w:t>As of September 30, 2025</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w:t>
            </w:r>
          </w:p>
        </w:tc>
        <w:tc>
          <w:tcPr>
            <w:tcW w:w="18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(5.2)</w:t>
            </w:r>
          </w:p>
        </w:tc>
        <w:tc>
          <w:tcPr>
            <w:tcW w:w="4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Derivatives Designated as Cash 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Employee Benefit</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Interest Rate Swaps</w:t>
            </w: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Commodity 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Plans</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4"/>
          </w:tcPr>
          <w:p>
            <w:pPr>
              <w:jc w:val="center"/>
              <w:ind w:right="1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2023</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w:t>
            </w:r>
          </w:p>
        </w:tc>
        <w:tc>
          <w:tcPr>
            <w:tcW w:w="18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180" w:type="dxa"/>
            <w:vAlign w:val="bottom"/>
            <w:gridSpan w:val="2"/>
            <w:shd w:val="clear" w:color="auto" w:fill="CFF0FC"/>
          </w:tcPr>
          <w:p>
            <w:pPr>
              <w:jc w:val="center"/>
              <w:ind w:right="20"/>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75"/>
        </w:trPr>
        <w:tc>
          <w:tcPr>
            <w:tcW w:w="338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00" w:type="dxa"/>
            <w:vAlign w:val="bottom"/>
            <w:tcBorders>
              <w:bottom w:val="single" w:sz="8" w:color="auto"/>
            </w:tcBorders>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shd w:val="clear" w:color="auto" w:fill="CFF0FC"/>
          </w:tcPr>
          <w:p>
            <w:pPr>
              <w:spacing w:after="0"/>
              <w:rPr>
                <w:sz w:val="16"/>
                <w:szCs w:val="16"/>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3"/>
        </w:trPr>
        <w:tc>
          <w:tcPr>
            <w:tcW w:w="3380" w:type="dxa"/>
            <w:vAlign w:val="bottom"/>
          </w:tcPr>
          <w:p>
            <w:pPr>
              <w:spacing w:after="0" w:line="169" w:lineRule="exact"/>
              <w:rPr>
                <w:sz w:val="20"/>
                <w:szCs w:val="20"/>
                <w:color w:val="auto"/>
              </w:rPr>
            </w:pPr>
            <w:r>
              <w:rPr>
                <w:rFonts w:ascii="Arial" w:cs="Arial" w:eastAsia="Arial" w:hAnsi="Arial"/>
                <w:sz w:val="16"/>
                <w:szCs w:val="16"/>
                <w:color w:val="auto"/>
              </w:rPr>
              <w:t>As of September 30, 2024</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(4.4)</w:t>
            </w:r>
          </w:p>
        </w:tc>
        <w:tc>
          <w:tcPr>
            <w:tcW w:w="18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auto"/>
            </w:tcBorders>
            <w:gridSpan w:val="2"/>
          </w:tcPr>
          <w:p>
            <w:pPr>
              <w:jc w:val="center"/>
              <w:ind w:right="20"/>
              <w:spacing w:after="0" w:line="169"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ind w:right="1399"/>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(10)   Employee Benefit Plans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3240" w:type="dxa"/>
            <w:vAlign w:val="bottom"/>
            <w:gridSpan w:val="2"/>
          </w:tcPr>
          <w:p>
            <w:pPr>
              <w:spacing w:after="0"/>
              <w:rPr>
                <w:sz w:val="20"/>
                <w:szCs w:val="20"/>
                <w:color w:val="auto"/>
              </w:rPr>
            </w:pPr>
            <w:r>
              <w:rPr>
                <w:rFonts w:ascii="Arial" w:cs="Arial" w:eastAsia="Arial" w:hAnsi="Arial"/>
                <w:sz w:val="16"/>
                <w:szCs w:val="16"/>
                <w:color w:val="auto"/>
              </w:rPr>
              <w:t>Components of Net Periodic Expense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540" w:type="dxa"/>
            <w:vAlign w:val="bottom"/>
            <w:gridSpan w:val="4"/>
          </w:tcPr>
          <w:p>
            <w:pPr>
              <w:spacing w:after="0"/>
              <w:rPr>
                <w:sz w:val="20"/>
                <w:szCs w:val="20"/>
                <w:color w:val="auto"/>
              </w:rPr>
            </w:pPr>
            <w:r>
              <w:rPr>
                <w:rFonts w:ascii="Arial" w:cs="Arial" w:eastAsia="Arial" w:hAnsi="Arial"/>
                <w:sz w:val="16"/>
                <w:szCs w:val="16"/>
                <w:color w:val="auto"/>
              </w:rPr>
              <w:t>The components of net periodic expense were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Supplemental Non-qualified</w:t>
            </w:r>
          </w:p>
        </w:tc>
        <w:tc>
          <w:tcPr>
            <w:tcW w:w="160" w:type="dxa"/>
            <w:vAlign w:val="bottom"/>
          </w:tcPr>
          <w:p>
            <w:pPr>
              <w:spacing w:after="0"/>
              <w:rPr>
                <w:sz w:val="24"/>
                <w:szCs w:val="24"/>
                <w:color w:val="auto"/>
              </w:rPr>
            </w:pPr>
          </w:p>
        </w:tc>
        <w:tc>
          <w:tcPr>
            <w:tcW w:w="2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03"/>
        </w:trPr>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00"/>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Service cost</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71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2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0.6</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3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Expected return on plan assets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28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w:t>
            </w:r>
          </w:p>
        </w:tc>
        <w:tc>
          <w:tcPr>
            <w:tcW w:w="30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44"/>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Supplemental Non-qualified</w:t>
            </w:r>
          </w:p>
        </w:tc>
        <w:tc>
          <w:tcPr>
            <w:tcW w:w="160" w:type="dxa"/>
            <w:vAlign w:val="bottom"/>
          </w:tcPr>
          <w:p>
            <w:pPr>
              <w:spacing w:after="0"/>
              <w:rPr>
                <w:sz w:val="24"/>
                <w:szCs w:val="24"/>
                <w:color w:val="auto"/>
              </w:rPr>
            </w:pPr>
          </w:p>
        </w:tc>
        <w:tc>
          <w:tcPr>
            <w:tcW w:w="2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03"/>
        </w:trPr>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00"/>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71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tcPr>
          <w:p>
            <w:pPr>
              <w:spacing w:after="0" w:line="169" w:lineRule="exact"/>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3.9</w:t>
            </w:r>
          </w:p>
        </w:tc>
        <w:tc>
          <w:tcPr>
            <w:tcW w:w="3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4.0</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in the first nine months of 2025 and additional contributions anticipated for the remainder of 2025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80" w:type="dxa"/>
            <w:vAlign w:val="bottom"/>
          </w:tcPr>
          <w:p>
            <w:pPr>
              <w:jc w:val="center"/>
              <w:ind w:left="179"/>
              <w:spacing w:after="0"/>
              <w:rPr>
                <w:sz w:val="20"/>
                <w:szCs w:val="20"/>
                <w:color w:val="auto"/>
              </w:rPr>
            </w:pPr>
            <w:r>
              <w:rPr>
                <w:rFonts w:ascii="Arial" w:cs="Arial" w:eastAsia="Arial" w:hAnsi="Arial"/>
                <w:sz w:val="16"/>
                <w:szCs w:val="16"/>
                <w:b w:val="1"/>
                <w:bCs w:val="1"/>
                <w:color w:val="auto"/>
              </w:rPr>
              <w:t>Contributions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9"/>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80" w:type="dxa"/>
            <w:vAlign w:val="bottom"/>
          </w:tcPr>
          <w:p>
            <w:pPr>
              <w:jc w:val="center"/>
              <w:ind w:left="219"/>
              <w:spacing w:after="0"/>
              <w:rPr>
                <w:sz w:val="20"/>
                <w:szCs w:val="20"/>
                <w:color w:val="auto"/>
              </w:rPr>
            </w:pPr>
            <w:r>
              <w:rPr>
                <w:rFonts w:ascii="Arial" w:cs="Arial" w:eastAsia="Arial" w:hAnsi="Arial"/>
                <w:sz w:val="16"/>
                <w:szCs w:val="16"/>
                <w:b w:val="1"/>
                <w:bCs w:val="1"/>
                <w:color w:val="auto"/>
              </w:rPr>
              <w:t>Made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right"/>
              <w:ind w:right="179"/>
              <w:spacing w:after="0"/>
              <w:rPr>
                <w:sz w:val="20"/>
                <w:szCs w:val="20"/>
                <w:color w:val="auto"/>
              </w:rPr>
            </w:pPr>
            <w:r>
              <w:rPr>
                <w:rFonts w:ascii="Arial" w:cs="Arial" w:eastAsia="Arial" w:hAnsi="Arial"/>
                <w:sz w:val="16"/>
                <w:szCs w:val="16"/>
                <w:b w:val="1"/>
                <w:bCs w:val="1"/>
                <w:color w:val="auto"/>
              </w:rPr>
              <w:t>Additional Contributions</w:t>
            </w:r>
          </w:p>
        </w:tc>
      </w:tr>
      <w:tr>
        <w:trPr>
          <w:trHeight w:val="189"/>
        </w:trPr>
        <w:tc>
          <w:tcPr>
            <w:tcW w:w="5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80" w:type="dxa"/>
            <w:vAlign w:val="bottom"/>
          </w:tcPr>
          <w:p>
            <w:pPr>
              <w:jc w:val="center"/>
              <w:ind w:left="159"/>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September 30, 2025</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Anticipated for 2025</w:t>
            </w:r>
          </w:p>
        </w:tc>
      </w:tr>
      <w:tr>
        <w:trPr>
          <w:trHeight w:val="183"/>
        </w:trPr>
        <w:tc>
          <w:tcPr>
            <w:tcW w:w="5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580" w:type="dxa"/>
            <w:vAlign w:val="bottom"/>
            <w:tcBorders>
              <w:bottom w:val="single" w:sz="8" w:color="auto"/>
            </w:tcBorders>
            <w:gridSpan w:val="4"/>
          </w:tcPr>
          <w:p>
            <w:pPr>
              <w:jc w:val="right"/>
              <w:ind w:right="18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5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Defined Benefit Pension Plan</w:t>
            </w:r>
          </w:p>
        </w:tc>
        <w:tc>
          <w:tcPr>
            <w:tcW w:w="3060" w:type="dxa"/>
            <w:vAlign w:val="bottom"/>
            <w:gridSpan w:val="2"/>
            <w:shd w:val="clear" w:color="auto" w:fill="CFF0FC"/>
          </w:tcPr>
          <w:p>
            <w:pPr>
              <w:jc w:val="right"/>
              <w:ind w:right="169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Non-pension Defined Benefit Postretirement Healthcare Plan</w:t>
            </w:r>
          </w:p>
        </w:tc>
        <w:tc>
          <w:tcPr>
            <w:tcW w:w="1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6"/>
                <w:szCs w:val="16"/>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189"/>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1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FF0FC"/>
          </w:tcPr>
          <w:p>
            <w:pPr>
              <w:spacing w:after="0"/>
              <w:rPr>
                <w:sz w:val="16"/>
                <w:szCs w:val="16"/>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r>
      <w:tr>
        <w:trPr>
          <w:trHeight w:val="605"/>
        </w:trPr>
        <w:tc>
          <w:tcPr>
            <w:tcW w:w="5480" w:type="dxa"/>
            <w:vAlign w:val="bottom"/>
          </w:tcPr>
          <w:p>
            <w:pPr>
              <w:spacing w:after="0"/>
              <w:rPr>
                <w:sz w:val="24"/>
                <w:szCs w:val="24"/>
                <w:color w:val="auto"/>
              </w:rPr>
            </w:pPr>
          </w:p>
        </w:tc>
        <w:tc>
          <w:tcPr>
            <w:tcW w:w="1180" w:type="dxa"/>
            <w:vAlign w:val="bottom"/>
          </w:tcPr>
          <w:p>
            <w:pPr>
              <w:jc w:val="right"/>
              <w:ind w:right="859"/>
              <w:spacing w:after="0"/>
              <w:rPr>
                <w:sz w:val="20"/>
                <w:szCs w:val="20"/>
                <w:color w:val="auto"/>
              </w:rPr>
            </w:pPr>
            <w:r>
              <w:rPr>
                <w:rFonts w:ascii="Arial" w:cs="Arial" w:eastAsia="Arial" w:hAnsi="Arial"/>
                <w:sz w:val="16"/>
                <w:szCs w:val="16"/>
                <w:color w:val="auto"/>
              </w:rPr>
              <w:t>27</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752"/>
        </w:trPr>
        <w:tc>
          <w:tcPr>
            <w:tcW w:w="5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August 2022, President Biden signed H.R. 5376 into law, commonly known as the IRA of 2022, or IRA. The IRA contains a tax credit transferability provision that allows us to transfer (e.g. sell) PTCs produced after December 31, 2022, to third parties. In January 2025, under this transferability provision, we entered into an agreement with a third party to sell $17.0 million of our 2024 generated PTCs.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July 4, 2025, President Trump signed H.R. 1, commonly referred to as the OBBBA, a legislative package designed to permanently extend certain expiring provisions of the TCJA and deliver additional tax relief for individuals and businesses. The OBBBA introduced changes to federal energy policies by rolling back several clean energy provisions and codified restrictions related to prohibited foreign entities, termination and restrictions on clean energy PTCs, and extension and modification of clean fuel production. The OBBBA does not repeal tax credit transferability provisions enacted under the IRA and continues to permit the execution of our transferability agreements as originally agreed upon, but restricts credit transfers to prohibited foreign entities.</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Additionally, on August 15, 2025, the IRS issued Notice 2025-42, which provides guidance on the beginning of construction requirements for applicable wind and solar. These requirements are critical for determining eligibility for energy-related tax credits, particularly considering the OBBBA’s modifications to clean energy incentives. Projects must meet specific criteria—such as physical work of a significant nature—to be considered as having begun construction. This determination affects whether a project qualifies under pre-OBBBA or post-OBBBA credit regimes, which may differ in value, availability, or restrictions.</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do not anticipate material impacts to our pre-OBBBA in-service clean energy generation facilities as a result of the OBBBA. Further, we do not anticipate impacts to the execution of Colorado Electric’s Clean Energy Plan. However, we continue to monitor IRS guidance and legislative developments to ensure compliance and optimize the timing and structure of future clean energy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2025, Compared to the Three Months Ended September 30, 2024</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Income tax (expense) for the three months ended September 30, 2025, was $(4.0) million compared to $(2.9) million reported for the same period in 2024. For the three months ended September 30, 2025, the effective tax rate was 13.5% compared to 10.0% for the same period in 2024. The higher effective tax rate was primarily driven by non-deductibility of certain NorthWestern merger-related costs.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below for further discussion of the proposed merger with NorthWestern.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the nine months ended September 30, 2025, was $(26.5) million compared to $(23.6) million reported for the same period in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2025, the effective tax rate was 12.2%, which was comparable to 11.4% for the same period in 2024.</w:t>
      </w:r>
    </w:p>
    <w:p>
      <w:pPr>
        <w:spacing w:after="0" w:line="36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business development activities that are not part of our operating segments and inter-segment eliminations.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and decides how to allocate resources based on operating income. Our CODM reviews capital expenditures by operating segment rather than any individual or total asset amount.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Segment information was as follows: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67"/>
        </w:trPr>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Consolidating Income Statement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99"/>
              <w:spacing w:after="0" w:line="16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September 30, 2025</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and Other</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980"/>
              <w:spacing w:after="0" w:line="183" w:lineRule="exact"/>
              <w:rPr>
                <w:sz w:val="20"/>
                <w:szCs w:val="20"/>
                <w:color w:val="auto"/>
              </w:rPr>
            </w:pPr>
            <w:r>
              <w:rPr>
                <w:rFonts w:ascii="Arial" w:cs="Arial" w:eastAsia="Arial" w:hAnsi="Arial"/>
                <w:sz w:val="16"/>
                <w:szCs w:val="16"/>
                <w:color w:val="auto"/>
              </w:rPr>
              <w:t>(in millions)</w:t>
            </w: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247.3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182.9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430.2</w:t>
            </w:r>
          </w:p>
        </w:tc>
      </w:tr>
      <w:tr>
        <w:trPr>
          <w:trHeight w:val="189"/>
        </w:trPr>
        <w:tc>
          <w:tcPr>
            <w:tcW w:w="4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249.7</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184.4</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430.2</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69.8</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42.3</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112.0</w:t>
            </w:r>
          </w:p>
        </w:tc>
      </w:tr>
      <w:tr>
        <w:trPr>
          <w:trHeight w:val="189"/>
        </w:trPr>
        <w:tc>
          <w:tcPr>
            <w:tcW w:w="4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Direct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36.1</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38.9</w:t>
            </w:r>
          </w:p>
        </w:tc>
        <w:tc>
          <w:tcPr>
            <w:tcW w:w="40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75.7</w:t>
            </w:r>
          </w:p>
        </w:tc>
      </w:tr>
      <w:tr>
        <w:trPr>
          <w:trHeight w:val="189"/>
        </w:trPr>
        <w:tc>
          <w:tcPr>
            <w:tcW w:w="41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75.1</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38.3</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33.2</w:t>
            </w:r>
          </w:p>
        </w:tc>
        <w:tc>
          <w:tcPr>
            <w:tcW w:w="40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71.5</w:t>
            </w:r>
          </w:p>
        </w:tc>
      </w:tr>
      <w:tr>
        <w:trPr>
          <w:trHeight w:val="189"/>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17.2</w:t>
            </w:r>
          </w:p>
        </w:tc>
      </w:tr>
      <w:tr>
        <w:trPr>
          <w:trHeight w:val="183"/>
        </w:trPr>
        <w:tc>
          <w:tcPr>
            <w:tcW w:w="410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5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62.4</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20.8</w:t>
            </w:r>
          </w:p>
        </w:tc>
        <w:tc>
          <w:tcPr>
            <w:tcW w:w="4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3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78.7</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18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25.9</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24.9</w:t>
            </w:r>
          </w:p>
        </w:tc>
      </w:tr>
      <w:tr>
        <w:trPr>
          <w:trHeight w:val="372"/>
        </w:trPr>
        <w:tc>
          <w:tcPr>
            <w:tcW w:w="4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500" w:type="dxa"/>
            <w:vAlign w:val="bottom"/>
            <w:tcBorders>
              <w:top w:val="single" w:sz="8" w:color="CFF0FC"/>
              <w:bottom w:val="single" w:sz="8" w:color="auto"/>
            </w:tcBorders>
          </w:tcPr>
          <w:p>
            <w:pPr>
              <w:spacing w:after="0"/>
              <w:rPr>
                <w:sz w:val="24"/>
                <w:szCs w:val="24"/>
                <w:color w:val="auto"/>
              </w:rPr>
            </w:pPr>
          </w:p>
        </w:tc>
        <w:tc>
          <w:tcPr>
            <w:tcW w:w="280" w:type="dxa"/>
            <w:vAlign w:val="bottom"/>
            <w:tcBorders>
              <w:top w:val="single" w:sz="8" w:color="CFF0FC"/>
              <w:bottom w:val="single" w:sz="8" w:color="auto"/>
            </w:tcBorders>
          </w:tcPr>
          <w:p>
            <w:pPr>
              <w:spacing w:after="0"/>
              <w:rPr>
                <w:sz w:val="24"/>
                <w:szCs w:val="24"/>
                <w:color w:val="auto"/>
              </w:rPr>
            </w:pPr>
          </w:p>
        </w:tc>
        <w:tc>
          <w:tcPr>
            <w:tcW w:w="3120" w:type="dxa"/>
            <w:vAlign w:val="bottom"/>
            <w:tcBorders>
              <w:top w:val="single" w:sz="8" w:color="CFF0FC"/>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Consolidating Income Statement</w:t>
            </w:r>
          </w:p>
        </w:tc>
        <w:tc>
          <w:tcPr>
            <w:tcW w:w="20" w:type="dxa"/>
            <w:vAlign w:val="bottom"/>
            <w:tcBorders>
              <w:top w:val="single" w:sz="8" w:color="CFF0F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right="399"/>
              <w:spacing w:after="0" w:line="16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September 30, 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and Other</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980"/>
              <w:spacing w:after="0" w:line="183" w:lineRule="exact"/>
              <w:rPr>
                <w:sz w:val="20"/>
                <w:szCs w:val="20"/>
                <w:color w:val="auto"/>
              </w:rPr>
            </w:pPr>
            <w:r>
              <w:rPr>
                <w:rFonts w:ascii="Arial" w:cs="Arial" w:eastAsia="Arial" w:hAnsi="Arial"/>
                <w:sz w:val="16"/>
                <w:szCs w:val="16"/>
                <w:color w:val="auto"/>
              </w:rPr>
              <w:t>(in millions)</w:t>
            </w: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229.6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172.0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401.6</w:t>
            </w:r>
          </w:p>
        </w:tc>
      </w:tr>
      <w:tr>
        <w:trPr>
          <w:trHeight w:val="189"/>
        </w:trPr>
        <w:tc>
          <w:tcPr>
            <w:tcW w:w="4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232.5</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173.6</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401.6</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39.7</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94.5</w:t>
            </w:r>
          </w:p>
        </w:tc>
      </w:tr>
      <w:tr>
        <w:trPr>
          <w:trHeight w:val="189"/>
        </w:trPr>
        <w:tc>
          <w:tcPr>
            <w:tcW w:w="4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Direct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32.4</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41.3</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69.4</w:t>
            </w:r>
          </w:p>
        </w:tc>
      </w:tr>
      <w:tr>
        <w:trPr>
          <w:trHeight w:val="189"/>
        </w:trPr>
        <w:tc>
          <w:tcPr>
            <w:tcW w:w="41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76.2</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w:t>
            </w:r>
          </w:p>
        </w:tc>
        <w:tc>
          <w:tcPr>
            <w:tcW w:w="40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69.3</w:t>
            </w:r>
          </w:p>
        </w:tc>
      </w:tr>
      <w:tr>
        <w:trPr>
          <w:trHeight w:val="189"/>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16.4</w:t>
            </w:r>
          </w:p>
        </w:tc>
      </w:tr>
      <w:tr>
        <w:trPr>
          <w:trHeight w:val="182"/>
        </w:trPr>
        <w:tc>
          <w:tcPr>
            <w:tcW w:w="410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w:t>
            </w:r>
          </w:p>
        </w:tc>
        <w:tc>
          <w:tcPr>
            <w:tcW w:w="5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65.1</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10.9</w:t>
            </w:r>
          </w:p>
        </w:tc>
        <w:tc>
          <w:tcPr>
            <w:tcW w:w="4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(0.2)</w:t>
            </w:r>
          </w:p>
        </w:tc>
        <w:tc>
          <w:tcPr>
            <w:tcW w:w="3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75.8</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18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26.4</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24.4</w:t>
            </w:r>
          </w:p>
        </w:tc>
      </w:tr>
      <w:tr>
        <w:trPr>
          <w:trHeight w:val="410"/>
        </w:trPr>
        <w:tc>
          <w:tcPr>
            <w:tcW w:w="4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ind w:right="359"/>
              <w:spacing w:after="0"/>
              <w:rPr>
                <w:sz w:val="20"/>
                <w:szCs w:val="20"/>
                <w:color w:val="auto"/>
              </w:rPr>
            </w:pPr>
            <w:r>
              <w:rPr>
                <w:rFonts w:ascii="Arial" w:cs="Arial" w:eastAsia="Arial" w:hAnsi="Arial"/>
                <w:sz w:val="16"/>
                <w:szCs w:val="16"/>
                <w:color w:val="auto"/>
              </w:rPr>
              <w:t>29</w:t>
            </w:r>
          </w:p>
        </w:tc>
        <w:tc>
          <w:tcPr>
            <w:tcW w:w="28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51"/>
        </w:trPr>
        <w:tc>
          <w:tcPr>
            <w:tcW w:w="4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Consolidating Income Statement</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4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Corporate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Nine Months Ended September 30, 2025</w:t>
            </w: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and 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08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699.1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975.4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1,674.5</w:t>
            </w:r>
          </w:p>
        </w:tc>
      </w:tr>
      <w:tr>
        <w:trPr>
          <w:trHeight w:val="189"/>
        </w:trPr>
        <w:tc>
          <w:tcPr>
            <w:tcW w:w="4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08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706.3</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979.9</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1,674.5</w:t>
            </w:r>
          </w:p>
        </w:tc>
      </w:tr>
      <w:tr>
        <w:trPr>
          <w:trHeight w:val="182"/>
        </w:trPr>
        <w:tc>
          <w:tcPr>
            <w:tcW w:w="40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192.2</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403.7</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595.7</w:t>
            </w:r>
          </w:p>
        </w:tc>
      </w:tr>
      <w:tr>
        <w:trPr>
          <w:trHeight w:val="189"/>
        </w:trPr>
        <w:tc>
          <w:tcPr>
            <w:tcW w:w="40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080" w:type="dxa"/>
            <w:vAlign w:val="bottom"/>
          </w:tcPr>
          <w:p>
            <w:pPr>
              <w:ind w:left="100"/>
              <w:spacing w:after="0"/>
              <w:rPr>
                <w:sz w:val="20"/>
                <w:szCs w:val="20"/>
                <w:color w:val="auto"/>
              </w:rPr>
            </w:pPr>
            <w:r>
              <w:rPr>
                <w:rFonts w:ascii="Arial" w:cs="Arial" w:eastAsia="Arial" w:hAnsi="Arial"/>
                <w:sz w:val="16"/>
                <w:szCs w:val="16"/>
                <w:color w:val="auto"/>
              </w:rPr>
              <w:t>Direct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107.9</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121.9</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225.7</w:t>
            </w:r>
          </w:p>
        </w:tc>
      </w:tr>
      <w:tr>
        <w:trPr>
          <w:trHeight w:val="189"/>
        </w:trPr>
        <w:tc>
          <w:tcPr>
            <w:tcW w:w="40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226.5</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113.0</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97.6</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210.5</w:t>
            </w:r>
          </w:p>
        </w:tc>
      </w:tr>
      <w:tr>
        <w:trPr>
          <w:trHeight w:val="189"/>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4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w:t>
            </w:r>
          </w:p>
        </w:tc>
      </w:tr>
      <w:tr>
        <w:trPr>
          <w:trHeight w:val="183"/>
        </w:trPr>
        <w:tc>
          <w:tcPr>
            <w:tcW w:w="408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5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165.7</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207.7</w:t>
            </w:r>
          </w:p>
        </w:tc>
        <w:tc>
          <w:tcPr>
            <w:tcW w:w="40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(7.3)</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366.1</w:t>
            </w:r>
          </w:p>
        </w:tc>
      </w:tr>
      <w:tr>
        <w:trPr>
          <w:trHeight w:val="183"/>
        </w:trPr>
        <w:tc>
          <w:tcPr>
            <w:tcW w:w="40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Income tax (expense)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r>
      <w:tr>
        <w:trPr>
          <w:trHeight w:val="182"/>
        </w:trPr>
        <w:tc>
          <w:tcPr>
            <w:tcW w:w="408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191.1</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183"/>
        </w:trPr>
        <w:tc>
          <w:tcPr>
            <w:tcW w:w="408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186.6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Consolidating Income Statement</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439"/>
              <w:spacing w:after="0" w:line="168" w:lineRule="exact"/>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Nine Months Ended September 30, 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and Other</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2"/>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651.0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879.6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1,530.6</w:t>
            </w:r>
          </w:p>
        </w:tc>
      </w:tr>
      <w:tr>
        <w:trPr>
          <w:trHeight w:val="189"/>
        </w:trPr>
        <w:tc>
          <w:tcPr>
            <w:tcW w:w="4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659.8</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884.2</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(13.4)</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1,530.6</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155.7</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362.9</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518.2</w:t>
            </w:r>
          </w:p>
        </w:tc>
      </w:tr>
      <w:tr>
        <w:trPr>
          <w:trHeight w:val="189"/>
        </w:trPr>
        <w:tc>
          <w:tcPr>
            <w:tcW w:w="4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Direct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97.1</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117.5</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202.3</w:t>
            </w:r>
          </w:p>
        </w:tc>
      </w:tr>
      <w:tr>
        <w:trPr>
          <w:trHeight w:val="189"/>
        </w:trPr>
        <w:tc>
          <w:tcPr>
            <w:tcW w:w="41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400" w:type="dxa"/>
            <w:vAlign w:val="bottom"/>
            <w:shd w:val="clear" w:color="auto" w:fill="CFF0FC"/>
          </w:tcPr>
          <w:p>
            <w:pPr>
              <w:spacing w:after="0"/>
              <w:rPr>
                <w:sz w:val="16"/>
                <w:szCs w:val="16"/>
                <w:color w:val="auto"/>
              </w:rPr>
            </w:pPr>
          </w:p>
        </w:tc>
        <w:tc>
          <w:tcPr>
            <w:tcW w:w="132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218.5</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108.9</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92.8</w:t>
            </w:r>
          </w:p>
        </w:tc>
        <w:tc>
          <w:tcPr>
            <w:tcW w:w="40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201.8</w:t>
            </w:r>
          </w:p>
        </w:tc>
      </w:tr>
      <w:tr>
        <w:trPr>
          <w:trHeight w:val="189"/>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4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w:t>
            </w:r>
          </w:p>
        </w:tc>
      </w:tr>
      <w:tr>
        <w:trPr>
          <w:trHeight w:val="183"/>
        </w:trPr>
        <w:tc>
          <w:tcPr>
            <w:tcW w:w="410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5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176.0</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164.6</w:t>
            </w:r>
          </w:p>
        </w:tc>
        <w:tc>
          <w:tcPr>
            <w:tcW w:w="4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339.8</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right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18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182.6</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175.0</w:t>
            </w:r>
          </w:p>
        </w:tc>
      </w:tr>
      <w:tr>
        <w:trPr>
          <w:trHeight w:val="20"/>
        </w:trPr>
        <w:tc>
          <w:tcPr>
            <w:tcW w:w="4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3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19" w:lineRule="exact"/>
        <w:rPr>
          <w:sz w:val="20"/>
          <w:szCs w:val="20"/>
          <w:color w:val="auto"/>
        </w:rPr>
      </w:pPr>
    </w:p>
    <w:p>
      <w:pPr>
        <w:ind w:left="520" w:right="120" w:hanging="512"/>
        <w:spacing w:after="0" w:line="256"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Operations and maintenance expense represents the costs incurred directly by our operating segments. Allocated Operations and maintenance expense represent costs incurred by BHSC for various direct and indirect support services provided to our operating segments. Pursuant to the BHSC Cost Allocation Manual, indirect cost allocations are determined in accordance with the Public Utility Holding Company Act of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nine months ended September 30,</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83"/>
        </w:trPr>
        <w:tc>
          <w:tcPr>
            <w:tcW w:w="8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auto"/>
            </w:tcBorders>
          </w:tcPr>
          <w:p>
            <w:pPr>
              <w:spacing w:after="0"/>
              <w:rPr>
                <w:sz w:val="15"/>
                <w:szCs w:val="15"/>
                <w:color w:val="auto"/>
              </w:rPr>
            </w:pPr>
          </w:p>
        </w:tc>
      </w:tr>
      <w:tr>
        <w:trPr>
          <w:trHeight w:val="183"/>
        </w:trPr>
        <w:tc>
          <w:tcPr>
            <w:tcW w:w="84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Electric Utilities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334.0</w:t>
            </w:r>
          </w:p>
        </w:tc>
        <w:tc>
          <w:tcPr>
            <w:tcW w:w="4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246.8</w:t>
            </w:r>
          </w:p>
        </w:tc>
      </w:tr>
      <w:tr>
        <w:trPr>
          <w:trHeight w:val="189"/>
        </w:trPr>
        <w:tc>
          <w:tcPr>
            <w:tcW w:w="8480" w:type="dxa"/>
            <w:vAlign w:val="bottom"/>
          </w:tcPr>
          <w:p>
            <w:pPr>
              <w:ind w:left="80"/>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267.6</w:t>
            </w:r>
          </w:p>
        </w:tc>
        <w:tc>
          <w:tcPr>
            <w:tcW w:w="4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308.2</w:t>
            </w:r>
          </w:p>
        </w:tc>
      </w:tr>
      <w:tr>
        <w:trPr>
          <w:trHeight w:val="189"/>
        </w:trPr>
        <w:tc>
          <w:tcPr>
            <w:tcW w:w="8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10.8</w:t>
            </w:r>
          </w:p>
        </w:tc>
      </w:tr>
      <w:tr>
        <w:trPr>
          <w:trHeight w:val="183"/>
        </w:trPr>
        <w:tc>
          <w:tcPr>
            <w:tcW w:w="8480" w:type="dxa"/>
            <w:vAlign w:val="bottom"/>
          </w:tcPr>
          <w:p>
            <w:pPr>
              <w:spacing w:after="0" w:line="183" w:lineRule="exact"/>
              <w:rPr>
                <w:sz w:val="20"/>
                <w:szCs w:val="20"/>
                <w:color w:val="auto"/>
              </w:rPr>
            </w:pPr>
            <w:r>
              <w:rPr>
                <w:rFonts w:ascii="Arial" w:cs="Arial" w:eastAsia="Arial" w:hAnsi="Arial"/>
                <w:sz w:val="16"/>
                <w:szCs w:val="16"/>
                <w:color w:val="auto"/>
              </w:rPr>
              <w:t>Total capital expenditures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608.5</w:t>
            </w:r>
          </w:p>
        </w:tc>
        <w:tc>
          <w:tcPr>
            <w:tcW w:w="4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565.8</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760" w:hanging="512"/>
        <w:spacing w:after="0" w:line="285"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-142240</wp:posOffset>
            </wp:positionV>
            <wp:extent cx="1624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September 30, 2025</w:t>
            </w:r>
          </w:p>
        </w:tc>
        <w:tc>
          <w:tcPr>
            <w:tcW w:w="6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2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7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Billed Accounts Receivable</w:t>
            </w:r>
          </w:p>
        </w:tc>
        <w:tc>
          <w:tcPr>
            <w:tcW w:w="2240" w:type="dxa"/>
            <w:vAlign w:val="bottom"/>
            <w:shd w:val="clear" w:color="auto" w:fill="CFF0FC"/>
          </w:tcPr>
          <w:p>
            <w:pPr>
              <w:jc w:val="right"/>
              <w:ind w:right="205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173.7</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201.5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Unbilled Revenue</w:t>
            </w:r>
          </w:p>
        </w:tc>
        <w:tc>
          <w:tcPr>
            <w:tcW w:w="2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79.8</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151.8</w:t>
            </w:r>
          </w:p>
        </w:tc>
      </w:tr>
      <w:tr>
        <w:trPr>
          <w:trHeight w:val="189"/>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22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5620" w:type="dxa"/>
            <w:vAlign w:val="bottom"/>
          </w:tcPr>
          <w:p>
            <w:pPr>
              <w:spacing w:after="0" w:line="169" w:lineRule="exact"/>
              <w:rPr>
                <w:sz w:val="20"/>
                <w:szCs w:val="20"/>
                <w:color w:val="auto"/>
              </w:rPr>
            </w:pPr>
            <w:r>
              <w:rPr>
                <w:rFonts w:ascii="Arial" w:cs="Arial" w:eastAsia="Arial" w:hAnsi="Arial"/>
                <w:sz w:val="16"/>
                <w:szCs w:val="16"/>
                <w:color w:val="auto"/>
              </w:rPr>
              <w:t>Account Receivable, net</w:t>
            </w:r>
          </w:p>
        </w:tc>
        <w:tc>
          <w:tcPr>
            <w:tcW w:w="2240" w:type="dxa"/>
            <w:vAlign w:val="bottom"/>
            <w:tcBorders>
              <w:bottom w:val="single" w:sz="8" w:color="auto"/>
            </w:tcBorders>
          </w:tcPr>
          <w:p>
            <w:pPr>
              <w:jc w:val="right"/>
              <w:ind w:right="2059"/>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251.4</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351.2</w:t>
            </w:r>
          </w:p>
        </w:tc>
      </w:tr>
      <w:tr>
        <w:trPr>
          <w:trHeight w:val="20"/>
        </w:trPr>
        <w:tc>
          <w:tcPr>
            <w:tcW w:w="56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nine months ended September 30, 2025 and 2024, respectively,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 and Other</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Write-offs and Other</w:t>
            </w:r>
          </w:p>
        </w:tc>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September</w:t>
            </w:r>
          </w:p>
        </w:tc>
      </w:tr>
      <w:tr>
        <w:trPr>
          <w:trHeight w:val="203"/>
        </w:trPr>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of Year</w:t>
            </w: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Deductions</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30,</w:t>
            </w:r>
          </w:p>
        </w:tc>
      </w:tr>
      <w:tr>
        <w:trPr>
          <w:trHeight w:val="183"/>
        </w:trPr>
        <w:tc>
          <w:tcPr>
            <w:tcW w:w="2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2040" w:type="dxa"/>
            <w:vAlign w:val="bottom"/>
            <w:shd w:val="clear" w:color="auto" w:fill="CFF0FC"/>
          </w:tcPr>
          <w:p>
            <w:pPr>
              <w:jc w:val="right"/>
              <w:ind w:right="1599"/>
              <w:spacing w:after="0" w:line="183" w:lineRule="exact"/>
              <w:rPr>
                <w:sz w:val="20"/>
                <w:szCs w:val="20"/>
                <w:color w:val="auto"/>
              </w:rPr>
            </w:pPr>
            <w:r>
              <w:rPr>
                <w:rFonts w:ascii="Arial" w:cs="Arial" w:eastAsia="Arial" w:hAnsi="Arial"/>
                <w:sz w:val="16"/>
                <w:szCs w:val="16"/>
                <w:color w:val="auto"/>
                <w:w w:val="95"/>
              </w:rPr>
              <w:t>2025</w:t>
            </w:r>
          </w:p>
        </w:tc>
        <w:tc>
          <w:tcPr>
            <w:tcW w:w="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w:t>
            </w:r>
          </w:p>
        </w:tc>
        <w:tc>
          <w:tcPr>
            <w:tcW w:w="8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w:t>
            </w:r>
          </w:p>
        </w:tc>
        <w:tc>
          <w:tcPr>
            <w:tcW w:w="3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w:t>
            </w:r>
          </w:p>
        </w:tc>
        <w:tc>
          <w:tcPr>
            <w:tcW w:w="4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w:t>
            </w:r>
          </w:p>
        </w:tc>
      </w:tr>
      <w:tr>
        <w:trPr>
          <w:trHeight w:val="215"/>
        </w:trPr>
        <w:tc>
          <w:tcPr>
            <w:tcW w:w="2040" w:type="dxa"/>
            <w:vAlign w:val="bottom"/>
          </w:tcPr>
          <w:p>
            <w:pPr>
              <w:jc w:val="right"/>
              <w:ind w:right="1599"/>
              <w:spacing w:after="0"/>
              <w:rPr>
                <w:sz w:val="20"/>
                <w:szCs w:val="20"/>
                <w:color w:val="auto"/>
              </w:rPr>
            </w:pPr>
            <w:r>
              <w:rPr>
                <w:rFonts w:ascii="Arial" w:cs="Arial" w:eastAsia="Arial" w:hAnsi="Arial"/>
                <w:sz w:val="16"/>
                <w:szCs w:val="16"/>
                <w:color w:val="auto"/>
                <w:w w:val="95"/>
              </w:rPr>
              <w:t>2024</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8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(7.6)</w:t>
            </w: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September 30, 2025</w:t>
            </w: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Materials and supplies</w:t>
            </w:r>
          </w:p>
        </w:tc>
        <w:tc>
          <w:tcPr>
            <w:tcW w:w="2240" w:type="dxa"/>
            <w:vAlign w:val="bottom"/>
            <w:shd w:val="clear" w:color="auto" w:fill="CFF0FC"/>
          </w:tcPr>
          <w:p>
            <w:pPr>
              <w:jc w:val="right"/>
              <w:ind w:right="208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114.1</w:t>
            </w:r>
          </w:p>
        </w:tc>
        <w:tc>
          <w:tcPr>
            <w:tcW w:w="48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106.1</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2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189"/>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in storage</w:t>
            </w:r>
          </w:p>
        </w:tc>
        <w:tc>
          <w:tcPr>
            <w:tcW w:w="22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40.3</w:t>
            </w:r>
          </w:p>
        </w:tc>
      </w:tr>
      <w:tr>
        <w:trPr>
          <w:trHeight w:val="183"/>
        </w:trPr>
        <w:tc>
          <w:tcPr>
            <w:tcW w:w="5640" w:type="dxa"/>
            <w:vAlign w:val="bottom"/>
          </w:tcPr>
          <w:p>
            <w:pPr>
              <w:ind w:left="120"/>
              <w:spacing w:after="0" w:line="169" w:lineRule="exact"/>
              <w:rPr>
                <w:sz w:val="20"/>
                <w:szCs w:val="20"/>
                <w:color w:val="auto"/>
              </w:rPr>
            </w:pPr>
            <w:r>
              <w:rPr>
                <w:rFonts w:ascii="Arial" w:cs="Arial" w:eastAsia="Arial" w:hAnsi="Arial"/>
                <w:sz w:val="16"/>
                <w:szCs w:val="16"/>
                <w:color w:val="auto"/>
              </w:rPr>
              <w:t>Total materials, supplies, and fuel</w:t>
            </w:r>
          </w:p>
        </w:tc>
        <w:tc>
          <w:tcPr>
            <w:tcW w:w="2240" w:type="dxa"/>
            <w:vAlign w:val="bottom"/>
            <w:tcBorders>
              <w:bottom w:val="single" w:sz="8" w:color="auto"/>
            </w:tcBorders>
          </w:tcPr>
          <w:p>
            <w:pPr>
              <w:jc w:val="right"/>
              <w:ind w:right="2082"/>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173.0</w:t>
            </w:r>
          </w:p>
        </w:tc>
        <w:tc>
          <w:tcPr>
            <w:tcW w:w="48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153.9</w:t>
            </w:r>
          </w:p>
        </w:tc>
      </w:tr>
      <w:tr>
        <w:trPr>
          <w:trHeight w:val="20"/>
        </w:trPr>
        <w:tc>
          <w:tcPr>
            <w:tcW w:w="56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September 30, 2025</w:t>
            </w:r>
          </w:p>
        </w:tc>
        <w:tc>
          <w:tcPr>
            <w:tcW w:w="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2024</w:t>
            </w:r>
          </w:p>
        </w:tc>
      </w:tr>
      <w:tr>
        <w:trPr>
          <w:trHeight w:val="182"/>
        </w:trPr>
        <w:tc>
          <w:tcPr>
            <w:tcW w:w="4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320" w:type="dxa"/>
            <w:vAlign w:val="bottom"/>
            <w:tcBorders>
              <w:bottom w:val="single" w:sz="8" w:color="auto"/>
            </w:tcBorders>
          </w:tcPr>
          <w:p>
            <w:pPr>
              <w:spacing w:after="0"/>
              <w:rPr>
                <w:sz w:val="15"/>
                <w:szCs w:val="15"/>
                <w:color w:val="auto"/>
              </w:rPr>
            </w:pP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2900" w:type="dxa"/>
            <w:vAlign w:val="bottom"/>
            <w:gridSpan w:val="3"/>
            <w:shd w:val="clear" w:color="auto" w:fill="CFF0FC"/>
          </w:tcPr>
          <w:p>
            <w:pPr>
              <w:jc w:val="right"/>
              <w:ind w:right="203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84.1</w:t>
            </w:r>
          </w:p>
        </w:tc>
        <w:tc>
          <w:tcPr>
            <w:tcW w:w="52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85.5</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property taxes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53.7</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 and prepayments</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520" w:type="dxa"/>
            <w:vAlign w:val="bottom"/>
            <w:shd w:val="clear" w:color="auto" w:fill="CFF0FC"/>
          </w:tcPr>
          <w:p>
            <w:pPr>
              <w:spacing w:after="0"/>
              <w:rPr>
                <w:sz w:val="16"/>
                <w:szCs w:val="16"/>
                <w:color w:val="auto"/>
              </w:rPr>
            </w:pPr>
          </w:p>
        </w:tc>
        <w:tc>
          <w:tcPr>
            <w:tcW w:w="2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55.6</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interest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56.0</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189"/>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(none of which is individually significant)</w:t>
            </w:r>
          </w:p>
        </w:tc>
        <w:tc>
          <w:tcPr>
            <w:tcW w:w="7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1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520" w:type="dxa"/>
            <w:vAlign w:val="bottom"/>
            <w:tcBorders>
              <w:bottom w:val="single" w:sz="8" w:color="auto"/>
            </w:tcBorders>
            <w:shd w:val="clear" w:color="auto" w:fill="CFF0FC"/>
          </w:tcPr>
          <w:p>
            <w:pPr>
              <w:spacing w:after="0"/>
              <w:rPr>
                <w:sz w:val="16"/>
                <w:szCs w:val="16"/>
                <w:color w:val="auto"/>
              </w:rPr>
            </w:pPr>
          </w:p>
        </w:tc>
        <w:tc>
          <w:tcPr>
            <w:tcW w:w="2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w:t>
            </w:r>
          </w:p>
        </w:tc>
      </w:tr>
      <w:tr>
        <w:trPr>
          <w:trHeight w:val="183"/>
        </w:trPr>
        <w:tc>
          <w:tcPr>
            <w:tcW w:w="4940" w:type="dxa"/>
            <w:vAlign w:val="bottom"/>
          </w:tcPr>
          <w:p>
            <w:pPr>
              <w:ind w:left="120"/>
              <w:spacing w:after="0" w:line="169" w:lineRule="exact"/>
              <w:rPr>
                <w:sz w:val="20"/>
                <w:szCs w:val="20"/>
                <w:color w:val="auto"/>
              </w:rPr>
            </w:pPr>
            <w:r>
              <w:rPr>
                <w:rFonts w:ascii="Arial" w:cs="Arial" w:eastAsia="Arial" w:hAnsi="Arial"/>
                <w:sz w:val="16"/>
                <w:szCs w:val="16"/>
                <w:color w:val="auto"/>
              </w:rPr>
              <w:t>Total accrued liabilities</w:t>
            </w:r>
          </w:p>
        </w:tc>
        <w:tc>
          <w:tcPr>
            <w:tcW w:w="2900" w:type="dxa"/>
            <w:vAlign w:val="bottom"/>
            <w:gridSpan w:val="3"/>
          </w:tcPr>
          <w:p>
            <w:pPr>
              <w:jc w:val="right"/>
              <w:ind w:right="2039"/>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292.4</w:t>
            </w:r>
          </w:p>
        </w:tc>
        <w:tc>
          <w:tcPr>
            <w:tcW w:w="52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23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302.2</w:t>
            </w: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r>
        <w:trPr>
          <w:trHeight w:val="397"/>
        </w:trPr>
        <w:tc>
          <w:tcPr>
            <w:tcW w:w="4940" w:type="dxa"/>
            <w:vAlign w:val="bottom"/>
          </w:tcPr>
          <w:p>
            <w:pPr>
              <w:spacing w:after="0"/>
              <w:rPr>
                <w:sz w:val="24"/>
                <w:szCs w:val="24"/>
                <w:color w:val="auto"/>
              </w:rPr>
            </w:pPr>
          </w:p>
        </w:tc>
        <w:tc>
          <w:tcPr>
            <w:tcW w:w="2900" w:type="dxa"/>
            <w:vAlign w:val="bottom"/>
            <w:gridSpan w:val="3"/>
          </w:tcPr>
          <w:p>
            <w:pPr>
              <w:jc w:val="right"/>
              <w:ind w:right="2039"/>
              <w:spacing w:after="0"/>
              <w:rPr>
                <w:sz w:val="20"/>
                <w:szCs w:val="20"/>
                <w:color w:val="auto"/>
              </w:rPr>
            </w:pPr>
            <w:r>
              <w:rPr>
                <w:rFonts w:ascii="Arial" w:cs="Arial" w:eastAsia="Arial" w:hAnsi="Arial"/>
                <w:sz w:val="16"/>
                <w:szCs w:val="16"/>
                <w:color w:val="auto"/>
              </w:rPr>
              <w:t>31</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51"/>
        </w:trPr>
        <w:tc>
          <w:tcPr>
            <w:tcW w:w="4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Pending Business Combination</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 August 18, 2025, we entered into an Agreement and Plan of Merger (the “Merger Agreement”), with NorthWestern and Merger Sub. The Merger Agreement provides for Merger Sub to merge with and into NorthWestern (the “Merger”), with NorthWestern continuing as the surviving entity and a direct wholly owned subsidiary of Black Hills Corporation, which will assume a new corporate name as the resulting parent company of the combined corporate group. At the effective time of the Merger (the “Effective Time”),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cash-in-lieu of fractional shares thereof), in each case upon and subject to the terms and conditions of the Merger Agreement.</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Merger Agreement, which was unanimously approved on August 18, 2025, by both the board of directors of Black Hills Corporation and the board of directors of NorthWestern, provides for a tax-free, all-stock business combination of Black Hills Corporation and NorthWestern upon the terms and subject to the conditions set forth therein. Such conditions include, among other things, clearance under the HSR Act, consent of the FCC, approval from each company's shareholders, and regulatory approvals, including approval from the SDPUC, NPSC and MPSC, as well as the FERC.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To date, regulatory efforts by Black Hills Corporation and NorthWestern include the following actions:</w:t>
      </w:r>
    </w:p>
    <w:p>
      <w:pPr>
        <w:spacing w:after="0" w:line="19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On October 20, 2025, we filed a joint application for approval with the MPSC. We expect a decision from the MPSC in the second half of 2026.</w:t>
      </w:r>
    </w:p>
    <w:p>
      <w:pPr>
        <w:spacing w:after="0" w:line="206"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On October 27, 2025, we filed joint applications for approval with the NPSC and SDPUC, respectively. We expect decisions from the NPSC and SDPUC in the second quarter of 2026.</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anticipate the transaction closing in the second half of 2026, subject to the satisfaction of certain closing conditions including receipt of certain regulatory approvals as mentioned above.</w:t>
      </w:r>
    </w:p>
    <w:p>
      <w:pPr>
        <w:spacing w:after="0" w:line="37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auto"/>
        </w:rPr>
        <w:t xml:space="preserve">Except as described in Notes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w:t>
      </w:r>
      <w:r>
        <w:rPr>
          <w:rFonts w:ascii="Arial" w:cs="Arial" w:eastAsia="Arial" w:hAnsi="Arial"/>
          <w:sz w:val="16"/>
          <w:szCs w:val="16"/>
          <w:u w:val="single" w:color="auto"/>
          <w:color w:val="0000FF"/>
        </w:rPr>
        <w:t>5</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14</w:t>
      </w:r>
      <w:r>
        <w:rPr>
          <w:rFonts w:ascii="Arial" w:cs="Arial" w:eastAsia="Arial" w:hAnsi="Arial"/>
          <w:sz w:val="16"/>
          <w:szCs w:val="16"/>
          <w:color w:val="auto"/>
        </w:rPr>
        <w:t>, there have been no events subsequent to September 30, 2025,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-136525</wp:posOffset>
            </wp:positionV>
            <wp:extent cx="5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-136525</wp:posOffset>
            </wp:positionV>
            <wp:extent cx="5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-136525</wp:posOffset>
            </wp:positionV>
            <wp:extent cx="5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2024 Annual Report on Form 10-K.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1.35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 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—be a simple and connected company and</w:t>
      </w:r>
      <w:r>
        <w:rPr>
          <w:rFonts w:ascii="Arial" w:cs="Arial" w:eastAsia="Arial" w:hAnsi="Arial"/>
          <w:sz w:val="16"/>
          <w:szCs w:val="16"/>
          <w:i w:val="1"/>
          <w:iCs w:val="1"/>
          <w:color w:val="auto"/>
        </w:rPr>
        <w:t xml:space="preserve"> Growth —</w:t>
      </w:r>
      <w:r>
        <w:rPr>
          <w:rFonts w:ascii="Arial" w:cs="Arial" w:eastAsia="Arial" w:hAnsi="Arial"/>
          <w:sz w:val="16"/>
          <w:szCs w:val="16"/>
          <w:color w:val="auto"/>
        </w:rPr>
        <w:t>grow to be a dominant long-term energy provider.</w:t>
      </w:r>
    </w:p>
    <w:p>
      <w:pPr>
        <w:spacing w:after="0" w:line="1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ourselves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141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Merger with NorthWestern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 xml:space="preserve">On August 18, 2025, we entered into the Merger Agreement with NorthWestern and Merger Sub.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of the Condensed Notes to Consolidated Financial Statements for further discussion about the pending Merger.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discussion surrounding the OBBBA.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Tariffs</w:t>
      </w:r>
    </w:p>
    <w:p>
      <w:pPr>
        <w:spacing w:after="0" w:line="194"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Trade tariffs have been enacted over the last several months through presidential executive orders affecting products exported by several U.S. trading partners, and retaliatory tariffs have been imposed by some of these trading partners. While some tariffs scheduled to take effect were temporarily suspended, broad tariffs remain in effect with the possibility of additional tariffs being imposed. We are currently unable to predict the impact that recently imposed and possible future tariffs may have on our business. Trade tariffs have not had a material impact on our operations or financial performance to date. We are closely monitoring the impacts of trade tariffs and the potential effect they may have on our financial position,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Electric.</w:t>
      </w:r>
    </w:p>
    <w:p>
      <w:pPr>
        <w:spacing w:after="0" w:line="233" w:lineRule="exact"/>
        <w:rPr>
          <w:rFonts w:ascii="Times New Roman" w:cs="Times New Roman" w:eastAsia="Times New Roman" w:hAnsi="Times New Roman"/>
          <w:sz w:val="16"/>
          <w:szCs w:val="16"/>
          <w:color w:val="auto"/>
        </w:rPr>
      </w:pPr>
    </w:p>
    <w:p>
      <w:pPr>
        <w:ind w:left="1020" w:hanging="503"/>
        <w:spacing w:after="0" w:line="259"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On March 6, 2025, the state of Wyoming enacted comprehensive wildfire mitigation legislation (HB0192), effective July 1, 2025. The legislation provides material liability protections for a utility that complies with its commission-approved wildfire mitigation plan. The legislation provides a utility a presumption of meeting an appropriate level of operating care for compliance with an approved wildfire mitigation plan. We plan to file our wildfire mitigation plan with the WPSC in the fourth quarter of 2025.</w:t>
      </w:r>
    </w:p>
    <w:p>
      <w:pPr>
        <w:spacing w:after="0" w:line="150"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2024, we published our formal WMP, which is an overview of our three-layered approach to manage wildfire risks driven by asset-based risk assessments that include asset programs, integrity programs and operational response. On June 30, 2025, we established our Emergency PSPS program across all three of our electric utilities to promote customer safety and mitigate wildfire risk. In establishing the Emergency PSPS program, we engaged with wildfire experts and key stakeholders including customers, community and local agencies, regulators and community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-1376680</wp:posOffset>
            </wp:positionV>
            <wp:extent cx="302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right="2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 the first half of 2025, Wyoming Electric set four new all-time peak loads, including an all-time peak of 379 MW on June 20, 2025. Prior to 2025, the previous all-time peak was 314 MW set on January 11, 2024.</w:t>
      </w:r>
    </w:p>
    <w:p>
      <w:pPr>
        <w:spacing w:after="0" w:line="129"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 2024, Colorado Electric received CPUC approval for the addition of 350 MW of new renewable generation resources in support of its Clean Energy Plan, which included a 50-MW utility-owned battery storage project, a 200-MW solar PPA and a 100-MW utility-owned solar project. On October 8, 2025, Colorado Electric filed a settlement with the CPUC for its request for a CPCN for the 50-MW battery storage project and anticipates a decision by year-end. On October 29, 2025, the CPUC recommended continuing negotiations on the 200-MW solar PPA but recommended no further action on the 100-MW utility-owned solar project.</w:t>
      </w:r>
    </w:p>
    <w:p>
      <w:pPr>
        <w:spacing w:after="0" w:line="151"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On March 28, 2025, South Dakota Electric filed a CPCN with the WPSC for the Lange II project, which was approved in June 2025. The new facility began construction in the third quarter of 2025 and is anticipated to be in service in the second half of 2026.</w:t>
      </w:r>
    </w:p>
    <w:p>
      <w:pPr>
        <w:spacing w:after="0" w:line="156"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Wyoming Electric continued construction of its approximately 260-mile, $350 million Ready Wyoming electric transmission expansion project. The project is on track and expected to be completed and in service by year-end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44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Iowa Gas, Kansas Gas and Nebraska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16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our corporate Revolving Credit Facility, October 2, 2025, debt offering and ATM program activity.</w:t>
      </w:r>
    </w:p>
    <w:p>
      <w:pPr>
        <w:spacing w:after="0" w:line="129" w:lineRule="exact"/>
        <w:rPr>
          <w:rFonts w:ascii="Times New Roman" w:cs="Times New Roman" w:eastAsia="Times New Roman" w:hAnsi="Times New Roman"/>
          <w:sz w:val="16"/>
          <w:szCs w:val="16"/>
          <w:color w:val="auto"/>
        </w:rPr>
      </w:pPr>
    </w:p>
    <w:p>
      <w:pPr>
        <w:ind w:left="1020" w:right="58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we published our 2024 Corporate Sustainability Report, highlighting our environmental, social and governance impacts and our progress on major projects and climate goals.</w:t>
      </w:r>
    </w:p>
    <w:p>
      <w:pPr>
        <w:spacing w:after="0" w:line="129"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January 17, 2025, Fitch affirmed BHC's long-term issuer rating at BBB+ with a negative outlook. Following the affirmation, the parties jointly withdrew the rating.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section below for additional information on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-885825</wp:posOffset>
            </wp:positionV>
            <wp:extent cx="302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-45720</wp:posOffset>
            </wp:positionV>
            <wp:extent cx="1446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2025, and 2024, and our financial condition as of September 30, 2025, and December 31, 2024, are not necessarily indicative of the results of operations and financial condition to be expected as of or for any other period or for the entire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4"/>
        </w:trPr>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24"/>
                <w:szCs w:val="24"/>
                <w:color w:val="auto"/>
              </w:rPr>
            </w:pPr>
          </w:p>
        </w:tc>
        <w:tc>
          <w:tcPr>
            <w:tcW w:w="306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w:t>
            </w:r>
          </w:p>
        </w:tc>
      </w:tr>
      <w:tr>
        <w:trPr>
          <w:trHeight w:val="189"/>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2024</w:t>
            </w:r>
          </w:p>
        </w:tc>
      </w:tr>
      <w:tr>
        <w:trPr>
          <w:trHeight w:val="203"/>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Variance</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spacing w:after="0" w:line="183" w:lineRule="exact"/>
              <w:rPr>
                <w:sz w:val="20"/>
                <w:szCs w:val="20"/>
                <w:color w:val="auto"/>
              </w:rPr>
            </w:pPr>
            <w:r>
              <w:rPr>
                <w:rFonts w:ascii="Arial" w:cs="Arial" w:eastAsia="Arial" w:hAnsi="Arial"/>
                <w:sz w:val="16"/>
                <w:szCs w:val="16"/>
                <w:color w:val="auto"/>
              </w:rPr>
              <w:t>(in millions, except per share amounts)</w:t>
            </w: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89"/>
        </w:trPr>
        <w:tc>
          <w:tcPr>
            <w:tcW w:w="4380" w:type="dxa"/>
            <w:vAlign w:val="bottom"/>
          </w:tcPr>
          <w:p>
            <w:pPr>
              <w:ind w:left="60"/>
              <w:spacing w:after="0"/>
              <w:rPr>
                <w:sz w:val="20"/>
                <w:szCs w:val="20"/>
                <w:color w:val="auto"/>
              </w:rPr>
            </w:pPr>
            <w:r>
              <w:rPr>
                <w:rFonts w:ascii="Arial" w:cs="Arial" w:eastAsia="Arial" w:hAnsi="Arial"/>
                <w:sz w:val="16"/>
                <w:szCs w:val="16"/>
                <w:color w:val="auto"/>
              </w:rPr>
              <w:t>Electric Utilities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165.7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176.0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189"/>
        </w:trPr>
        <w:tc>
          <w:tcPr>
            <w:tcW w:w="4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Gas Utilities</w:t>
            </w: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20.8</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207.7</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43.1</w:t>
            </w:r>
          </w:p>
        </w:tc>
      </w:tr>
      <w:tr>
        <w:trPr>
          <w:trHeight w:val="189"/>
        </w:trPr>
        <w:tc>
          <w:tcPr>
            <w:tcW w:w="438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83"/>
        </w:trPr>
        <w:tc>
          <w:tcPr>
            <w:tcW w:w="43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78.7</w:t>
            </w:r>
          </w:p>
        </w:tc>
        <w:tc>
          <w:tcPr>
            <w:tcW w:w="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75.8</w:t>
            </w: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w:t>
            </w: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366.1</w:t>
            </w:r>
          </w:p>
        </w:tc>
        <w:tc>
          <w:tcPr>
            <w:tcW w:w="2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339.8</w:t>
            </w: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26.3</w:t>
            </w:r>
          </w:p>
        </w:tc>
      </w:tr>
      <w:tr>
        <w:trPr>
          <w:trHeight w:val="183"/>
        </w:trPr>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w:t>
            </w:r>
          </w:p>
        </w:tc>
      </w:tr>
      <w:tr>
        <w:trPr>
          <w:trHeight w:val="189"/>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183"/>
        </w:trPr>
        <w:tc>
          <w:tcPr>
            <w:tcW w:w="43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25.9</w:t>
            </w:r>
          </w:p>
        </w:tc>
        <w:tc>
          <w:tcPr>
            <w:tcW w:w="240" w:type="dxa"/>
            <w:vAlign w:val="bottom"/>
          </w:tcPr>
          <w:p>
            <w:pPr>
              <w:spacing w:after="0"/>
              <w:rPr>
                <w:sz w:val="15"/>
                <w:szCs w:val="15"/>
                <w:color w:val="auto"/>
              </w:rPr>
            </w:pP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26.4</w:t>
            </w:r>
          </w:p>
        </w:tc>
        <w:tc>
          <w:tcPr>
            <w:tcW w:w="1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(0.5)</w:t>
            </w:r>
          </w:p>
        </w:tc>
        <w:tc>
          <w:tcPr>
            <w:tcW w:w="160" w:type="dxa"/>
            <w:vAlign w:val="bottom"/>
          </w:tcPr>
          <w:p>
            <w:pPr>
              <w:spacing w:after="0"/>
              <w:rPr>
                <w:sz w:val="15"/>
                <w:szCs w:val="15"/>
                <w:color w:val="auto"/>
              </w:rPr>
            </w:pP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191.1</w:t>
            </w:r>
          </w:p>
        </w:tc>
        <w:tc>
          <w:tcPr>
            <w:tcW w:w="2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182.6</w:t>
            </w:r>
          </w:p>
        </w:tc>
        <w:tc>
          <w:tcPr>
            <w:tcW w:w="140" w:type="dxa"/>
            <w:vAlign w:val="bottom"/>
          </w:tcPr>
          <w:p>
            <w:pPr>
              <w:spacing w:after="0"/>
              <w:rPr>
                <w:sz w:val="15"/>
                <w:szCs w:val="15"/>
                <w:color w:val="auto"/>
              </w:rPr>
            </w:pPr>
          </w:p>
        </w:tc>
        <w:tc>
          <w:tcPr>
            <w:tcW w:w="9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8.5</w:t>
            </w:r>
          </w:p>
        </w:tc>
      </w:tr>
      <w:tr>
        <w:trPr>
          <w:trHeight w:val="189"/>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3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r>
        <w:trPr>
          <w:trHeight w:val="183"/>
        </w:trPr>
        <w:tc>
          <w:tcPr>
            <w:tcW w:w="4380" w:type="dxa"/>
            <w:vAlign w:val="bottom"/>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5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24.9</w:t>
            </w:r>
          </w:p>
        </w:tc>
        <w:tc>
          <w:tcPr>
            <w:tcW w:w="2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24.4</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0.5</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186.6</w:t>
            </w:r>
          </w:p>
        </w:tc>
        <w:tc>
          <w:tcPr>
            <w:tcW w:w="280" w:type="dxa"/>
            <w:vAlign w:val="bottom"/>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175.0</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11.6</w:t>
            </w:r>
          </w:p>
        </w:tc>
      </w:tr>
      <w:tr>
        <w:trPr>
          <w:trHeight w:val="20"/>
        </w:trPr>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Weighted average common shares outstanding, Diluted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72.9</w:t>
            </w: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16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69.3</w:t>
            </w:r>
          </w:p>
        </w:tc>
        <w:tc>
          <w:tcPr>
            <w:tcW w:w="1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w:t>
            </w:r>
          </w:p>
        </w:tc>
      </w:tr>
      <w:tr>
        <w:trPr>
          <w:trHeight w:val="229"/>
        </w:trPr>
        <w:tc>
          <w:tcPr>
            <w:tcW w:w="43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earnings per share of common stock, Diluted</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0.34</w:t>
            </w:r>
          </w:p>
        </w:tc>
        <w:tc>
          <w:tcPr>
            <w:tcW w:w="2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0.35</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(0.01)</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2.58</w:t>
            </w:r>
          </w:p>
        </w:tc>
        <w:tc>
          <w:tcPr>
            <w:tcW w:w="28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2.52</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2025, Compared to the Three Months Ended September 30, 2024</w:t>
      </w:r>
    </w:p>
    <w:p>
      <w:pPr>
        <w:spacing w:after="0" w:line="194" w:lineRule="exact"/>
        <w:rPr>
          <w:sz w:val="20"/>
          <w:szCs w:val="20"/>
          <w:color w:val="auto"/>
        </w:rPr>
      </w:pPr>
    </w:p>
    <w:p>
      <w:pPr>
        <w:ind w:left="520" w:right="100" w:hanging="512"/>
        <w:spacing w:after="0" w:line="285"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$2.7 million primarily due to milder weather and higher operating expenses partially offset by new rates and rider recovery;</w:t>
      </w:r>
    </w:p>
    <w:p>
      <w:pPr>
        <w:spacing w:after="0" w:line="129" w:lineRule="exact"/>
        <w:rPr>
          <w:rFonts w:ascii="Times New Roman" w:cs="Times New Roman" w:eastAsia="Times New Roman" w:hAnsi="Times New Roman"/>
          <w:sz w:val="16"/>
          <w:szCs w:val="16"/>
          <w:color w:val="auto"/>
        </w:rPr>
      </w:pPr>
    </w:p>
    <w:p>
      <w:pPr>
        <w:jc w:val="both"/>
        <w:ind w:left="520" w:right="300" w:hanging="512"/>
        <w:spacing w:after="0" w:line="266"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$9.9 million primarily due to new rates and rider recovery driven by the Arkansas Gas, Kansas Gas, and Nebraska Gas rate reviews and lower operating expenses partially offset by the unfavorable margin impacts of wet summer weather on Nebraska irrigation loads;</w:t>
      </w:r>
    </w:p>
    <w:p>
      <w:pPr>
        <w:spacing w:after="0" w:line="143" w:lineRule="exact"/>
        <w:rPr>
          <w:rFonts w:ascii="Times New Roman" w:cs="Times New Roman" w:eastAsia="Times New Roman" w:hAnsi="Times New Roman"/>
          <w:sz w:val="16"/>
          <w:szCs w:val="16"/>
          <w:color w:val="auto"/>
        </w:rPr>
      </w:pPr>
    </w:p>
    <w:p>
      <w:pPr>
        <w:ind w:left="520" w:right="480" w:hanging="512"/>
        <w:spacing w:after="0" w:line="285"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$4.3 million primarily due to NorthWestern merger-related costs partially offset by an unallocated favorable true-up of operating expenses; and</w:t>
      </w:r>
    </w:p>
    <w:p>
      <w:pPr>
        <w:spacing w:after="0" w:line="129" w:lineRule="exact"/>
        <w:rPr>
          <w:rFonts w:ascii="Times New Roman" w:cs="Times New Roman" w:eastAsia="Times New Roman" w:hAnsi="Times New Roman"/>
          <w:sz w:val="16"/>
          <w:szCs w:val="16"/>
          <w:color w:val="auto"/>
        </w:rPr>
      </w:pPr>
    </w:p>
    <w:p>
      <w:pPr>
        <w:jc w:val="both"/>
        <w:ind w:left="520" w:right="480" w:hanging="512"/>
        <w:spacing w:after="0" w:line="266"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increased $4.2 million primarily due to higher CP Program borrowings and lower interest income on lower cash and cash equivalents balances partially offset by higher AFUDC debt driven by construction work-in-progress balances related to the Lange II and Ready Wyoming projects.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ind w:left="520" w:right="680" w:hanging="512"/>
        <w:spacing w:after="0" w:line="285"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$10.3 million primarily due to higher operating expenses, unplanned generation outages, lower transmission services revenues and unfavorable weather partially offset by new rates and rider recovery;</w:t>
      </w:r>
    </w:p>
    <w:p>
      <w:pPr>
        <w:spacing w:after="0" w:line="129" w:lineRule="exact"/>
        <w:rPr>
          <w:rFonts w:ascii="Times New Roman" w:cs="Times New Roman" w:eastAsia="Times New Roman" w:hAnsi="Times New Roman"/>
          <w:sz w:val="16"/>
          <w:szCs w:val="16"/>
          <w:color w:val="auto"/>
        </w:rPr>
      </w:pPr>
    </w:p>
    <w:p>
      <w:pPr>
        <w:ind w:left="520" w:right="140" w:hanging="512"/>
        <w:spacing w:after="0" w:line="285"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$43.1 million primarily due to new rates and rider recovery driven by the Arkansas Gas, Iowa Gas, Kansas Gas, and Nebraska Gas rate reviews and favorable weather partially offset by higher operating expenses;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$6.5 million primarily due to NorthWestern merger-related costs;</w:t>
      </w:r>
    </w:p>
    <w:p>
      <w:pPr>
        <w:spacing w:after="0" w:line="233" w:lineRule="exact"/>
        <w:rPr>
          <w:rFonts w:ascii="Times New Roman" w:cs="Times New Roman" w:eastAsia="Times New Roman" w:hAnsi="Times New Roman"/>
          <w:sz w:val="16"/>
          <w:szCs w:val="16"/>
          <w:color w:val="auto"/>
        </w:rPr>
      </w:pPr>
    </w:p>
    <w:p>
      <w:pPr>
        <w:ind w:left="520" w:right="80" w:hanging="512"/>
        <w:spacing w:after="0" w:line="266"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increased $17.7 million due to higher interest rates on long-term debt, higher CP Program borrowings and lower interest income on lower cash and cash equivalents balances partially offset by higher AFUDC debt driven by construction work-in-progress balances related to the Lange II and Ready Wyoming projects;</w:t>
      </w:r>
    </w:p>
    <w:p>
      <w:pPr>
        <w:spacing w:after="0" w:line="143" w:lineRule="exact"/>
        <w:rPr>
          <w:rFonts w:ascii="Times New Roman" w:cs="Times New Roman" w:eastAsia="Times New Roman" w:hAnsi="Times New Roman"/>
          <w:sz w:val="16"/>
          <w:szCs w:val="16"/>
          <w:color w:val="auto"/>
        </w:rPr>
      </w:pPr>
    </w:p>
    <w:p>
      <w:pPr>
        <w:ind w:left="520" w:right="500" w:hanging="512"/>
        <w:spacing w:after="0" w:line="256"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net, increased $2.8 million primarily due to higher AFUDC equity driven by construction work-in-progress balances related to the Lange II and Ready Wyoming projects;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$2.9 million primarily due to higher pre-tax income; and</w:t>
      </w:r>
    </w:p>
    <w:p>
      <w:pPr>
        <w:spacing w:after="0" w:line="206" w:lineRule="exact"/>
        <w:rPr>
          <w:rFonts w:ascii="Times New Roman" w:cs="Times New Roman" w:eastAsia="Times New Roman" w:hAnsi="Times New Roman"/>
          <w:sz w:val="16"/>
          <w:szCs w:val="16"/>
          <w:color w:val="auto"/>
        </w:rPr>
      </w:pPr>
    </w:p>
    <w:p>
      <w:pPr>
        <w:ind w:left="520" w:right="240" w:hanging="512"/>
        <w:spacing w:after="0" w:line="285" w:lineRule="auto"/>
        <w:tabs>
          <w:tab w:leader="none" w:pos="5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$3.1 million due to lower net income from Black Hills Colorado IPP primarily driven by current year unplanned generation outages.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Gas and Electric Utility margin provides a useful basis for evaluating our segment operating results since our Utilities have regulatory mechanisms that allow them to pass prudently incurred costs of energy through to the customer in current rates. As a result, management uses Gas and Electric Utility margin internally when assessing the financial performance of our operating segments as this measure excludes the majority of revenue fluctuations caused by changes in these costs of energy. Similarly, the presentation of Gas and Electric Utility margin is intended to supplement investors’ understanding of operating performance.</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Electric Utilities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8"/>
        </w:trPr>
        <w:tc>
          <w:tcPr>
            <w:tcW w:w="4180" w:type="dxa"/>
            <w:vAlign w:val="bottom"/>
          </w:tcPr>
          <w:p>
            <w:pPr>
              <w:spacing w:after="0"/>
              <w:rPr>
                <w:sz w:val="14"/>
                <w:szCs w:val="14"/>
                <w:color w:val="auto"/>
              </w:rPr>
            </w:pPr>
          </w:p>
        </w:tc>
        <w:tc>
          <w:tcPr>
            <w:tcW w:w="178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Three Months Ended</w:t>
            </w:r>
          </w:p>
        </w:tc>
        <w:tc>
          <w:tcPr>
            <w:tcW w:w="1800" w:type="dxa"/>
            <w:vAlign w:val="bottom"/>
            <w:gridSpan w:val="4"/>
          </w:tcPr>
          <w:p>
            <w:pPr>
              <w:jc w:val="right"/>
              <w:ind w:right="119"/>
              <w:spacing w:after="0" w:line="168" w:lineRule="exact"/>
              <w:rPr>
                <w:sz w:val="20"/>
                <w:szCs w:val="20"/>
                <w:color w:val="auto"/>
              </w:rPr>
            </w:pPr>
            <w:r>
              <w:rPr>
                <w:rFonts w:ascii="Arial" w:cs="Arial" w:eastAsia="Arial" w:hAnsi="Arial"/>
                <w:sz w:val="16"/>
                <w:szCs w:val="16"/>
                <w:b w:val="1"/>
                <w:bCs w:val="1"/>
                <w:color w:val="auto"/>
              </w:rPr>
              <w:t>Nine Months Ended</w:t>
            </w:r>
          </w:p>
        </w:tc>
        <w:tc>
          <w:tcPr>
            <w:tcW w:w="172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Three Months Ended</w:t>
            </w:r>
          </w:p>
        </w:tc>
        <w:tc>
          <w:tcPr>
            <w:tcW w:w="1760" w:type="dxa"/>
            <w:vAlign w:val="bottom"/>
            <w:gridSpan w:val="4"/>
          </w:tcPr>
          <w:p>
            <w:pPr>
              <w:jc w:val="right"/>
              <w:ind w:right="11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203"/>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4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232.5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706.3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659.8</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184.4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979.9</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884.2</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(155.7)</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(362.9)</w:t>
            </w: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18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r>
      <w:tr>
        <w:trPr>
          <w:trHeight w:val="182"/>
        </w:trPr>
        <w:tc>
          <w:tcPr>
            <w:tcW w:w="4180" w:type="dxa"/>
            <w:vAlign w:val="bottom"/>
          </w:tcPr>
          <w:p>
            <w:pPr>
              <w:ind w:left="40"/>
              <w:spacing w:after="0" w:line="183" w:lineRule="exact"/>
              <w:rPr>
                <w:sz w:val="20"/>
                <w:szCs w:val="20"/>
                <w:color w:val="auto"/>
              </w:rPr>
            </w:pPr>
            <w:r>
              <w:rPr>
                <w:rFonts w:ascii="Arial" w:cs="Arial" w:eastAsia="Arial" w:hAnsi="Arial"/>
                <w:sz w:val="16"/>
                <w:szCs w:val="16"/>
                <w:color w:val="auto"/>
              </w:rPr>
              <w:t>Gross margin (GAAP)</w:t>
            </w: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87.8</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92.2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243.4</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250.0</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59.1</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51.4</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277.7</w:t>
            </w:r>
          </w:p>
        </w:tc>
      </w:tr>
      <w:tr>
        <w:trPr>
          <w:trHeight w:val="183"/>
        </w:trPr>
        <w:tc>
          <w:tcPr>
            <w:tcW w:w="4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44.4</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38.0</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130.1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116.5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42.0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44.3</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129.0</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129.5</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113.0</w:t>
            </w: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108.9</w:t>
            </w:r>
          </w:p>
        </w:tc>
        <w:tc>
          <w:tcPr>
            <w:tcW w:w="1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97.6</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92.8</w:t>
            </w:r>
          </w:p>
        </w:tc>
      </w:tr>
      <w:tr>
        <w:trPr>
          <w:trHeight w:val="18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27.6</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7.8</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21.3</w:t>
            </w:r>
          </w:p>
        </w:tc>
      </w:tr>
      <w:tr>
        <w:trPr>
          <w:trHeight w:val="183"/>
        </w:trPr>
        <w:tc>
          <w:tcPr>
            <w:tcW w:w="4180" w:type="dxa"/>
            <w:vAlign w:val="bottom"/>
          </w:tcPr>
          <w:p>
            <w:pPr>
              <w:ind w:left="40"/>
              <w:spacing w:after="0" w:line="183" w:lineRule="exact"/>
              <w:rPr>
                <w:sz w:val="20"/>
                <w:szCs w:val="20"/>
                <w:color w:val="auto"/>
              </w:rPr>
            </w:pPr>
            <w:r>
              <w:rPr>
                <w:rFonts w:ascii="Arial" w:cs="Arial" w:eastAsia="Arial" w:hAnsi="Arial"/>
                <w:sz w:val="16"/>
                <w:szCs w:val="16"/>
                <w:color w:val="auto"/>
              </w:rPr>
              <w:t>Electric and Gas Utility margin (non-GAAP)</w:t>
            </w: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179.9</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177.6</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514.1</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504.1</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142.1</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133.9</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576.2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 w:hanging="512"/>
        <w:spacing w:after="0" w:line="250"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$25.4 million, $27.1 million, $77.7 million, and $74.0 million for the three and nine months ended September 30, 2025, and 2024, respectively, for the Electric Utilities and $38.3 million, $40.5 million, $119.5 million, and $113.2 million for the three and nine months ended September 30, 2025, and 2024, respectively, for the Gas Utilities.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0"/>
        </w:trPr>
        <w:tc>
          <w:tcPr>
            <w:tcW w:w="4080" w:type="dxa"/>
            <w:vAlign w:val="bottom"/>
          </w:tcPr>
          <w:p>
            <w:pPr>
              <w:spacing w:after="0"/>
              <w:rPr>
                <w:sz w:val="20"/>
                <w:szCs w:val="20"/>
                <w:color w:val="auto"/>
              </w:rPr>
            </w:pPr>
            <w:r>
              <w:rPr>
                <w:rFonts w:ascii="Arial" w:cs="Arial" w:eastAsia="Arial" w:hAnsi="Arial"/>
                <w:sz w:val="16"/>
                <w:szCs w:val="16"/>
                <w:color w:val="auto"/>
              </w:rPr>
              <w:t>Operating results for the Electric Utilities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2"/>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24"/>
                <w:szCs w:val="24"/>
                <w:color w:val="auto"/>
              </w:rPr>
            </w:pPr>
          </w:p>
        </w:tc>
        <w:tc>
          <w:tcPr>
            <w:tcW w:w="320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2025 vs 2024</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Variance</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249.7</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232.5</w:t>
            </w:r>
          </w:p>
        </w:tc>
        <w:tc>
          <w:tcPr>
            <w:tcW w:w="22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17.2</w:t>
            </w:r>
          </w:p>
        </w:tc>
        <w:tc>
          <w:tcPr>
            <w:tcW w:w="36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706.3</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659.8</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46.5</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Fuel and purchased power</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w:t>
            </w:r>
          </w:p>
        </w:tc>
      </w:tr>
      <w:tr>
        <w:trPr>
          <w:trHeight w:val="183"/>
        </w:trPr>
        <w:tc>
          <w:tcPr>
            <w:tcW w:w="4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Electric Utility margin (non-GAAP) </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179.9</w:t>
            </w: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177.6</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w:t>
            </w: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514.1</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504.1</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w:t>
            </w:r>
          </w:p>
        </w:tc>
      </w:tr>
      <w:tr>
        <w:trPr>
          <w:trHeight w:val="18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190.5</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113.0</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108.9</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189"/>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117.5</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112.5</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348.4</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328.1</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20.3</w:t>
            </w:r>
          </w:p>
        </w:tc>
      </w:tr>
      <w:tr>
        <w:trPr>
          <w:trHeight w:val="183"/>
        </w:trPr>
        <w:tc>
          <w:tcPr>
            <w:tcW w:w="40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408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62.4</w:t>
            </w:r>
          </w:p>
        </w:tc>
        <w:tc>
          <w:tcPr>
            <w:tcW w:w="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65.1</w:t>
            </w:r>
          </w:p>
        </w:tc>
        <w:tc>
          <w:tcPr>
            <w:tcW w:w="2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165.7</w:t>
            </w:r>
          </w:p>
        </w:tc>
        <w:tc>
          <w:tcPr>
            <w:tcW w:w="2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176.0</w:t>
            </w:r>
          </w:p>
        </w:tc>
        <w:tc>
          <w:tcPr>
            <w:tcW w:w="2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(10.3)</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2025, Compared to the Three Months Ended September 30, 2024:</w:t>
      </w:r>
    </w:p>
    <w:p>
      <w:pPr>
        <w:spacing w:after="0" w:line="19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Utility margin increased as a result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New rates and rider recovery</w:t>
            </w:r>
          </w:p>
        </w:tc>
        <w:tc>
          <w:tcPr>
            <w:tcW w:w="39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6.8</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Prior year unplanned outages</w:t>
            </w: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Weather</w:t>
            </w:r>
          </w:p>
        </w:tc>
        <w:tc>
          <w:tcPr>
            <w:tcW w:w="3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Retail customer usage</w:t>
            </w: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Transmission services</w:t>
            </w:r>
          </w:p>
        </w:tc>
        <w:tc>
          <w:tcPr>
            <w:tcW w:w="3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Other</w:t>
            </w:r>
          </w:p>
        </w:tc>
        <w:tc>
          <w:tcPr>
            <w:tcW w:w="3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5880" w:type="dxa"/>
            <w:vAlign w:val="bottom"/>
            <w:shd w:val="clear" w:color="auto" w:fill="CFF0FC"/>
          </w:tcPr>
          <w:p>
            <w:pPr>
              <w:spacing w:after="0"/>
              <w:rPr>
                <w:sz w:val="17"/>
                <w:szCs w:val="17"/>
                <w:color w:val="auto"/>
              </w:rPr>
            </w:pPr>
          </w:p>
        </w:tc>
        <w:tc>
          <w:tcPr>
            <w:tcW w:w="39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2.3</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3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increased primarily due to higher outside services expenses and higher generation expenses.</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was comparable to the same period in the prior year.</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Utility margin increased as a result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9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New rates and rider recovery</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15.5</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Retail customer growth and usage</w:t>
            </w:r>
          </w:p>
        </w:tc>
        <w:tc>
          <w:tcPr>
            <w:tcW w:w="2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189"/>
        </w:trPr>
        <w:tc>
          <w:tcPr>
            <w:tcW w:w="9640" w:type="dxa"/>
            <w:vAlign w:val="bottom"/>
            <w:shd w:val="clear" w:color="auto" w:fill="CFF0FC"/>
          </w:tcPr>
          <w:p>
            <w:pPr>
              <w:spacing w:after="0"/>
              <w:rPr>
                <w:sz w:val="20"/>
                <w:szCs w:val="20"/>
                <w:color w:val="auto"/>
              </w:rPr>
            </w:pPr>
            <w:r>
              <w:rPr>
                <w:rFonts w:ascii="Arial" w:cs="Arial" w:eastAsia="Arial" w:hAnsi="Arial"/>
                <w:sz w:val="16"/>
                <w:szCs w:val="16"/>
                <w:color w:val="auto"/>
              </w:rPr>
              <w:t>Current year and prior year unplanned outages</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Transmission services</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9640" w:type="dxa"/>
            <w:vAlign w:val="bottom"/>
            <w:shd w:val="clear" w:color="auto" w:fill="CFF0FC"/>
          </w:tcPr>
          <w:p>
            <w:pPr>
              <w:spacing w:after="0"/>
              <w:rPr>
                <w:sz w:val="20"/>
                <w:szCs w:val="20"/>
                <w:color w:val="auto"/>
              </w:rPr>
            </w:pPr>
            <w:r>
              <w:rPr>
                <w:rFonts w:ascii="Arial" w:cs="Arial" w:eastAsia="Arial" w:hAnsi="Arial"/>
                <w:sz w:val="16"/>
                <w:szCs w:val="16"/>
                <w:color w:val="auto"/>
              </w:rPr>
              <w:t>Weather</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Off-system excess energy sales</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189"/>
        </w:trPr>
        <w:tc>
          <w:tcPr>
            <w:tcW w:w="9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182"/>
        </w:trPr>
        <w:tc>
          <w:tcPr>
            <w:tcW w:w="96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10.0</w:t>
            </w:r>
          </w:p>
        </w:tc>
      </w:tr>
      <w:tr>
        <w:trPr>
          <w:trHeight w:val="20"/>
        </w:trPr>
        <w:tc>
          <w:tcPr>
            <w:tcW w:w="9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520" w:right="280" w:hanging="512"/>
        <w:spacing w:after="0" w:line="266" w:lineRule="auto"/>
        <w:tabs>
          <w:tab w:leader="none" w:pos="5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increased primarily due to $5.7 million of higher outside services expenses, $4.8 million of higher expenses related to unplanned generation outages, $2.5 million of higher generation expenses, $2.1 million of higher insurance expense and $1.9 million of higher employee related expenses.</w:t>
      </w:r>
    </w:p>
    <w:p>
      <w:pPr>
        <w:spacing w:after="0" w:line="143"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higher asset base driven by capital expenditures.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7"/>
        </w:trPr>
        <w:tc>
          <w:tcPr>
            <w:tcW w:w="3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Quantities Sold</w:t>
            </w:r>
          </w:p>
        </w:tc>
        <w:tc>
          <w:tcPr>
            <w:tcW w:w="920" w:type="dxa"/>
            <w:vAlign w:val="bottom"/>
            <w:tcBorders>
              <w:bottom w:val="single" w:sz="8" w:color="auto"/>
            </w:tcBorders>
          </w:tcPr>
          <w:p>
            <w:pPr>
              <w:spacing w:after="0"/>
              <w:rPr>
                <w:sz w:val="24"/>
                <w:szCs w:val="24"/>
                <w:color w:val="auto"/>
              </w:rPr>
            </w:pPr>
          </w:p>
        </w:tc>
      </w:tr>
      <w:tr>
        <w:trPr>
          <w:trHeight w:val="168"/>
        </w:trPr>
        <w:tc>
          <w:tcPr>
            <w:tcW w:w="3840" w:type="dxa"/>
            <w:vAlign w:val="bottom"/>
          </w:tcPr>
          <w:p>
            <w:pPr>
              <w:spacing w:after="0"/>
              <w:rPr>
                <w:sz w:val="14"/>
                <w:szCs w:val="14"/>
                <w:color w:val="auto"/>
              </w:rPr>
            </w:pPr>
          </w:p>
        </w:tc>
        <w:tc>
          <w:tcPr>
            <w:tcW w:w="174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Three Months Ended</w:t>
            </w:r>
          </w:p>
        </w:tc>
        <w:tc>
          <w:tcPr>
            <w:tcW w:w="1800" w:type="dxa"/>
            <w:vAlign w:val="bottom"/>
            <w:gridSpan w:val="4"/>
          </w:tcPr>
          <w:p>
            <w:pPr>
              <w:jc w:val="right"/>
              <w:ind w:right="119"/>
              <w:spacing w:after="0" w:line="168" w:lineRule="exact"/>
              <w:rPr>
                <w:sz w:val="20"/>
                <w:szCs w:val="20"/>
                <w:color w:val="auto"/>
              </w:rPr>
            </w:pPr>
            <w:r>
              <w:rPr>
                <w:rFonts w:ascii="Arial" w:cs="Arial" w:eastAsia="Arial" w:hAnsi="Arial"/>
                <w:sz w:val="16"/>
                <w:szCs w:val="16"/>
                <w:b w:val="1"/>
                <w:bCs w:val="1"/>
                <w:color w:val="auto"/>
              </w:rPr>
              <w:t>Nine Months Ended</w:t>
            </w:r>
          </w:p>
        </w:tc>
        <w:tc>
          <w:tcPr>
            <w:tcW w:w="1900" w:type="dxa"/>
            <w:vAlign w:val="bottom"/>
            <w:gridSpan w:val="4"/>
          </w:tcPr>
          <w:p>
            <w:pPr>
              <w:jc w:val="right"/>
              <w:ind w:right="159"/>
              <w:spacing w:after="0" w:line="168" w:lineRule="exact"/>
              <w:rPr>
                <w:sz w:val="20"/>
                <w:szCs w:val="20"/>
                <w:color w:val="auto"/>
              </w:rPr>
            </w:pPr>
            <w:r>
              <w:rPr>
                <w:rFonts w:ascii="Arial" w:cs="Arial" w:eastAsia="Arial" w:hAnsi="Arial"/>
                <w:sz w:val="16"/>
                <w:szCs w:val="16"/>
                <w:b w:val="1"/>
                <w:bCs w:val="1"/>
                <w:color w:val="auto"/>
              </w:rPr>
              <w:t>Three Months Ended</w:t>
            </w:r>
          </w:p>
        </w:tc>
        <w:tc>
          <w:tcPr>
            <w:tcW w:w="1960" w:type="dxa"/>
            <w:vAlign w:val="bottom"/>
            <w:gridSpan w:val="2"/>
          </w:tcPr>
          <w:p>
            <w:pPr>
              <w:jc w:val="right"/>
              <w:ind w:right="23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189"/>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5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7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9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r>
      <w:tr>
        <w:trPr>
          <w:trHeight w:val="183"/>
        </w:trPr>
        <w:tc>
          <w:tcPr>
            <w:tcW w:w="38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gridSpan w:val="3"/>
            <w:shd w:val="clear" w:color="auto" w:fill="CFF0FC"/>
          </w:tcPr>
          <w:p>
            <w:pPr>
              <w:jc w:val="right"/>
              <w:ind w:right="45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840" w:type="dxa"/>
            <w:vAlign w:val="bottom"/>
            <w:tcBorders>
              <w:bottom w:val="single" w:sz="8" w:color="auto"/>
            </w:tcBorders>
            <w:gridSpan w:val="2"/>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(in GWh)</w:t>
            </w:r>
          </w:p>
        </w:tc>
        <w:tc>
          <w:tcPr>
            <w:tcW w:w="920" w:type="dxa"/>
            <w:vAlign w:val="bottom"/>
            <w:tcBorders>
              <w:bottom w:val="single" w:sz="8" w:color="auto"/>
            </w:tcBorders>
            <w:shd w:val="clear" w:color="auto" w:fill="CFF0FC"/>
          </w:tcPr>
          <w:p>
            <w:pPr>
              <w:spacing w:after="0"/>
              <w:rPr>
                <w:sz w:val="15"/>
                <w:szCs w:val="15"/>
                <w:color w:val="auto"/>
              </w:rPr>
            </w:pPr>
          </w:p>
        </w:tc>
      </w:tr>
      <w:tr>
        <w:trPr>
          <w:trHeight w:val="183"/>
        </w:trPr>
        <w:tc>
          <w:tcPr>
            <w:tcW w:w="384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3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179.4</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393.5</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411.1</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1,120.9</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1,123.4</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210.3</w:t>
            </w:r>
          </w:p>
        </w:tc>
        <w:tc>
          <w:tcPr>
            <w:tcW w:w="2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199.9</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561.6</w:t>
            </w:r>
          </w:p>
        </w:tc>
        <w:tc>
          <w:tcPr>
            <w:tcW w:w="2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571.9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1,578.5</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1,590.6</w:t>
            </w:r>
          </w:p>
        </w:tc>
      </w:tr>
      <w:tr>
        <w:trPr>
          <w:trHeight w:val="189"/>
        </w:trPr>
        <w:tc>
          <w:tcPr>
            <w:tcW w:w="384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Industrial </w:t>
            </w:r>
            <w:r>
              <w:rPr>
                <w:rFonts w:ascii="Arial" w:cs="Arial" w:eastAsia="Arial" w:hAnsi="Arial"/>
                <w:sz w:val="21"/>
                <w:szCs w:val="21"/>
                <w:color w:val="auto"/>
                <w:vertAlign w:val="superscript"/>
              </w:rPr>
              <w:t>(a)</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126.8</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639.1</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531.5</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1,912.8</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1,643.4</w:t>
            </w:r>
          </w:p>
        </w:tc>
      </w:tr>
      <w:tr>
        <w:trPr>
          <w:trHeight w:val="189"/>
        </w:trPr>
        <w:tc>
          <w:tcPr>
            <w:tcW w:w="3840" w:type="dxa"/>
            <w:vAlign w:val="bottom"/>
          </w:tcPr>
          <w:p>
            <w:pPr>
              <w:ind w:left="40"/>
              <w:spacing w:after="0"/>
              <w:rPr>
                <w:sz w:val="20"/>
                <w:szCs w:val="20"/>
                <w:color w:val="auto"/>
              </w:rPr>
            </w:pPr>
            <w:r>
              <w:rPr>
                <w:rFonts w:ascii="Arial" w:cs="Arial" w:eastAsia="Arial" w:hAnsi="Arial"/>
                <w:sz w:val="16"/>
                <w:szCs w:val="16"/>
                <w:color w:val="auto"/>
              </w:rPr>
              <w:t>Municipal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41.4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110.1</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111.7</w:t>
            </w:r>
          </w:p>
        </w:tc>
      </w:tr>
      <w:tr>
        <w:trPr>
          <w:trHeight w:val="189"/>
        </w:trPr>
        <w:tc>
          <w:tcPr>
            <w:tcW w:w="3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Retail</w:t>
            </w: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3840" w:type="dxa"/>
            <w:vAlign w:val="bottom"/>
          </w:tcPr>
          <w:p>
            <w:pPr>
              <w:ind w:left="80"/>
              <w:spacing w:after="0" w:line="183" w:lineRule="exact"/>
              <w:rPr>
                <w:sz w:val="20"/>
                <w:szCs w:val="20"/>
                <w:color w:val="auto"/>
              </w:rPr>
            </w:pPr>
            <w:r>
              <w:rPr>
                <w:rFonts w:ascii="Arial" w:cs="Arial" w:eastAsia="Arial" w:hAnsi="Arial"/>
                <w:sz w:val="16"/>
                <w:szCs w:val="16"/>
                <w:color w:val="auto"/>
              </w:rPr>
              <w:t>Subtotal Retail Revenue - Electric</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201.3</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186.3</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570.6</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529.4</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1,635.6</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1,555.9</w:t>
            </w:r>
          </w:p>
        </w:tc>
        <w:tc>
          <w:tcPr>
            <w:tcW w:w="10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4,722.3</w:t>
            </w:r>
          </w:p>
        </w:tc>
        <w:tc>
          <w:tcPr>
            <w:tcW w:w="9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4,469.1</w:t>
            </w:r>
          </w:p>
        </w:tc>
      </w:tr>
      <w:tr>
        <w:trPr>
          <w:trHeight w:val="183"/>
        </w:trPr>
        <w:tc>
          <w:tcPr>
            <w:tcW w:w="3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Wholesale</w:t>
            </w: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21.1</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110.5</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124.4</w:t>
            </w:r>
          </w:p>
        </w:tc>
        <w:tc>
          <w:tcPr>
            <w:tcW w:w="10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366.7</w:t>
            </w:r>
          </w:p>
        </w:tc>
        <w:tc>
          <w:tcPr>
            <w:tcW w:w="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459.2</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Market - off-system sales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267.0</w:t>
            </w:r>
          </w:p>
        </w:tc>
        <w:tc>
          <w:tcPr>
            <w:tcW w:w="22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227.0</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660.6</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506.8</w:t>
            </w:r>
          </w:p>
        </w:tc>
      </w:tr>
      <w:tr>
        <w:trPr>
          <w:trHeight w:val="18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Transmission</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840" w:type="dxa"/>
            <w:vAlign w:val="bottom"/>
            <w:tcBorders>
              <w:bottom w:val="single" w:sz="8" w:color="CFF0FC"/>
            </w:tcBorders>
            <w:shd w:val="clear" w:color="auto" w:fill="CFF0FC"/>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1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249.7</w:t>
            </w:r>
          </w:p>
        </w:tc>
        <w:tc>
          <w:tcPr>
            <w:tcW w:w="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232.5</w:t>
            </w:r>
          </w:p>
        </w:tc>
        <w:tc>
          <w:tcPr>
            <w:tcW w:w="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706.3</w:t>
            </w:r>
          </w:p>
        </w:tc>
        <w:tc>
          <w:tcPr>
            <w:tcW w:w="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659.8</w:t>
            </w:r>
          </w:p>
        </w:tc>
        <w:tc>
          <w:tcPr>
            <w:tcW w:w="160" w:type="dxa"/>
            <w:vAlign w:val="bottom"/>
            <w:tcBorders>
              <w:bottom w:val="single" w:sz="8" w:color="auto"/>
            </w:tcBorders>
            <w:shd w:val="clear" w:color="auto" w:fill="CFF0FC"/>
          </w:tcPr>
          <w:p>
            <w:pPr>
              <w:jc w:val="right"/>
              <w:ind w:right="2"/>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2,013.1</w:t>
            </w:r>
          </w:p>
        </w:tc>
        <w:tc>
          <w:tcPr>
            <w:tcW w:w="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1,907.3</w:t>
            </w:r>
          </w:p>
        </w:tc>
        <w:tc>
          <w:tcPr>
            <w:tcW w:w="104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5,749.6</w:t>
            </w:r>
          </w:p>
        </w:tc>
        <w:tc>
          <w:tcPr>
            <w:tcW w:w="92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5,435.1</w:t>
            </w:r>
          </w:p>
        </w:tc>
      </w:tr>
      <w:tr>
        <w:trPr>
          <w:trHeight w:val="169"/>
        </w:trPr>
        <w:tc>
          <w:tcPr>
            <w:tcW w:w="3840" w:type="dxa"/>
            <w:vAlign w:val="bottom"/>
          </w:tcPr>
          <w:p>
            <w:pPr>
              <w:spacing w:after="0" w:line="170" w:lineRule="exact"/>
              <w:rPr>
                <w:sz w:val="20"/>
                <w:szCs w:val="20"/>
                <w:color w:val="auto"/>
              </w:rPr>
            </w:pPr>
            <w:r>
              <w:rPr>
                <w:rFonts w:ascii="Arial" w:cs="Arial" w:eastAsia="Arial" w:hAnsi="Arial"/>
                <w:sz w:val="15"/>
                <w:szCs w:val="15"/>
                <w:color w:val="auto"/>
              </w:rPr>
              <w:t xml:space="preserve">Other Uses, Losses, or Generation, net </w:t>
            </w:r>
            <w:r>
              <w:rPr>
                <w:rFonts w:ascii="Arial" w:cs="Arial" w:eastAsia="Arial" w:hAnsi="Arial"/>
                <w:sz w:val="19"/>
                <w:szCs w:val="19"/>
                <w:color w:val="auto"/>
                <w:vertAlign w:val="superscript"/>
              </w:rPr>
              <w:t>(c)</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112.9</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110.7</w:t>
            </w:r>
          </w:p>
        </w:tc>
        <w:tc>
          <w:tcPr>
            <w:tcW w:w="104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332.4</w:t>
            </w:r>
          </w:p>
        </w:tc>
        <w:tc>
          <w:tcPr>
            <w:tcW w:w="92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237.5</w:t>
            </w:r>
          </w:p>
        </w:tc>
      </w:tr>
      <w:tr>
        <w:trPr>
          <w:trHeight w:val="223"/>
        </w:trPr>
        <w:tc>
          <w:tcPr>
            <w:tcW w:w="3840" w:type="dxa"/>
            <w:vAlign w:val="bottom"/>
            <w:tcBorders>
              <w:bottom w:val="single" w:sz="8" w:color="CFF0FC"/>
            </w:tcBorders>
            <w:shd w:val="clear" w:color="auto" w:fill="CFF0FC"/>
          </w:tcPr>
          <w:p>
            <w:pPr>
              <w:ind w:left="80"/>
              <w:spacing w:after="0" w:line="169" w:lineRule="exact"/>
              <w:rPr>
                <w:sz w:val="20"/>
                <w:szCs w:val="20"/>
                <w:color w:val="auto"/>
              </w:rPr>
            </w:pPr>
            <w:r>
              <w:rPr>
                <w:rFonts w:ascii="Arial" w:cs="Arial" w:eastAsia="Arial" w:hAnsi="Arial"/>
                <w:sz w:val="16"/>
                <w:szCs w:val="16"/>
                <w:color w:val="auto"/>
              </w:rPr>
              <w:t>Total Energy</w:t>
            </w: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2,126.0</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2,018.0</w:t>
            </w:r>
          </w:p>
        </w:tc>
        <w:tc>
          <w:tcPr>
            <w:tcW w:w="104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6,082.0</w:t>
            </w:r>
          </w:p>
        </w:tc>
        <w:tc>
          <w:tcPr>
            <w:tcW w:w="92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5,672.6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100" w:hanging="512"/>
        <w:spacing w:after="0" w:line="251"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increase in industrial revenues and quantities sold for the three and nine months ended September 30, 2025, compared to the same periods in 2024, was primarily driven by Wyoming Electric LPCS Tariff and BCIS Tariff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Integrated Generation, inter-segment rent,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Revenue</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Quantities Sold</w:t>
            </w:r>
          </w:p>
        </w:tc>
        <w:tc>
          <w:tcPr>
            <w:tcW w:w="920" w:type="dxa"/>
            <w:vAlign w:val="bottom"/>
            <w:tcBorders>
              <w:bottom w:val="single" w:sz="8" w:color="auto"/>
            </w:tcBorders>
          </w:tcPr>
          <w:p>
            <w:pPr>
              <w:spacing w:after="0"/>
              <w:rPr>
                <w:sz w:val="17"/>
                <w:szCs w:val="17"/>
                <w:color w:val="auto"/>
              </w:rPr>
            </w:pPr>
          </w:p>
        </w:tc>
      </w:tr>
      <w:tr>
        <w:trPr>
          <w:trHeight w:val="168"/>
        </w:trPr>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139"/>
              <w:spacing w:after="0" w:line="168" w:lineRule="exact"/>
              <w:rPr>
                <w:sz w:val="20"/>
                <w:szCs w:val="20"/>
                <w:color w:val="auto"/>
              </w:rPr>
            </w:pPr>
            <w:r>
              <w:rPr>
                <w:rFonts w:ascii="Arial" w:cs="Arial" w:eastAsia="Arial" w:hAnsi="Arial"/>
                <w:sz w:val="16"/>
                <w:szCs w:val="16"/>
                <w:b w:val="1"/>
                <w:bCs w:val="1"/>
                <w:color w:val="auto"/>
              </w:rPr>
              <w:t>Three Months Ended</w:t>
            </w:r>
          </w:p>
        </w:tc>
        <w:tc>
          <w:tcPr>
            <w:tcW w:w="1900" w:type="dxa"/>
            <w:vAlign w:val="bottom"/>
            <w:gridSpan w:val="4"/>
          </w:tcPr>
          <w:p>
            <w:pPr>
              <w:jc w:val="right"/>
              <w:ind w:right="179"/>
              <w:spacing w:after="0" w:line="168" w:lineRule="exact"/>
              <w:rPr>
                <w:sz w:val="20"/>
                <w:szCs w:val="20"/>
                <w:color w:val="auto"/>
              </w:rPr>
            </w:pPr>
            <w:r>
              <w:rPr>
                <w:rFonts w:ascii="Arial" w:cs="Arial" w:eastAsia="Arial" w:hAnsi="Arial"/>
                <w:sz w:val="16"/>
                <w:szCs w:val="16"/>
                <w:b w:val="1"/>
                <w:bCs w:val="1"/>
                <w:color w:val="auto"/>
              </w:rPr>
              <w:t>Nine Months Ended</w:t>
            </w:r>
          </w:p>
        </w:tc>
        <w:tc>
          <w:tcPr>
            <w:tcW w:w="2060" w:type="dxa"/>
            <w:vAlign w:val="bottom"/>
            <w:gridSpan w:val="2"/>
          </w:tcPr>
          <w:p>
            <w:pPr>
              <w:jc w:val="right"/>
              <w:ind w:right="239"/>
              <w:spacing w:after="0" w:line="168" w:lineRule="exact"/>
              <w:rPr>
                <w:sz w:val="20"/>
                <w:szCs w:val="20"/>
                <w:color w:val="auto"/>
              </w:rPr>
            </w:pPr>
            <w:r>
              <w:rPr>
                <w:rFonts w:ascii="Arial" w:cs="Arial" w:eastAsia="Arial" w:hAnsi="Arial"/>
                <w:sz w:val="16"/>
                <w:szCs w:val="16"/>
                <w:b w:val="1"/>
                <w:bCs w:val="1"/>
                <w:color w:val="auto"/>
              </w:rPr>
              <w:t>Three Months Ended</w:t>
            </w:r>
          </w:p>
        </w:tc>
        <w:tc>
          <w:tcPr>
            <w:tcW w:w="1920" w:type="dxa"/>
            <w:vAlign w:val="bottom"/>
            <w:gridSpan w:val="2"/>
          </w:tcPr>
          <w:p>
            <w:pPr>
              <w:jc w:val="right"/>
              <w:ind w:right="19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189"/>
        </w:trPr>
        <w:tc>
          <w:tcPr>
            <w:tcW w:w="3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6"/>
                <w:szCs w:val="16"/>
                <w:color w:val="auto"/>
              </w:rPr>
            </w:pPr>
          </w:p>
        </w:tc>
        <w:tc>
          <w:tcPr>
            <w:tcW w:w="15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8"/>
              </w:rPr>
              <w:t>September 30,</w:t>
            </w:r>
          </w:p>
        </w:tc>
        <w:tc>
          <w:tcPr>
            <w:tcW w:w="20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r>
      <w:tr>
        <w:trPr>
          <w:trHeight w:val="183"/>
        </w:trPr>
        <w:tc>
          <w:tcPr>
            <w:tcW w:w="3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right"/>
              <w:ind w:right="739"/>
              <w:spacing w:after="0" w:line="183" w:lineRule="exact"/>
              <w:rPr>
                <w:sz w:val="20"/>
                <w:szCs w:val="20"/>
                <w:color w:val="auto"/>
              </w:rPr>
            </w:pPr>
            <w:r>
              <w:rPr>
                <w:rFonts w:ascii="Arial" w:cs="Arial" w:eastAsia="Arial" w:hAnsi="Arial"/>
                <w:sz w:val="16"/>
                <w:szCs w:val="16"/>
                <w:color w:val="auto"/>
              </w:rPr>
              <w:t>(in GWh)</w:t>
            </w:r>
          </w:p>
        </w:tc>
        <w:tc>
          <w:tcPr>
            <w:tcW w:w="920" w:type="dxa"/>
            <w:vAlign w:val="bottom"/>
            <w:tcBorders>
              <w:bottom w:val="single" w:sz="8" w:color="auto"/>
            </w:tcBorders>
          </w:tcPr>
          <w:p>
            <w:pPr>
              <w:spacing w:after="0"/>
              <w:rPr>
                <w:sz w:val="15"/>
                <w:szCs w:val="15"/>
                <w:color w:val="auto"/>
              </w:rPr>
            </w:pPr>
          </w:p>
        </w:tc>
      </w:tr>
      <w:tr>
        <w:trPr>
          <w:trHeight w:val="183"/>
        </w:trPr>
        <w:tc>
          <w:tcPr>
            <w:tcW w:w="3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5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79.6</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74.9</w:t>
            </w:r>
          </w:p>
        </w:tc>
        <w:tc>
          <w:tcPr>
            <w:tcW w:w="36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218.3</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208.7</w:t>
            </w:r>
          </w:p>
        </w:tc>
        <w:tc>
          <w:tcPr>
            <w:tcW w:w="11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621.3</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675.4</w:t>
            </w:r>
          </w:p>
        </w:tc>
        <w:tc>
          <w:tcPr>
            <w:tcW w:w="10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1,677.7</w:t>
            </w:r>
          </w:p>
        </w:tc>
        <w:tc>
          <w:tcPr>
            <w:tcW w:w="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1,816.8</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South Dakota Electric</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90.6</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86.0</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255.5</w:t>
            </w:r>
          </w:p>
        </w:tc>
        <w:tc>
          <w:tcPr>
            <w:tcW w:w="2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242.5</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711.8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669.8</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2,032.7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1,882.3</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3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176.7</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659.9</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537.1</w:t>
            </w:r>
          </w:p>
        </w:tc>
        <w:tc>
          <w:tcPr>
            <w:tcW w:w="10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1,970.9</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1,661.8</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Integrated Generation</w:t>
            </w: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31.9</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68.3</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74.2</w:t>
            </w:r>
          </w:p>
        </w:tc>
      </w:tr>
      <w:tr>
        <w:trPr>
          <w:trHeight w:val="223"/>
        </w:trPr>
        <w:tc>
          <w:tcPr>
            <w:tcW w:w="300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Total Revenue and Quantities Sold</w:t>
            </w:r>
          </w:p>
        </w:tc>
        <w:tc>
          <w:tcPr>
            <w:tcW w:w="5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249.7</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232.5</w:t>
            </w:r>
          </w:p>
        </w:tc>
        <w:tc>
          <w:tcPr>
            <w:tcW w:w="360" w:type="dxa"/>
            <w:vAlign w:val="bottom"/>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706.3</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659.8</w:t>
            </w:r>
          </w:p>
        </w:tc>
        <w:tc>
          <w:tcPr>
            <w:tcW w:w="1100" w:type="dxa"/>
            <w:vAlign w:val="bottom"/>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2,013.1</w:t>
            </w:r>
          </w:p>
        </w:tc>
        <w:tc>
          <w:tcPr>
            <w:tcW w:w="9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1,907.3</w:t>
            </w:r>
          </w:p>
        </w:tc>
        <w:tc>
          <w:tcPr>
            <w:tcW w:w="1000" w:type="dxa"/>
            <w:vAlign w:val="bottom"/>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5,749.6</w:t>
            </w:r>
          </w:p>
        </w:tc>
        <w:tc>
          <w:tcPr>
            <w:tcW w:w="9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5,435.1</w:t>
            </w:r>
          </w:p>
        </w:tc>
      </w:tr>
      <w:tr>
        <w:trPr>
          <w:trHeight w:val="397"/>
        </w:trPr>
        <w:tc>
          <w:tcPr>
            <w:tcW w:w="300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751"/>
        </w:trPr>
        <w:tc>
          <w:tcPr>
            <w:tcW w:w="3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7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 September</w:t>
            </w:r>
          </w:p>
        </w:tc>
        <w:tc>
          <w:tcPr>
            <w:tcW w:w="2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Nine Months Ended September</w:t>
            </w:r>
          </w:p>
        </w:tc>
      </w:tr>
      <w:tr>
        <w:trPr>
          <w:trHeight w:val="189"/>
        </w:trPr>
        <w:tc>
          <w:tcPr>
            <w:tcW w:w="5860" w:type="dxa"/>
            <w:vAlign w:val="bottom"/>
          </w:tcPr>
          <w:p>
            <w:pPr>
              <w:spacing w:after="0"/>
              <w:rPr>
                <w:sz w:val="16"/>
                <w:szCs w:val="16"/>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auto"/>
              </w:rPr>
              <w:t>30,</w:t>
            </w:r>
          </w:p>
        </w:tc>
        <w:tc>
          <w:tcPr>
            <w:tcW w:w="1080" w:type="dxa"/>
            <w:vAlign w:val="bottom"/>
          </w:tcPr>
          <w:p>
            <w:pPr>
              <w:spacing w:after="0"/>
              <w:rPr>
                <w:sz w:val="16"/>
                <w:szCs w:val="16"/>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rPr>
              <w:t>30,</w:t>
            </w:r>
          </w:p>
        </w:tc>
        <w:tc>
          <w:tcPr>
            <w:tcW w:w="1040" w:type="dxa"/>
            <w:vAlign w:val="bottom"/>
          </w:tcPr>
          <w:p>
            <w:pPr>
              <w:spacing w:after="0"/>
              <w:rPr>
                <w:sz w:val="16"/>
                <w:szCs w:val="16"/>
                <w:color w:val="auto"/>
              </w:rPr>
            </w:pPr>
          </w:p>
        </w:tc>
      </w:tr>
      <w:tr>
        <w:trPr>
          <w:trHeight w:val="203"/>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17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r>
      <w:tr>
        <w:trPr>
          <w:trHeight w:val="183"/>
        </w:trPr>
        <w:tc>
          <w:tcPr>
            <w:tcW w:w="586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jc w:val="right"/>
              <w:ind w:right="1299"/>
              <w:spacing w:after="0" w:line="183" w:lineRule="exact"/>
              <w:rPr>
                <w:sz w:val="20"/>
                <w:szCs w:val="20"/>
                <w:color w:val="auto"/>
              </w:rPr>
            </w:pPr>
            <w:r>
              <w:rPr>
                <w:rFonts w:ascii="Arial" w:cs="Arial" w:eastAsia="Arial" w:hAnsi="Arial"/>
                <w:sz w:val="16"/>
                <w:szCs w:val="16"/>
                <w:color w:val="auto"/>
              </w:rPr>
              <w:t>(in GWh)</w:t>
            </w:r>
          </w:p>
        </w:tc>
        <w:tc>
          <w:tcPr>
            <w:tcW w:w="1040" w:type="dxa"/>
            <w:vAlign w:val="bottom"/>
            <w:tcBorders>
              <w:bottom w:val="single" w:sz="8" w:color="auto"/>
            </w:tcBorders>
          </w:tcPr>
          <w:p>
            <w:pPr>
              <w:spacing w:after="0"/>
              <w:rPr>
                <w:sz w:val="15"/>
                <w:szCs w:val="15"/>
                <w:color w:val="auto"/>
              </w:rPr>
            </w:pPr>
          </w:p>
        </w:tc>
      </w:tr>
      <w:tr>
        <w:trPr>
          <w:trHeight w:val="183"/>
        </w:trPr>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17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586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(a)</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556.8</w:t>
            </w:r>
          </w:p>
        </w:tc>
        <w:tc>
          <w:tcPr>
            <w:tcW w:w="1080" w:type="dxa"/>
            <w:vAlign w:val="bottom"/>
          </w:tcPr>
          <w:p>
            <w:pPr>
              <w:jc w:val="right"/>
              <w:spacing w:after="0"/>
              <w:rPr>
                <w:sz w:val="20"/>
                <w:szCs w:val="20"/>
                <w:color w:val="auto"/>
              </w:rPr>
            </w:pPr>
            <w:r>
              <w:rPr>
                <w:rFonts w:ascii="Arial" w:cs="Arial" w:eastAsia="Arial" w:hAnsi="Arial"/>
                <w:sz w:val="16"/>
                <w:szCs w:val="16"/>
                <w:color w:val="auto"/>
              </w:rPr>
              <w:t>645.7</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1,614.1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1,804.5</w:t>
            </w:r>
          </w:p>
        </w:tc>
      </w:tr>
      <w:tr>
        <w:trPr>
          <w:trHeight w:val="189"/>
        </w:trPr>
        <w:tc>
          <w:tcPr>
            <w:tcW w:w="5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Natural Gas and Oil</w:t>
            </w:r>
          </w:p>
        </w:tc>
        <w:tc>
          <w:tcPr>
            <w:tcW w:w="17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718.7</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714.4</w:t>
            </w:r>
          </w:p>
        </w:tc>
        <w:tc>
          <w:tcPr>
            <w:tcW w:w="1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1,816.1</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1,689.3</w:t>
            </w:r>
          </w:p>
        </w:tc>
      </w:tr>
      <w:tr>
        <w:trPr>
          <w:trHeight w:val="189"/>
        </w:trPr>
        <w:tc>
          <w:tcPr>
            <w:tcW w:w="5860" w:type="dxa"/>
            <w:vAlign w:val="bottom"/>
          </w:tcPr>
          <w:p>
            <w:pPr>
              <w:ind w:left="60"/>
              <w:spacing w:after="0"/>
              <w:rPr>
                <w:sz w:val="20"/>
                <w:szCs w:val="20"/>
                <w:color w:val="auto"/>
              </w:rPr>
            </w:pPr>
            <w:r>
              <w:rPr>
                <w:rFonts w:ascii="Arial" w:cs="Arial" w:eastAsia="Arial" w:hAnsi="Arial"/>
                <w:sz w:val="16"/>
                <w:szCs w:val="16"/>
                <w:color w:val="auto"/>
              </w:rPr>
              <w:t>Wind</w:t>
            </w: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115.7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426.5</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477.5</w:t>
            </w:r>
          </w:p>
        </w:tc>
      </w:tr>
      <w:tr>
        <w:trPr>
          <w:trHeight w:val="183"/>
        </w:trPr>
        <w:tc>
          <w:tcPr>
            <w:tcW w:w="586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Generated</w:t>
            </w:r>
          </w:p>
        </w:tc>
        <w:tc>
          <w:tcPr>
            <w:tcW w:w="17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1,391.2</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1,501.9</w:t>
            </w:r>
          </w:p>
        </w:tc>
        <w:tc>
          <w:tcPr>
            <w:tcW w:w="156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3,856.7</w:t>
            </w: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3,971.3</w:t>
            </w:r>
          </w:p>
        </w:tc>
      </w:tr>
      <w:tr>
        <w:trPr>
          <w:trHeight w:val="183"/>
        </w:trPr>
        <w:tc>
          <w:tcPr>
            <w:tcW w:w="5860" w:type="dxa"/>
            <w:vAlign w:val="bottom"/>
          </w:tcPr>
          <w:p>
            <w:pPr>
              <w:spacing w:after="0" w:line="183" w:lineRule="exact"/>
              <w:rPr>
                <w:sz w:val="20"/>
                <w:szCs w:val="20"/>
                <w:color w:val="auto"/>
              </w:rPr>
            </w:pPr>
            <w:r>
              <w:rPr>
                <w:rFonts w:ascii="Arial" w:cs="Arial" w:eastAsia="Arial" w:hAnsi="Arial"/>
                <w:sz w:val="16"/>
                <w:szCs w:val="16"/>
                <w:color w:val="auto"/>
              </w:rPr>
              <w:t>Purchased:</w:t>
            </w: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Coal, Natural Gas, Oil, and Other Market Purchases</w:t>
            </w:r>
          </w:p>
        </w:tc>
        <w:tc>
          <w:tcPr>
            <w:tcW w:w="17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458.9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1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1,305.4</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863.0</w:t>
            </w:r>
          </w:p>
        </w:tc>
      </w:tr>
      <w:tr>
        <w:trPr>
          <w:trHeight w:val="189"/>
        </w:trPr>
        <w:tc>
          <w:tcPr>
            <w:tcW w:w="5860" w:type="dxa"/>
            <w:vAlign w:val="bottom"/>
          </w:tcPr>
          <w:p>
            <w:pPr>
              <w:ind w:left="60"/>
              <w:spacing w:after="0"/>
              <w:rPr>
                <w:sz w:val="20"/>
                <w:szCs w:val="20"/>
                <w:color w:val="auto"/>
              </w:rPr>
            </w:pPr>
            <w:r>
              <w:rPr>
                <w:rFonts w:ascii="Arial" w:cs="Arial" w:eastAsia="Arial" w:hAnsi="Arial"/>
                <w:sz w:val="16"/>
                <w:szCs w:val="16"/>
                <w:color w:val="auto"/>
              </w:rPr>
              <w:t>Wind and Solar</w:t>
            </w: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275.9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919.9</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838.3</w:t>
            </w:r>
          </w:p>
        </w:tc>
      </w:tr>
      <w:tr>
        <w:trPr>
          <w:trHeight w:val="183"/>
        </w:trPr>
        <w:tc>
          <w:tcPr>
            <w:tcW w:w="586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 xml:space="preserve">Total Purchased </w:t>
            </w:r>
            <w:r>
              <w:rPr>
                <w:rFonts w:ascii="Arial" w:cs="Arial" w:eastAsia="Arial" w:hAnsi="Arial"/>
                <w:sz w:val="21"/>
                <w:szCs w:val="21"/>
                <w:color w:val="auto"/>
                <w:vertAlign w:val="superscript"/>
              </w:rPr>
              <w:t>(b)</w:t>
            </w:r>
          </w:p>
        </w:tc>
        <w:tc>
          <w:tcPr>
            <w:tcW w:w="17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734.8</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516.1</w:t>
            </w:r>
          </w:p>
        </w:tc>
        <w:tc>
          <w:tcPr>
            <w:tcW w:w="156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2,225.3</w:t>
            </w: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1,701.3</w:t>
            </w:r>
          </w:p>
        </w:tc>
      </w:tr>
      <w:tr>
        <w:trPr>
          <w:trHeight w:val="183"/>
        </w:trPr>
        <w:tc>
          <w:tcPr>
            <w:tcW w:w="5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58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1700" w:type="dxa"/>
            <w:vAlign w:val="bottom"/>
            <w:tcBorders>
              <w:bottom w:val="single" w:sz="8" w:color="auto"/>
            </w:tcBorders>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rPr>
              <w:t>2,126.0</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2,018.0</w:t>
            </w:r>
          </w:p>
        </w:tc>
        <w:tc>
          <w:tcPr>
            <w:tcW w:w="156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6,082.0</w:t>
            </w:r>
          </w:p>
        </w:tc>
        <w:tc>
          <w:tcPr>
            <w:tcW w:w="10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5,672.6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60" w:hanging="512"/>
        <w:spacing w:after="0" w:line="25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decrease in coal generation for the three and nine months ended September 30, 2025, compared to the same period in 2024 is primarily due to unplanned outages at Wygen III.</w:t>
      </w:r>
    </w:p>
    <w:p>
      <w:pPr>
        <w:spacing w:after="0" w:line="1" w:lineRule="exact"/>
        <w:rPr>
          <w:rFonts w:ascii="Arial" w:cs="Arial" w:eastAsia="Arial" w:hAnsi="Arial"/>
          <w:sz w:val="14"/>
          <w:szCs w:val="14"/>
          <w:color w:val="auto"/>
        </w:rPr>
      </w:pPr>
    </w:p>
    <w:p>
      <w:pPr>
        <w:ind w:left="520" w:right="280" w:hanging="512"/>
        <w:spacing w:after="0" w:line="264"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increase in total purchases for the three and nine months ended September 30, 2025, compared to the same periods in 2024, was primarily driven by increased demand from Wyoming Electric LPCS Tariff and BCIS Tariff customers and unplanned outages at Wygen III as discussed in (a) above.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 September</w:t>
            </w:r>
          </w:p>
        </w:tc>
        <w:tc>
          <w:tcPr>
            <w:tcW w:w="2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Nine Months Ended September</w:t>
            </w:r>
          </w:p>
        </w:tc>
      </w:tr>
      <w:tr>
        <w:trPr>
          <w:trHeight w:val="189"/>
        </w:trPr>
        <w:tc>
          <w:tcPr>
            <w:tcW w:w="5820" w:type="dxa"/>
            <w:vAlign w:val="bottom"/>
          </w:tcPr>
          <w:p>
            <w:pPr>
              <w:spacing w:after="0"/>
              <w:rPr>
                <w:sz w:val="16"/>
                <w:szCs w:val="16"/>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10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rPr>
              <w:t>30,</w:t>
            </w:r>
          </w:p>
        </w:tc>
        <w:tc>
          <w:tcPr>
            <w:tcW w:w="1080" w:type="dxa"/>
            <w:vAlign w:val="bottom"/>
          </w:tcPr>
          <w:p>
            <w:pPr>
              <w:spacing w:after="0"/>
              <w:rPr>
                <w:sz w:val="16"/>
                <w:szCs w:val="16"/>
                <w:color w:val="auto"/>
              </w:rPr>
            </w:pPr>
          </w:p>
        </w:tc>
      </w:tr>
      <w:tr>
        <w:trPr>
          <w:trHeight w:val="20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 by Business Unit</w:t>
            </w:r>
          </w:p>
        </w:tc>
        <w:tc>
          <w:tcPr>
            <w:tcW w:w="16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183"/>
        </w:trPr>
        <w:tc>
          <w:tcPr>
            <w:tcW w:w="58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
          </w:tcPr>
          <w:p>
            <w:pPr>
              <w:jc w:val="right"/>
              <w:ind w:right="1279"/>
              <w:spacing w:after="0" w:line="183" w:lineRule="exact"/>
              <w:rPr>
                <w:sz w:val="20"/>
                <w:szCs w:val="20"/>
                <w:color w:val="auto"/>
              </w:rPr>
            </w:pPr>
            <w:r>
              <w:rPr>
                <w:rFonts w:ascii="Arial" w:cs="Arial" w:eastAsia="Arial" w:hAnsi="Arial"/>
                <w:sz w:val="16"/>
                <w:szCs w:val="16"/>
                <w:color w:val="auto"/>
              </w:rPr>
              <w:t>(in GWh)</w:t>
            </w:r>
          </w:p>
        </w:tc>
        <w:tc>
          <w:tcPr>
            <w:tcW w:w="1080" w:type="dxa"/>
            <w:vAlign w:val="bottom"/>
            <w:tcBorders>
              <w:bottom w:val="single" w:sz="8" w:color="auto"/>
            </w:tcBorders>
          </w:tcPr>
          <w:p>
            <w:pPr>
              <w:spacing w:after="0"/>
              <w:rPr>
                <w:sz w:val="15"/>
                <w:szCs w:val="15"/>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1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228.1</w:t>
            </w:r>
          </w:p>
        </w:tc>
        <w:tc>
          <w:tcPr>
            <w:tcW w:w="1100" w:type="dxa"/>
            <w:vAlign w:val="bottom"/>
          </w:tcPr>
          <w:p>
            <w:pPr>
              <w:jc w:val="right"/>
              <w:spacing w:after="0"/>
              <w:rPr>
                <w:sz w:val="20"/>
                <w:szCs w:val="20"/>
                <w:color w:val="auto"/>
              </w:rPr>
            </w:pPr>
            <w:r>
              <w:rPr>
                <w:rFonts w:ascii="Arial" w:cs="Arial" w:eastAsia="Arial" w:hAnsi="Arial"/>
                <w:sz w:val="16"/>
                <w:szCs w:val="16"/>
                <w:color w:val="auto"/>
              </w:rPr>
              <w:t>275.3</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595.5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659.9</w:t>
            </w:r>
          </w:p>
        </w:tc>
      </w:tr>
      <w:tr>
        <w:trPr>
          <w:trHeight w:val="189"/>
        </w:trPr>
        <w:tc>
          <w:tcPr>
            <w:tcW w:w="582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6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453.8</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549.1</w:t>
            </w:r>
          </w:p>
        </w:tc>
        <w:tc>
          <w:tcPr>
            <w:tcW w:w="16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1,377.6</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1,503.5</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Wyoming Electric</w:t>
            </w: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236.9</w:t>
            </w:r>
          </w:p>
        </w:tc>
        <w:tc>
          <w:tcPr>
            <w:tcW w:w="1100" w:type="dxa"/>
            <w:vAlign w:val="bottom"/>
          </w:tcPr>
          <w:p>
            <w:pPr>
              <w:jc w:val="right"/>
              <w:spacing w:after="0"/>
              <w:rPr>
                <w:sz w:val="20"/>
                <w:szCs w:val="20"/>
                <w:color w:val="auto"/>
              </w:rPr>
            </w:pPr>
            <w:r>
              <w:rPr>
                <w:rFonts w:ascii="Arial" w:cs="Arial" w:eastAsia="Arial" w:hAnsi="Arial"/>
                <w:sz w:val="16"/>
                <w:szCs w:val="16"/>
                <w:color w:val="auto"/>
              </w:rPr>
              <w:t>227.9</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676.3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630.9</w:t>
            </w:r>
          </w:p>
        </w:tc>
      </w:tr>
      <w:tr>
        <w:trPr>
          <w:trHeight w:val="189"/>
        </w:trPr>
        <w:tc>
          <w:tcPr>
            <w:tcW w:w="5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164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472.4</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449.6</w:t>
            </w:r>
          </w:p>
        </w:tc>
        <w:tc>
          <w:tcPr>
            <w:tcW w:w="16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1,207.3</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1,177.0</w:t>
            </w:r>
          </w:p>
        </w:tc>
      </w:tr>
      <w:tr>
        <w:trPr>
          <w:trHeight w:val="183"/>
        </w:trPr>
        <w:tc>
          <w:tcPr>
            <w:tcW w:w="5820" w:type="dxa"/>
            <w:vAlign w:val="bottom"/>
          </w:tcPr>
          <w:p>
            <w:pPr>
              <w:ind w:left="120"/>
              <w:spacing w:after="0" w:line="183" w:lineRule="exact"/>
              <w:rPr>
                <w:sz w:val="20"/>
                <w:szCs w:val="20"/>
                <w:color w:val="auto"/>
              </w:rPr>
            </w:pPr>
            <w:r>
              <w:rPr>
                <w:rFonts w:ascii="Arial" w:cs="Arial" w:eastAsia="Arial" w:hAnsi="Arial"/>
                <w:sz w:val="16"/>
                <w:szCs w:val="16"/>
                <w:color w:val="auto"/>
              </w:rPr>
              <w:t>Total Generated</w:t>
            </w:r>
          </w:p>
        </w:tc>
        <w:tc>
          <w:tcPr>
            <w:tcW w:w="16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1,391.2</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1,501.9</w:t>
            </w:r>
          </w:p>
        </w:tc>
        <w:tc>
          <w:tcPr>
            <w:tcW w:w="16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3,856.7</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3,971.3</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Purchased:</w:t>
            </w:r>
          </w:p>
        </w:tc>
        <w:tc>
          <w:tcPr>
            <w:tcW w:w="1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72.8</w:t>
            </w:r>
          </w:p>
        </w:tc>
        <w:tc>
          <w:tcPr>
            <w:tcW w:w="1100" w:type="dxa"/>
            <w:vAlign w:val="bottom"/>
          </w:tcPr>
          <w:p>
            <w:pPr>
              <w:jc w:val="right"/>
              <w:spacing w:after="0"/>
              <w:rPr>
                <w:sz w:val="20"/>
                <w:szCs w:val="20"/>
                <w:color w:val="auto"/>
              </w:rPr>
            </w:pPr>
            <w:r>
              <w:rPr>
                <w:rFonts w:ascii="Arial" w:cs="Arial" w:eastAsia="Arial" w:hAnsi="Arial"/>
                <w:sz w:val="16"/>
                <w:szCs w:val="16"/>
                <w:color w:val="auto"/>
              </w:rPr>
              <w:t>67.2</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269.5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330.1</w:t>
            </w:r>
          </w:p>
        </w:tc>
      </w:tr>
      <w:tr>
        <w:trPr>
          <w:trHeight w:val="189"/>
        </w:trPr>
        <w:tc>
          <w:tcPr>
            <w:tcW w:w="582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6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294.7</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w:t>
            </w:r>
          </w:p>
        </w:tc>
        <w:tc>
          <w:tcPr>
            <w:tcW w:w="16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738.6</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425.4</w:t>
            </w:r>
          </w:p>
        </w:tc>
      </w:tr>
      <w:tr>
        <w:trPr>
          <w:trHeight w:val="189"/>
        </w:trPr>
        <w:tc>
          <w:tcPr>
            <w:tcW w:w="582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(b)</w:t>
            </w:r>
          </w:p>
        </w:tc>
        <w:tc>
          <w:tcPr>
            <w:tcW w:w="1640" w:type="dxa"/>
            <w:vAlign w:val="bottom"/>
          </w:tcPr>
          <w:p>
            <w:pPr>
              <w:jc w:val="right"/>
              <w:ind w:right="299"/>
              <w:spacing w:after="0"/>
              <w:rPr>
                <w:sz w:val="20"/>
                <w:szCs w:val="20"/>
                <w:color w:val="auto"/>
              </w:rPr>
            </w:pPr>
            <w:r>
              <w:rPr>
                <w:rFonts w:ascii="Arial" w:cs="Arial" w:eastAsia="Arial" w:hAnsi="Arial"/>
                <w:sz w:val="16"/>
                <w:szCs w:val="16"/>
                <w:color w:val="auto"/>
              </w:rPr>
              <w:t>357.7</w:t>
            </w:r>
          </w:p>
        </w:tc>
        <w:tc>
          <w:tcPr>
            <w:tcW w:w="1100" w:type="dxa"/>
            <w:vAlign w:val="bottom"/>
          </w:tcPr>
          <w:p>
            <w:pPr>
              <w:jc w:val="right"/>
              <w:spacing w:after="0"/>
              <w:rPr>
                <w:sz w:val="20"/>
                <w:szCs w:val="20"/>
                <w:color w:val="auto"/>
              </w:rPr>
            </w:pPr>
            <w:r>
              <w:rPr>
                <w:rFonts w:ascii="Arial" w:cs="Arial" w:eastAsia="Arial" w:hAnsi="Arial"/>
                <w:sz w:val="16"/>
                <w:szCs w:val="16"/>
                <w:color w:val="auto"/>
              </w:rPr>
              <w:t>269.0</w:t>
            </w: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1,173.5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894.5</w:t>
            </w:r>
          </w:p>
        </w:tc>
      </w:tr>
      <w:tr>
        <w:trPr>
          <w:trHeight w:val="189"/>
        </w:trPr>
        <w:tc>
          <w:tcPr>
            <w:tcW w:w="5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164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9.6</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6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43.7</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51.3</w:t>
            </w:r>
          </w:p>
        </w:tc>
      </w:tr>
      <w:tr>
        <w:trPr>
          <w:trHeight w:val="183"/>
        </w:trPr>
        <w:tc>
          <w:tcPr>
            <w:tcW w:w="5820" w:type="dxa"/>
            <w:vAlign w:val="bottom"/>
          </w:tcPr>
          <w:p>
            <w:pPr>
              <w:ind w:left="120"/>
              <w:spacing w:after="0" w:line="183" w:lineRule="exact"/>
              <w:rPr>
                <w:sz w:val="20"/>
                <w:szCs w:val="20"/>
                <w:color w:val="auto"/>
              </w:rPr>
            </w:pPr>
            <w:r>
              <w:rPr>
                <w:rFonts w:ascii="Arial" w:cs="Arial" w:eastAsia="Arial" w:hAnsi="Arial"/>
                <w:sz w:val="16"/>
                <w:szCs w:val="16"/>
                <w:color w:val="auto"/>
              </w:rPr>
              <w:t>Total Purchased</w:t>
            </w:r>
          </w:p>
        </w:tc>
        <w:tc>
          <w:tcPr>
            <w:tcW w:w="16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734.8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516.1</w:t>
            </w:r>
          </w:p>
        </w:tc>
        <w:tc>
          <w:tcPr>
            <w:tcW w:w="16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2,225.3</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1,701.3</w:t>
            </w:r>
          </w:p>
        </w:tc>
      </w:tr>
      <w:tr>
        <w:trPr>
          <w:trHeight w:val="183"/>
        </w:trPr>
        <w:tc>
          <w:tcPr>
            <w:tcW w:w="58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5820" w:type="dxa"/>
            <w:vAlign w:val="bottom"/>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1640" w:type="dxa"/>
            <w:vAlign w:val="bottom"/>
            <w:tcBorders>
              <w:bottom w:val="single" w:sz="8" w:color="auto"/>
            </w:tcBorders>
          </w:tcPr>
          <w:p>
            <w:pPr>
              <w:jc w:val="right"/>
              <w:ind w:right="299"/>
              <w:spacing w:after="0" w:line="169" w:lineRule="exact"/>
              <w:rPr>
                <w:sz w:val="20"/>
                <w:szCs w:val="20"/>
                <w:color w:val="auto"/>
              </w:rPr>
            </w:pPr>
            <w:r>
              <w:rPr>
                <w:rFonts w:ascii="Arial" w:cs="Arial" w:eastAsia="Arial" w:hAnsi="Arial"/>
                <w:sz w:val="16"/>
                <w:szCs w:val="16"/>
                <w:color w:val="auto"/>
              </w:rPr>
              <w:t>2,126.0</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2,018.0</w:t>
            </w:r>
          </w:p>
        </w:tc>
        <w:tc>
          <w:tcPr>
            <w:tcW w:w="160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6,082.0</w:t>
            </w:r>
          </w:p>
        </w:tc>
        <w:tc>
          <w:tcPr>
            <w:tcW w:w="10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5,672.6</w:t>
            </w:r>
          </w:p>
        </w:tc>
      </w:tr>
      <w:tr>
        <w:trPr>
          <w:trHeight w:val="20"/>
        </w:trPr>
        <w:tc>
          <w:tcPr>
            <w:tcW w:w="5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140" w:hanging="512"/>
        <w:spacing w:after="0" w:line="25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shift in South Dakota Electric's generated and purchased GWh for the three and nine months ended September 30, 2025, compared to the same period in 2024 is primarily driven by unplanned outages at Wygen III.</w:t>
      </w:r>
    </w:p>
    <w:p>
      <w:pPr>
        <w:spacing w:after="0" w:line="1" w:lineRule="exact"/>
        <w:rPr>
          <w:rFonts w:ascii="Arial" w:cs="Arial" w:eastAsia="Arial" w:hAnsi="Arial"/>
          <w:sz w:val="14"/>
          <w:szCs w:val="14"/>
          <w:color w:val="auto"/>
        </w:rPr>
      </w:pPr>
    </w:p>
    <w:p>
      <w:pPr>
        <w:ind w:left="520" w:right="160" w:hanging="512"/>
        <w:spacing w:after="0" w:line="264"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discussed in footnote (b) in the Quantities Generated and Purchased by Fuel Type table above, the increase in Wyoming Electric's purchases is primarily driven by increased demand from LPCS Tariff and BCIS Tariff customers.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43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Pr>
          <w:p>
            <w:pPr>
              <w:spacing w:after="0"/>
              <w:rPr>
                <w:sz w:val="16"/>
                <w:szCs w:val="16"/>
                <w:color w:val="auto"/>
              </w:rPr>
            </w:pPr>
          </w:p>
        </w:tc>
        <w:tc>
          <w:tcPr>
            <w:tcW w:w="34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27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r>
      <w:tr>
        <w:trPr>
          <w:trHeight w:val="168"/>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14"/>
                <w:szCs w:val="14"/>
                <w:color w:val="auto"/>
              </w:rPr>
            </w:pPr>
          </w:p>
        </w:tc>
        <w:tc>
          <w:tcPr>
            <w:tcW w:w="1460" w:type="dxa"/>
            <w:vAlign w:val="bottom"/>
          </w:tcPr>
          <w:p>
            <w:pPr>
              <w:jc w:val="center"/>
              <w:ind w:left="39"/>
              <w:spacing w:after="0" w:line="168" w:lineRule="exact"/>
              <w:rPr>
                <w:sz w:val="20"/>
                <w:szCs w:val="20"/>
                <w:color w:val="auto"/>
              </w:rPr>
            </w:pPr>
            <w:r>
              <w:rPr>
                <w:rFonts w:ascii="Arial" w:cs="Arial" w:eastAsia="Arial" w:hAnsi="Arial"/>
                <w:sz w:val="16"/>
                <w:szCs w:val="16"/>
                <w:b w:val="1"/>
                <w:bCs w:val="1"/>
                <w:color w:val="auto"/>
                <w:w w:val="98"/>
              </w:rPr>
              <w:t>Variance</w:t>
            </w:r>
          </w:p>
        </w:tc>
        <w:tc>
          <w:tcPr>
            <w:tcW w:w="720" w:type="dxa"/>
            <w:vAlign w:val="bottom"/>
          </w:tcPr>
          <w:p>
            <w:pPr>
              <w:spacing w:after="0"/>
              <w:rPr>
                <w:sz w:val="14"/>
                <w:szCs w:val="14"/>
                <w:color w:val="auto"/>
              </w:rPr>
            </w:pPr>
          </w:p>
        </w:tc>
        <w:tc>
          <w:tcPr>
            <w:tcW w:w="1280" w:type="dxa"/>
            <w:vAlign w:val="bottom"/>
          </w:tcPr>
          <w:p>
            <w:pPr>
              <w:jc w:val="center"/>
              <w:ind w:left="79"/>
              <w:spacing w:after="0" w:line="168" w:lineRule="exact"/>
              <w:rPr>
                <w:sz w:val="20"/>
                <w:szCs w:val="20"/>
                <w:color w:val="auto"/>
              </w:rPr>
            </w:pPr>
            <w:r>
              <w:rPr>
                <w:rFonts w:ascii="Arial" w:cs="Arial" w:eastAsia="Arial" w:hAnsi="Arial"/>
                <w:sz w:val="16"/>
                <w:szCs w:val="16"/>
                <w:b w:val="1"/>
                <w:bCs w:val="1"/>
                <w:color w:val="auto"/>
              </w:rPr>
              <w:t>Variance</w:t>
            </w:r>
          </w:p>
        </w:tc>
      </w:tr>
      <w:tr>
        <w:trPr>
          <w:trHeight w:val="20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Degree Days</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Actual</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from Normal</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from Normal</w:t>
            </w: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w w:val="98"/>
              </w:rPr>
              <w:t>Actual</w:t>
            </w:r>
          </w:p>
        </w:tc>
        <w:tc>
          <w:tcPr>
            <w:tcW w:w="146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from Normal</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2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from Normal</w:t>
            </w:r>
          </w:p>
        </w:tc>
      </w:tr>
      <w:tr>
        <w:trPr>
          <w:trHeight w:val="183"/>
        </w:trPr>
        <w:tc>
          <w:tcPr>
            <w:tcW w:w="2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Heating Degree Days:</w:t>
            </w:r>
          </w:p>
        </w:tc>
        <w:tc>
          <w:tcPr>
            <w:tcW w:w="8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rPr>
              <w:t>34</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8"/>
              </w:rPr>
              <w:t>(15)%</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19</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(57)%</w:t>
            </w:r>
          </w:p>
        </w:tc>
        <w:tc>
          <w:tcPr>
            <w:tcW w:w="660" w:type="dxa"/>
            <w:vAlign w:val="bottom"/>
          </w:tcPr>
          <w:p>
            <w:pPr>
              <w:jc w:val="center"/>
              <w:ind w:left="79"/>
              <w:spacing w:after="0"/>
              <w:rPr>
                <w:sz w:val="20"/>
                <w:szCs w:val="20"/>
                <w:color w:val="auto"/>
              </w:rPr>
            </w:pPr>
            <w:r>
              <w:rPr>
                <w:rFonts w:ascii="Arial" w:cs="Arial" w:eastAsia="Arial" w:hAnsi="Arial"/>
                <w:sz w:val="16"/>
                <w:szCs w:val="16"/>
                <w:color w:val="auto"/>
              </w:rPr>
              <w:t>3,390</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8%</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3,050</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(8)%</w:t>
            </w:r>
          </w:p>
        </w:tc>
      </w:tr>
      <w:tr>
        <w:trPr>
          <w:trHeight w:val="189"/>
        </w:trPr>
        <w:tc>
          <w:tcPr>
            <w:tcW w:w="2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86</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8"/>
              </w:rPr>
              <w:t>(41)%</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48</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(71)%</w:t>
            </w:r>
          </w:p>
        </w:tc>
        <w:tc>
          <w:tcPr>
            <w:tcW w:w="6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4,432</w:t>
            </w:r>
          </w:p>
        </w:tc>
        <w:tc>
          <w:tcPr>
            <w:tcW w:w="14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4,080</w:t>
            </w:r>
          </w:p>
        </w:tc>
        <w:tc>
          <w:tcPr>
            <w:tcW w:w="128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8"/>
              </w:rPr>
              <w:t>(12)%</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157</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109</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(35)%</w:t>
            </w:r>
          </w:p>
        </w:tc>
        <w:tc>
          <w:tcPr>
            <w:tcW w:w="660" w:type="dxa"/>
            <w:vAlign w:val="bottom"/>
          </w:tcPr>
          <w:p>
            <w:pPr>
              <w:jc w:val="center"/>
              <w:ind w:left="79"/>
              <w:spacing w:after="0"/>
              <w:rPr>
                <w:sz w:val="20"/>
                <w:szCs w:val="20"/>
                <w:color w:val="auto"/>
              </w:rPr>
            </w:pPr>
            <w:r>
              <w:rPr>
                <w:rFonts w:ascii="Arial" w:cs="Arial" w:eastAsia="Arial" w:hAnsi="Arial"/>
                <w:sz w:val="16"/>
                <w:szCs w:val="16"/>
                <w:color w:val="auto"/>
              </w:rPr>
              <w:t>4,382</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2%</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4,135</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(8)%</w:t>
            </w:r>
          </w:p>
        </w:tc>
      </w:tr>
      <w:tr>
        <w:trPr>
          <w:trHeight w:val="189"/>
        </w:trPr>
        <w:tc>
          <w:tcPr>
            <w:tcW w:w="274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77</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8"/>
              </w:rPr>
              <w:t>(24)%</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47</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(58)%</w:t>
            </w:r>
          </w:p>
        </w:tc>
        <w:tc>
          <w:tcPr>
            <w:tcW w:w="6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3,952</w:t>
            </w:r>
          </w:p>
        </w:tc>
        <w:tc>
          <w:tcPr>
            <w:tcW w:w="14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3%</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3,624</w:t>
            </w:r>
          </w:p>
        </w:tc>
        <w:tc>
          <w:tcPr>
            <w:tcW w:w="128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8"/>
              </w:rPr>
              <w:t>(10)%</w:t>
            </w:r>
          </w:p>
        </w:tc>
      </w:tr>
      <w:tr>
        <w:trPr>
          <w:trHeight w:val="189"/>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Cooling Degree Days:</w:t>
            </w:r>
          </w:p>
        </w:tc>
        <w:tc>
          <w:tcPr>
            <w:tcW w:w="8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770</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8"/>
              </w:rPr>
              <w:t>(13)%</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904</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5%</w:t>
            </w:r>
          </w:p>
        </w:tc>
        <w:tc>
          <w:tcPr>
            <w:tcW w:w="660" w:type="dxa"/>
            <w:vAlign w:val="bottom"/>
          </w:tcPr>
          <w:p>
            <w:pPr>
              <w:jc w:val="center"/>
              <w:ind w:left="79"/>
              <w:spacing w:after="0"/>
              <w:rPr>
                <w:sz w:val="20"/>
                <w:szCs w:val="20"/>
                <w:color w:val="auto"/>
              </w:rPr>
            </w:pPr>
            <w:r>
              <w:rPr>
                <w:rFonts w:ascii="Arial" w:cs="Arial" w:eastAsia="Arial" w:hAnsi="Arial"/>
                <w:sz w:val="16"/>
                <w:szCs w:val="16"/>
                <w:color w:val="auto"/>
              </w:rPr>
              <w:t>1,005</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(14)%</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1,247</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w w:val="99"/>
              </w:rPr>
              <w:t>10%</w:t>
            </w:r>
          </w:p>
        </w:tc>
      </w:tr>
      <w:tr>
        <w:trPr>
          <w:trHeight w:val="189"/>
        </w:trPr>
        <w:tc>
          <w:tcPr>
            <w:tcW w:w="2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598</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10%</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789</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57%</w:t>
            </w:r>
          </w:p>
        </w:tc>
        <w:tc>
          <w:tcPr>
            <w:tcW w:w="6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7"/>
              </w:rPr>
              <w:t>760</w:t>
            </w:r>
          </w:p>
        </w:tc>
        <w:tc>
          <w:tcPr>
            <w:tcW w:w="14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9"/>
              </w:rPr>
              <w:t>15%</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7"/>
              </w:rPr>
              <w:t>903</w:t>
            </w:r>
          </w:p>
        </w:tc>
        <w:tc>
          <w:tcPr>
            <w:tcW w:w="12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48%</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277</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8"/>
              </w:rPr>
              <w:t>(31)%</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368</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rPr>
              <w:t>(6)%</w:t>
            </w:r>
          </w:p>
        </w:tc>
        <w:tc>
          <w:tcPr>
            <w:tcW w:w="660" w:type="dxa"/>
            <w:vAlign w:val="bottom"/>
          </w:tcPr>
          <w:p>
            <w:pPr>
              <w:jc w:val="center"/>
              <w:ind w:left="79"/>
              <w:spacing w:after="0"/>
              <w:rPr>
                <w:sz w:val="20"/>
                <w:szCs w:val="20"/>
                <w:color w:val="auto"/>
              </w:rPr>
            </w:pPr>
            <w:r>
              <w:rPr>
                <w:rFonts w:ascii="Arial" w:cs="Arial" w:eastAsia="Arial" w:hAnsi="Arial"/>
                <w:sz w:val="16"/>
                <w:szCs w:val="16"/>
                <w:color w:val="auto"/>
                <w:w w:val="97"/>
              </w:rPr>
              <w:t>337</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(30)%</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7"/>
              </w:rPr>
              <w:t>486</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rPr>
              <w:t>6%</w:t>
            </w:r>
          </w:p>
        </w:tc>
      </w:tr>
      <w:tr>
        <w:trPr>
          <w:trHeight w:val="189"/>
        </w:trPr>
        <w:tc>
          <w:tcPr>
            <w:tcW w:w="274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610</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(8)%</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756</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17%</w:t>
            </w:r>
          </w:p>
        </w:tc>
        <w:tc>
          <w:tcPr>
            <w:tcW w:w="6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w w:val="97"/>
              </w:rPr>
              <w:t>785</w:t>
            </w:r>
          </w:p>
        </w:tc>
        <w:tc>
          <w:tcPr>
            <w:tcW w:w="14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(8)%</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7"/>
              </w:rPr>
              <w:t>975</w:t>
            </w:r>
          </w:p>
        </w:tc>
        <w:tc>
          <w:tcPr>
            <w:tcW w:w="12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6180" w:type="dxa"/>
            <w:vAlign w:val="bottom"/>
            <w:gridSpan w:val="4"/>
          </w:tcPr>
          <w:p>
            <w:pPr>
              <w:ind w:left="660"/>
              <w:spacing w:after="0"/>
              <w:rPr>
                <w:sz w:val="20"/>
                <w:szCs w:val="20"/>
                <w:color w:val="auto"/>
              </w:rPr>
            </w:pPr>
            <w:r>
              <w:rPr>
                <w:rFonts w:ascii="Arial" w:cs="Arial" w:eastAsia="Arial" w:hAnsi="Arial"/>
                <w:sz w:val="16"/>
                <w:szCs w:val="16"/>
                <w:b w:val="1"/>
                <w:bCs w:val="1"/>
                <w:color w:val="auto"/>
              </w:rPr>
              <w:t>Three Months Ended September 30, Nine Months Ended September 30,</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rPr>
              <w:t>2025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5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w:t>
            </w:r>
          </w:p>
        </w:tc>
        <w:tc>
          <w:tcPr>
            <w:tcW w:w="2020" w:type="dxa"/>
            <w:vAlign w:val="bottom"/>
            <w:shd w:val="clear" w:color="auto" w:fill="CFF0FC"/>
          </w:tcPr>
          <w:p>
            <w:pPr>
              <w:jc w:val="center"/>
              <w:ind w:left="499"/>
              <w:spacing w:after="0" w:line="183" w:lineRule="exact"/>
              <w:rPr>
                <w:sz w:val="20"/>
                <w:szCs w:val="20"/>
                <w:color w:val="auto"/>
              </w:rPr>
            </w:pPr>
            <w:r>
              <w:rPr>
                <w:rFonts w:ascii="Arial" w:cs="Arial" w:eastAsia="Arial" w:hAnsi="Arial"/>
                <w:sz w:val="16"/>
                <w:szCs w:val="16"/>
                <w:color w:val="auto"/>
                <w:w w:val="96"/>
              </w:rPr>
              <w:t>77.3%</w:t>
            </w:r>
          </w:p>
        </w:tc>
        <w:tc>
          <w:tcPr>
            <w:tcW w:w="1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90.7%</w:t>
            </w:r>
          </w:p>
        </w:tc>
        <w:tc>
          <w:tcPr>
            <w:tcW w:w="13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80.6%</w:t>
            </w:r>
          </w:p>
        </w:tc>
        <w:tc>
          <w:tcPr>
            <w:tcW w:w="13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20"/>
                <w:szCs w:val="20"/>
                <w:color w:val="auto"/>
              </w:rPr>
            </w:pPr>
            <w:r>
              <w:rPr>
                <w:rFonts w:ascii="Arial" w:cs="Arial" w:eastAsia="Arial" w:hAnsi="Arial"/>
                <w:sz w:val="16"/>
                <w:szCs w:val="16"/>
                <w:color w:val="auto"/>
              </w:rPr>
              <w:t>Natural gas and diesel oil</w:t>
            </w:r>
          </w:p>
        </w:tc>
        <w:tc>
          <w:tcPr>
            <w:tcW w:w="2020" w:type="dxa"/>
            <w:vAlign w:val="bottom"/>
          </w:tcPr>
          <w:p>
            <w:pPr>
              <w:jc w:val="center"/>
              <w:ind w:left="499"/>
              <w:spacing w:after="0"/>
              <w:rPr>
                <w:sz w:val="20"/>
                <w:szCs w:val="20"/>
                <w:color w:val="auto"/>
              </w:rPr>
            </w:pPr>
            <w:r>
              <w:rPr>
                <w:rFonts w:ascii="Arial" w:cs="Arial" w:eastAsia="Arial" w:hAnsi="Arial"/>
                <w:sz w:val="16"/>
                <w:szCs w:val="16"/>
                <w:color w:val="auto"/>
                <w:w w:val="96"/>
              </w:rPr>
              <w:t>97.9%</w:t>
            </w:r>
          </w:p>
        </w:tc>
        <w:tc>
          <w:tcPr>
            <w:tcW w:w="1460" w:type="dxa"/>
            <w:vAlign w:val="bottom"/>
          </w:tcPr>
          <w:p>
            <w:pPr>
              <w:jc w:val="center"/>
              <w:spacing w:after="0"/>
              <w:rPr>
                <w:sz w:val="20"/>
                <w:szCs w:val="20"/>
                <w:color w:val="auto"/>
              </w:rPr>
            </w:pPr>
            <w:r>
              <w:rPr>
                <w:rFonts w:ascii="Arial" w:cs="Arial" w:eastAsia="Arial" w:hAnsi="Arial"/>
                <w:sz w:val="16"/>
                <w:szCs w:val="16"/>
                <w:color w:val="auto"/>
              </w:rPr>
              <w:t>98.0%</w:t>
            </w:r>
          </w:p>
        </w:tc>
        <w:tc>
          <w:tcPr>
            <w:tcW w:w="1380" w:type="dxa"/>
            <w:vAlign w:val="bottom"/>
          </w:tcPr>
          <w:p>
            <w:pPr>
              <w:jc w:val="center"/>
              <w:spacing w:after="0"/>
              <w:rPr>
                <w:sz w:val="20"/>
                <w:szCs w:val="20"/>
                <w:color w:val="auto"/>
              </w:rPr>
            </w:pPr>
            <w:r>
              <w:rPr>
                <w:rFonts w:ascii="Arial" w:cs="Arial" w:eastAsia="Arial" w:hAnsi="Arial"/>
                <w:sz w:val="16"/>
                <w:szCs w:val="16"/>
                <w:color w:val="auto"/>
              </w:rPr>
              <w:t>94.2%</w:t>
            </w:r>
          </w:p>
        </w:tc>
        <w:tc>
          <w:tcPr>
            <w:tcW w:w="1320" w:type="dxa"/>
            <w:vAlign w:val="bottom"/>
          </w:tcPr>
          <w:p>
            <w:pPr>
              <w:jc w:val="center"/>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18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Wind</w:t>
            </w:r>
          </w:p>
        </w:tc>
        <w:tc>
          <w:tcPr>
            <w:tcW w:w="2020" w:type="dxa"/>
            <w:vAlign w:val="bottom"/>
            <w:shd w:val="clear" w:color="auto" w:fill="CFF0FC"/>
          </w:tcPr>
          <w:p>
            <w:pPr>
              <w:jc w:val="center"/>
              <w:ind w:left="499"/>
              <w:spacing w:after="0"/>
              <w:rPr>
                <w:sz w:val="20"/>
                <w:szCs w:val="20"/>
                <w:color w:val="auto"/>
              </w:rPr>
            </w:pPr>
            <w:r>
              <w:rPr>
                <w:rFonts w:ascii="Arial" w:cs="Arial" w:eastAsia="Arial" w:hAnsi="Arial"/>
                <w:sz w:val="16"/>
                <w:szCs w:val="16"/>
                <w:color w:val="auto"/>
                <w:w w:val="96"/>
              </w:rPr>
              <w:t>82.8%</w:t>
            </w: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92.3%</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82.6%</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6"/>
                <w:szCs w:val="16"/>
                <w:color w:val="auto"/>
              </w:rPr>
              <w:t xml:space="preserve">Total Availability </w:t>
            </w:r>
            <w:r>
              <w:rPr>
                <w:rFonts w:ascii="Arial" w:cs="Arial" w:eastAsia="Arial" w:hAnsi="Arial"/>
                <w:sz w:val="21"/>
                <w:szCs w:val="21"/>
                <w:color w:val="auto"/>
                <w:vertAlign w:val="superscript"/>
              </w:rPr>
              <w:t>(b)</w:t>
            </w:r>
          </w:p>
        </w:tc>
        <w:tc>
          <w:tcPr>
            <w:tcW w:w="2020" w:type="dxa"/>
            <w:vAlign w:val="bottom"/>
          </w:tcPr>
          <w:p>
            <w:pPr>
              <w:jc w:val="center"/>
              <w:ind w:left="499"/>
              <w:spacing w:after="0"/>
              <w:rPr>
                <w:sz w:val="20"/>
                <w:szCs w:val="20"/>
                <w:color w:val="auto"/>
              </w:rPr>
            </w:pPr>
            <w:r>
              <w:rPr>
                <w:rFonts w:ascii="Arial" w:cs="Arial" w:eastAsia="Arial" w:hAnsi="Arial"/>
                <w:sz w:val="16"/>
                <w:szCs w:val="16"/>
                <w:color w:val="auto"/>
                <w:w w:val="96"/>
              </w:rPr>
              <w:t>89.9%</w:t>
            </w:r>
          </w:p>
        </w:tc>
        <w:tc>
          <w:tcPr>
            <w:tcW w:w="1460" w:type="dxa"/>
            <w:vAlign w:val="bottom"/>
          </w:tcPr>
          <w:p>
            <w:pPr>
              <w:jc w:val="center"/>
              <w:spacing w:after="0"/>
              <w:rPr>
                <w:sz w:val="20"/>
                <w:szCs w:val="20"/>
                <w:color w:val="auto"/>
              </w:rPr>
            </w:pPr>
            <w:r>
              <w:rPr>
                <w:rFonts w:ascii="Arial" w:cs="Arial" w:eastAsia="Arial" w:hAnsi="Arial"/>
                <w:sz w:val="16"/>
                <w:szCs w:val="16"/>
                <w:color w:val="auto"/>
              </w:rPr>
              <w:t>95.1%</w:t>
            </w:r>
          </w:p>
        </w:tc>
        <w:tc>
          <w:tcPr>
            <w:tcW w:w="1380" w:type="dxa"/>
            <w:vAlign w:val="bottom"/>
          </w:tcPr>
          <w:p>
            <w:pPr>
              <w:jc w:val="center"/>
              <w:spacing w:after="0"/>
              <w:rPr>
                <w:sz w:val="20"/>
                <w:szCs w:val="20"/>
                <w:color w:val="auto"/>
              </w:rPr>
            </w:pPr>
            <w:r>
              <w:rPr>
                <w:rFonts w:ascii="Arial" w:cs="Arial" w:eastAsia="Arial" w:hAnsi="Arial"/>
                <w:sz w:val="16"/>
                <w:szCs w:val="16"/>
                <w:color w:val="auto"/>
              </w:rPr>
              <w:t>88.7%</w:t>
            </w:r>
          </w:p>
        </w:tc>
        <w:tc>
          <w:tcPr>
            <w:tcW w:w="1320" w:type="dxa"/>
            <w:vAlign w:val="bottom"/>
          </w:tcPr>
          <w:p>
            <w:pPr>
              <w:jc w:val="center"/>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89"/>
        </w:trPr>
        <w:tc>
          <w:tcPr>
            <w:tcW w:w="506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060" w:type="dxa"/>
            <w:vAlign w:val="bottom"/>
          </w:tcPr>
          <w:p>
            <w:pPr>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2020" w:type="dxa"/>
            <w:vAlign w:val="bottom"/>
          </w:tcPr>
          <w:p>
            <w:pPr>
              <w:jc w:val="center"/>
              <w:ind w:left="499"/>
              <w:spacing w:after="0"/>
              <w:rPr>
                <w:sz w:val="20"/>
                <w:szCs w:val="20"/>
                <w:color w:val="auto"/>
              </w:rPr>
            </w:pPr>
            <w:r>
              <w:rPr>
                <w:rFonts w:ascii="Arial" w:cs="Arial" w:eastAsia="Arial" w:hAnsi="Arial"/>
                <w:sz w:val="16"/>
                <w:szCs w:val="16"/>
                <w:color w:val="auto"/>
                <w:w w:val="96"/>
              </w:rPr>
              <w:t>26.1%</w:t>
            </w:r>
          </w:p>
        </w:tc>
        <w:tc>
          <w:tcPr>
            <w:tcW w:w="1460" w:type="dxa"/>
            <w:vAlign w:val="bottom"/>
          </w:tcPr>
          <w:p>
            <w:pPr>
              <w:jc w:val="center"/>
              <w:spacing w:after="0"/>
              <w:rPr>
                <w:sz w:val="20"/>
                <w:szCs w:val="20"/>
                <w:color w:val="auto"/>
              </w:rPr>
            </w:pPr>
            <w:r>
              <w:rPr>
                <w:rFonts w:ascii="Arial" w:cs="Arial" w:eastAsia="Arial" w:hAnsi="Arial"/>
                <w:sz w:val="16"/>
                <w:szCs w:val="16"/>
                <w:color w:val="auto"/>
              </w:rPr>
              <w:t>32.0%</w:t>
            </w:r>
          </w:p>
        </w:tc>
        <w:tc>
          <w:tcPr>
            <w:tcW w:w="1380" w:type="dxa"/>
            <w:vAlign w:val="bottom"/>
          </w:tcPr>
          <w:p>
            <w:pPr>
              <w:jc w:val="center"/>
              <w:spacing w:after="0"/>
              <w:rPr>
                <w:sz w:val="20"/>
                <w:szCs w:val="20"/>
                <w:color w:val="auto"/>
              </w:rPr>
            </w:pPr>
            <w:r>
              <w:rPr>
                <w:rFonts w:ascii="Arial" w:cs="Arial" w:eastAsia="Arial" w:hAnsi="Arial"/>
                <w:sz w:val="16"/>
                <w:szCs w:val="16"/>
                <w:color w:val="auto"/>
              </w:rPr>
              <w:t>32.4%</w:t>
            </w:r>
          </w:p>
        </w:tc>
        <w:tc>
          <w:tcPr>
            <w:tcW w:w="1320" w:type="dxa"/>
            <w:vAlign w:val="bottom"/>
          </w:tcPr>
          <w:p>
            <w:pPr>
              <w:jc w:val="center"/>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45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right="300" w:hanging="512"/>
        <w:spacing w:after="0" w:line="264"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2025 included unplanned outages at Wygen III, Pueblo Airport Generation #4-5 and Busch Ranch I and II. 2024 included unplanned outages at Wygen I and Pueblo Airport Generation #4-5.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auto"/>
              </w:rPr>
              <w:t>2025 vs 2024</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2025 vs 2024</w:t>
            </w:r>
          </w:p>
        </w:tc>
      </w:tr>
      <w:tr>
        <w:trPr>
          <w:trHeight w:val="203"/>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3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184.4</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173.6</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10.8</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979.9</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884.2</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95.7</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Cost of natural gas sold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w:t>
            </w:r>
          </w:p>
        </w:tc>
      </w:tr>
      <w:tr>
        <w:trPr>
          <w:trHeight w:val="183"/>
        </w:trPr>
        <w:tc>
          <w:tcPr>
            <w:tcW w:w="3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Gas Utility margin (non-GAAP) </w:t>
            </w:r>
            <w:r>
              <w:rPr>
                <w:rFonts w:ascii="Arial" w:cs="Arial" w:eastAsia="Arial" w:hAnsi="Arial"/>
                <w:sz w:val="21"/>
                <w:szCs w:val="21"/>
                <w:color w:val="auto"/>
                <w:vertAlign w:val="superscript"/>
              </w:rPr>
              <w:t>(a)</w:t>
            </w: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142.1</w:t>
            </w:r>
          </w:p>
        </w:tc>
        <w:tc>
          <w:tcPr>
            <w:tcW w:w="3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133.9</w:t>
            </w: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8.2</w:t>
            </w:r>
          </w:p>
        </w:tc>
        <w:tc>
          <w:tcPr>
            <w:tcW w:w="3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576.2</w:t>
            </w: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521.3</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54.9</w:t>
            </w:r>
          </w:p>
        </w:tc>
      </w:tr>
      <w:tr>
        <w:trPr>
          <w:trHeight w:val="183"/>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97.6</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w:t>
            </w:r>
          </w:p>
        </w:tc>
      </w:tr>
      <w:tr>
        <w:trPr>
          <w:trHeight w:val="189"/>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0.9</w:t>
            </w:r>
          </w:p>
        </w:tc>
        <w:tc>
          <w:tcPr>
            <w:tcW w:w="3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183"/>
        </w:trPr>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121.3</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123.0</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368.5</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356.7</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11.8</w:t>
            </w:r>
          </w:p>
        </w:tc>
      </w:tr>
      <w:tr>
        <w:trPr>
          <w:trHeight w:val="183"/>
        </w:trPr>
        <w:tc>
          <w:tcPr>
            <w:tcW w:w="3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382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20.8</w:t>
            </w:r>
          </w:p>
        </w:tc>
        <w:tc>
          <w:tcPr>
            <w:tcW w:w="3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10.9</w:t>
            </w:r>
          </w:p>
        </w:tc>
        <w:tc>
          <w:tcPr>
            <w:tcW w:w="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9.9</w:t>
            </w:r>
          </w:p>
        </w:tc>
        <w:tc>
          <w:tcPr>
            <w:tcW w:w="32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207.7</w:t>
            </w:r>
          </w:p>
        </w:tc>
        <w:tc>
          <w:tcPr>
            <w:tcW w:w="28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164.6</w:t>
            </w:r>
          </w:p>
        </w:tc>
        <w:tc>
          <w:tcPr>
            <w:tcW w:w="2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43.1</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2025, Compared to the Three Months Ended September 30, 2024:</w:t>
      </w:r>
    </w:p>
    <w:p>
      <w:pPr>
        <w:spacing w:after="0" w:line="194"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Utility margin increased as a result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9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New rates and rider recovery</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12.5</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Weather</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9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r>
      <w:tr>
        <w:trPr>
          <w:trHeight w:val="183"/>
        </w:trPr>
        <w:tc>
          <w:tcPr>
            <w:tcW w:w="96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8.2</w:t>
            </w:r>
          </w:p>
        </w:tc>
      </w:tr>
      <w:tr>
        <w:trPr>
          <w:trHeight w:val="20"/>
        </w:trPr>
        <w:tc>
          <w:tcPr>
            <w:tcW w:w="9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decreased primarily due to lower employee related expenses.</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was comparable to the same period in the prior year.</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Utility margin increased as a result of the following:</w:t>
      </w:r>
    </w:p>
    <w:p>
      <w:pPr>
        <w:spacing w:after="0" w:line="207"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12065</wp:posOffset>
            </wp:positionV>
            <wp:extent cx="10198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Transport and transmission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Retail customer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Retail customer usage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167" w:hanging="1167"/>
        <w:spacing w:after="0"/>
        <w:tabs>
          <w:tab w:leader="none" w:pos="1167" w:val="left"/>
        </w:tabs>
        <w:numPr>
          <w:ilvl w:val="0"/>
          <w:numId w:val="50"/>
        </w:numPr>
        <w:rPr>
          <w:rFonts w:ascii="Arial" w:cs="Arial" w:eastAsia="Arial" w:hAnsi="Arial"/>
          <w:sz w:val="16"/>
          <w:szCs w:val="16"/>
          <w:color w:val="auto"/>
        </w:rPr>
      </w:pPr>
      <w:r>
        <w:rPr>
          <w:rFonts w:ascii="Arial" w:cs="Arial" w:eastAsia="Arial" w:hAnsi="Arial"/>
          <w:sz w:val="16"/>
          <w:szCs w:val="16"/>
          <w:color w:val="auto"/>
        </w:rPr>
        <w:t>46.4</w:t>
      </w:r>
    </w:p>
    <w:p>
      <w:pPr>
        <w:spacing w:after="0" w:line="8" w:lineRule="exact"/>
        <w:rPr>
          <w:rFonts w:ascii="Arial" w:cs="Arial" w:eastAsia="Arial" w:hAnsi="Arial"/>
          <w:sz w:val="16"/>
          <w:szCs w:val="16"/>
          <w:color w:val="auto"/>
        </w:rPr>
      </w:pPr>
    </w:p>
    <w:p>
      <w:pPr>
        <w:ind w:left="1267"/>
        <w:spacing w:after="0"/>
        <w:rPr>
          <w:rFonts w:ascii="Arial" w:cs="Arial" w:eastAsia="Arial" w:hAnsi="Arial"/>
          <w:sz w:val="16"/>
          <w:szCs w:val="16"/>
          <w:color w:val="auto"/>
        </w:rPr>
      </w:pPr>
      <w:r>
        <w:rPr>
          <w:rFonts w:ascii="Arial" w:cs="Arial" w:eastAsia="Arial" w:hAnsi="Arial"/>
          <w:sz w:val="16"/>
          <w:szCs w:val="16"/>
          <w:color w:val="auto"/>
        </w:rPr>
        <w:t>8.4</w:t>
      </w:r>
    </w:p>
    <w:p>
      <w:pPr>
        <w:spacing w:after="0" w:line="5" w:lineRule="exact"/>
        <w:rPr>
          <w:rFonts w:ascii="Arial" w:cs="Arial" w:eastAsia="Arial" w:hAnsi="Arial"/>
          <w:sz w:val="16"/>
          <w:szCs w:val="16"/>
          <w:color w:val="auto"/>
        </w:rPr>
      </w:pPr>
    </w:p>
    <w:p>
      <w:pPr>
        <w:ind w:left="1267"/>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5" w:lineRule="exact"/>
        <w:rPr>
          <w:rFonts w:ascii="Arial" w:cs="Arial" w:eastAsia="Arial" w:hAnsi="Arial"/>
          <w:sz w:val="16"/>
          <w:szCs w:val="16"/>
          <w:color w:val="auto"/>
        </w:rPr>
      </w:pPr>
    </w:p>
    <w:p>
      <w:pPr>
        <w:ind w:left="1267"/>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(6.1)</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1167" w:hanging="1167"/>
        <w:spacing w:after="0"/>
        <w:tabs>
          <w:tab w:leader="none" w:pos="1167" w:val="left"/>
        </w:tabs>
        <w:numPr>
          <w:ilvl w:val="0"/>
          <w:numId w:val="51"/>
        </w:numPr>
        <w:rPr>
          <w:rFonts w:ascii="Arial" w:cs="Arial" w:eastAsia="Arial" w:hAnsi="Arial"/>
          <w:sz w:val="16"/>
          <w:szCs w:val="16"/>
          <w:color w:val="auto"/>
        </w:rPr>
      </w:pPr>
      <w:r>
        <w:rPr>
          <w:rFonts w:ascii="Arial" w:cs="Arial" w:eastAsia="Arial" w:hAnsi="Arial"/>
          <w:sz w:val="16"/>
          <w:szCs w:val="16"/>
          <w:color w:val="auto"/>
        </w:rPr>
        <w:t>54.9</w:t>
      </w:r>
    </w:p>
    <w:p>
      <w:pPr>
        <w:spacing w:after="0" w:line="200" w:lineRule="exact"/>
        <w:rPr>
          <w:sz w:val="20"/>
          <w:szCs w:val="20"/>
          <w:color w:val="auto"/>
        </w:rPr>
      </w:pPr>
    </w:p>
    <w:p>
      <w:pPr>
        <w:sectPr>
          <w:pgSz w:w="11900" w:h="16838" w:orient="portrait"/>
          <w:cols w:equalWidth="0" w:num="2">
            <w:col w:w="8913" w:space="720"/>
            <w:col w:w="1607"/>
          </w:cols>
          <w:pgMar w:left="320" w:top="125" w:right="339" w:bottom="1440" w:gutter="0" w:footer="0" w:header="0"/>
          <w:type w:val="continuous"/>
        </w:sectPr>
      </w:pPr>
    </w:p>
    <w:p>
      <w:pPr>
        <w:spacing w:after="0" w:line="22" w:lineRule="exact"/>
        <w:rPr>
          <w:sz w:val="20"/>
          <w:szCs w:val="20"/>
          <w:color w:val="auto"/>
        </w:rPr>
      </w:pPr>
    </w:p>
    <w:p>
      <w:pPr>
        <w:ind w:left="520" w:right="620" w:hanging="512"/>
        <w:spacing w:after="0" w:line="285" w:lineRule="auto"/>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increased primarily due to $3.8 million of higher insurance expense and $1.2 million of higher bad debt expense driven by increased revenues and lower prior year write-offs.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higher asset base driven by capital expenditures.</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66"/>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right"/>
              <w:ind w:right="139"/>
              <w:spacing w:after="0" w:line="168" w:lineRule="exact"/>
              <w:rPr>
                <w:sz w:val="20"/>
                <w:szCs w:val="20"/>
                <w:color w:val="auto"/>
              </w:rPr>
            </w:pPr>
            <w:r>
              <w:rPr>
                <w:rFonts w:ascii="Arial" w:cs="Arial" w:eastAsia="Arial" w:hAnsi="Arial"/>
                <w:sz w:val="16"/>
                <w:szCs w:val="16"/>
                <w:b w:val="1"/>
                <w:bCs w:val="1"/>
                <w:color w:val="auto"/>
                <w:w w:val="99"/>
              </w:rPr>
              <w:t>Three Months Ended</w:t>
            </w:r>
          </w:p>
        </w:tc>
        <w:tc>
          <w:tcPr>
            <w:tcW w:w="180" w:type="dxa"/>
            <w:vAlign w:val="bottom"/>
          </w:tcPr>
          <w:p>
            <w:pPr>
              <w:spacing w:after="0"/>
              <w:rPr>
                <w:sz w:val="14"/>
                <w:szCs w:val="14"/>
                <w:color w:val="auto"/>
              </w:rPr>
            </w:pPr>
          </w:p>
        </w:tc>
        <w:tc>
          <w:tcPr>
            <w:tcW w:w="1800" w:type="dxa"/>
            <w:vAlign w:val="bottom"/>
            <w:gridSpan w:val="3"/>
          </w:tcPr>
          <w:p>
            <w:pPr>
              <w:jc w:val="right"/>
              <w:ind w:right="199"/>
              <w:spacing w:after="0" w:line="168" w:lineRule="exact"/>
              <w:rPr>
                <w:sz w:val="20"/>
                <w:szCs w:val="20"/>
                <w:color w:val="auto"/>
              </w:rPr>
            </w:pPr>
            <w:r>
              <w:rPr>
                <w:rFonts w:ascii="Arial" w:cs="Arial" w:eastAsia="Arial" w:hAnsi="Arial"/>
                <w:sz w:val="16"/>
                <w:szCs w:val="16"/>
                <w:b w:val="1"/>
                <w:bCs w:val="1"/>
                <w:color w:val="auto"/>
              </w:rPr>
              <w:t>Nine Months Ended</w:t>
            </w:r>
          </w:p>
        </w:tc>
        <w:tc>
          <w:tcPr>
            <w:tcW w:w="188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auto"/>
              </w:rPr>
              <w:t>Three Months Ended</w:t>
            </w:r>
          </w:p>
        </w:tc>
        <w:tc>
          <w:tcPr>
            <w:tcW w:w="1840" w:type="dxa"/>
            <w:vAlign w:val="bottom"/>
            <w:gridSpan w:val="2"/>
          </w:tcPr>
          <w:p>
            <w:pPr>
              <w:jc w:val="right"/>
              <w:ind w:right="15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189"/>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8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8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18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83"/>
        </w:trPr>
        <w:tc>
          <w:tcPr>
            <w:tcW w:w="36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gridSpan w:val="3"/>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1840" w:type="dxa"/>
            <w:vAlign w:val="bottom"/>
            <w:tcBorders>
              <w:bottom w:val="single" w:sz="8" w:color="auto"/>
            </w:tcBorders>
            <w:gridSpan w:val="2"/>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(Dth in millions)</w:t>
            </w:r>
          </w:p>
        </w:tc>
        <w:tc>
          <w:tcPr>
            <w:tcW w:w="860" w:type="dxa"/>
            <w:vAlign w:val="bottom"/>
            <w:tcBorders>
              <w:bottom w:val="single" w:sz="8" w:color="auto"/>
            </w:tcBorders>
            <w:shd w:val="clear" w:color="auto" w:fill="CFF0FC"/>
          </w:tcPr>
          <w:p>
            <w:pPr>
              <w:spacing w:after="0"/>
              <w:rPr>
                <w:sz w:val="15"/>
                <w:szCs w:val="15"/>
                <w:color w:val="auto"/>
              </w:rPr>
            </w:pPr>
          </w:p>
        </w:tc>
      </w:tr>
      <w:tr>
        <w:trPr>
          <w:trHeight w:val="183"/>
        </w:trPr>
        <w:tc>
          <w:tcPr>
            <w:tcW w:w="362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543.4</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476.5</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3.6</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41.5</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38.2</w:t>
            </w:r>
          </w:p>
        </w:tc>
      </w:tr>
      <w:tr>
        <w:trPr>
          <w:trHeight w:val="189"/>
        </w:trPr>
        <w:tc>
          <w:tcPr>
            <w:tcW w:w="36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183.9</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20.5</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19.3</w:t>
            </w:r>
          </w:p>
        </w:tc>
      </w:tr>
      <w:tr>
        <w:trPr>
          <w:trHeight w:val="189"/>
        </w:trPr>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Industrial</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2.0</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w:t>
            </w:r>
          </w:p>
        </w:tc>
      </w:tr>
      <w:tr>
        <w:trPr>
          <w:trHeight w:val="189"/>
        </w:trPr>
        <w:tc>
          <w:tcPr>
            <w:tcW w:w="362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362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Subtotal Retail Revenue - Gas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128.6</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797.0</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707.8</w:t>
            </w:r>
          </w:p>
        </w:tc>
        <w:tc>
          <w:tcPr>
            <w:tcW w:w="10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8.1</w:t>
            </w:r>
          </w:p>
        </w:tc>
        <w:tc>
          <w:tcPr>
            <w:tcW w:w="8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8.3</w:t>
            </w:r>
          </w:p>
        </w:tc>
        <w:tc>
          <w:tcPr>
            <w:tcW w:w="9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66.4</w:t>
            </w:r>
          </w:p>
        </w:tc>
        <w:tc>
          <w:tcPr>
            <w:tcW w:w="8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62.6</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Transportation</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130.9</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36.2</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122.8</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117.0</w:t>
            </w:r>
          </w:p>
        </w:tc>
      </w:tr>
      <w:tr>
        <w:trPr>
          <w:trHeight w:val="189"/>
        </w:trPr>
        <w:tc>
          <w:tcPr>
            <w:tcW w:w="362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10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3620" w:type="dxa"/>
            <w:vAlign w:val="bottom"/>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184.4</w:t>
            </w:r>
          </w:p>
        </w:tc>
        <w:tc>
          <w:tcPr>
            <w:tcW w:w="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173.6</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979.9</w:t>
            </w:r>
          </w:p>
        </w:tc>
        <w:tc>
          <w:tcPr>
            <w:tcW w:w="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884.2</w:t>
            </w:r>
          </w:p>
        </w:tc>
        <w:tc>
          <w:tcPr>
            <w:tcW w:w="102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44.3</w:t>
            </w:r>
          </w:p>
        </w:tc>
        <w:tc>
          <w:tcPr>
            <w:tcW w:w="8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44.1</w:t>
            </w:r>
          </w:p>
        </w:tc>
        <w:tc>
          <w:tcPr>
            <w:tcW w:w="9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189.2</w:t>
            </w:r>
          </w:p>
        </w:tc>
        <w:tc>
          <w:tcPr>
            <w:tcW w:w="8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179.6</w:t>
            </w: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hanging="512"/>
        <w:spacing w:after="0" w:line="237"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ind w:left="5540"/>
        <w:spacing w:after="0"/>
        <w:rPr>
          <w:rFonts w:ascii="Arial" w:cs="Arial" w:eastAsia="Arial" w:hAnsi="Arial"/>
          <w:sz w:val="14"/>
          <w:szCs w:val="14"/>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right"/>
              <w:ind w:right="159"/>
              <w:spacing w:after="0" w:line="168" w:lineRule="exact"/>
              <w:rPr>
                <w:sz w:val="20"/>
                <w:szCs w:val="20"/>
                <w:color w:val="auto"/>
              </w:rPr>
            </w:pPr>
            <w:r>
              <w:rPr>
                <w:rFonts w:ascii="Arial" w:cs="Arial" w:eastAsia="Arial" w:hAnsi="Arial"/>
                <w:sz w:val="16"/>
                <w:szCs w:val="16"/>
                <w:b w:val="1"/>
                <w:bCs w:val="1"/>
                <w:color w:val="auto"/>
                <w:w w:val="99"/>
              </w:rPr>
              <w:t>Three Months Ended</w:t>
            </w:r>
          </w:p>
        </w:tc>
        <w:tc>
          <w:tcPr>
            <w:tcW w:w="140" w:type="dxa"/>
            <w:vAlign w:val="bottom"/>
          </w:tcPr>
          <w:p>
            <w:pPr>
              <w:spacing w:after="0"/>
              <w:rPr>
                <w:sz w:val="14"/>
                <w:szCs w:val="14"/>
                <w:color w:val="auto"/>
              </w:rPr>
            </w:pPr>
          </w:p>
        </w:tc>
        <w:tc>
          <w:tcPr>
            <w:tcW w:w="1900" w:type="dxa"/>
            <w:vAlign w:val="bottom"/>
            <w:gridSpan w:val="3"/>
          </w:tcPr>
          <w:p>
            <w:pPr>
              <w:jc w:val="right"/>
              <w:ind w:right="279"/>
              <w:spacing w:after="0" w:line="168" w:lineRule="exact"/>
              <w:rPr>
                <w:sz w:val="20"/>
                <w:szCs w:val="20"/>
                <w:color w:val="auto"/>
              </w:rPr>
            </w:pPr>
            <w:r>
              <w:rPr>
                <w:rFonts w:ascii="Arial" w:cs="Arial" w:eastAsia="Arial" w:hAnsi="Arial"/>
                <w:sz w:val="16"/>
                <w:szCs w:val="16"/>
                <w:b w:val="1"/>
                <w:bCs w:val="1"/>
                <w:color w:val="auto"/>
              </w:rPr>
              <w:t>Nine Months Ended</w:t>
            </w:r>
          </w:p>
        </w:tc>
        <w:tc>
          <w:tcPr>
            <w:tcW w:w="1720" w:type="dxa"/>
            <w:vAlign w:val="bottom"/>
            <w:gridSpan w:val="4"/>
          </w:tcPr>
          <w:p>
            <w:pPr>
              <w:jc w:val="right"/>
              <w:ind w:right="39"/>
              <w:spacing w:after="0" w:line="168" w:lineRule="exact"/>
              <w:rPr>
                <w:sz w:val="20"/>
                <w:szCs w:val="20"/>
                <w:color w:val="auto"/>
              </w:rPr>
            </w:pPr>
            <w:r>
              <w:rPr>
                <w:rFonts w:ascii="Arial" w:cs="Arial" w:eastAsia="Arial" w:hAnsi="Arial"/>
                <w:sz w:val="16"/>
                <w:szCs w:val="16"/>
                <w:b w:val="1"/>
                <w:bCs w:val="1"/>
                <w:color w:val="auto"/>
                <w:w w:val="99"/>
              </w:rPr>
              <w:t>Three Months Ended</w:t>
            </w:r>
          </w:p>
        </w:tc>
        <w:tc>
          <w:tcPr>
            <w:tcW w:w="1920" w:type="dxa"/>
            <w:vAlign w:val="bottom"/>
            <w:gridSpan w:val="2"/>
          </w:tcPr>
          <w:p>
            <w:pPr>
              <w:jc w:val="right"/>
              <w:ind w:right="15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189"/>
        </w:trPr>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90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62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83"/>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39"/>
              <w:spacing w:after="0" w:line="183" w:lineRule="exact"/>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79"/>
              <w:spacing w:after="0" w:line="183" w:lineRule="exact"/>
              <w:rPr>
                <w:sz w:val="20"/>
                <w:szCs w:val="20"/>
                <w:color w:val="auto"/>
              </w:rPr>
            </w:pPr>
            <w:r>
              <w:rPr>
                <w:rFonts w:ascii="Arial" w:cs="Arial" w:eastAsia="Arial" w:hAnsi="Arial"/>
                <w:sz w:val="16"/>
                <w:szCs w:val="16"/>
                <w:color w:val="auto"/>
                <w:w w:val="99"/>
              </w:rPr>
              <w:t>(Dth in millions)</w:t>
            </w:r>
          </w:p>
        </w:tc>
        <w:tc>
          <w:tcPr>
            <w:tcW w:w="900" w:type="dxa"/>
            <w:vAlign w:val="bottom"/>
            <w:tcBorders>
              <w:bottom w:val="single" w:sz="8" w:color="auto"/>
            </w:tcBorders>
          </w:tcPr>
          <w:p>
            <w:pPr>
              <w:spacing w:after="0"/>
              <w:rPr>
                <w:sz w:val="15"/>
                <w:szCs w:val="15"/>
                <w:color w:val="auto"/>
              </w:rPr>
            </w:pPr>
          </w:p>
        </w:tc>
      </w:tr>
      <w:tr>
        <w:trPr>
          <w:trHeight w:val="183"/>
        </w:trPr>
        <w:tc>
          <w:tcPr>
            <w:tcW w:w="2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10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31.0</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25.4</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196.5</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167.2</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4.9</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c>
          <w:tcPr>
            <w:tcW w:w="10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23.4</w:t>
            </w:r>
          </w:p>
        </w:tc>
        <w:tc>
          <w:tcPr>
            <w:tcW w:w="9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21.5</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Colorado Gas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182.7</w:t>
            </w:r>
          </w:p>
        </w:tc>
        <w:tc>
          <w:tcPr>
            <w:tcW w:w="18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21.3</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138.6</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6.1</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26.4</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Kansas Gas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114.9</w:t>
            </w:r>
          </w:p>
        </w:tc>
        <w:tc>
          <w:tcPr>
            <w:tcW w:w="18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26.1</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245.4</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61.7</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58.1</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Wyoming Gas</w:t>
            </w:r>
          </w:p>
        </w:tc>
        <w:tc>
          <w:tcPr>
            <w:tcW w:w="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101.8</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26.2</w:t>
            </w:r>
          </w:p>
        </w:tc>
      </w:tr>
      <w:tr>
        <w:trPr>
          <w:trHeight w:val="223"/>
        </w:trPr>
        <w:tc>
          <w:tcPr>
            <w:tcW w:w="2700" w:type="dxa"/>
            <w:vAlign w:val="bottom"/>
            <w:tcBorders>
              <w:bottom w:val="single" w:sz="8" w:color="CFF0FC"/>
            </w:tcBorders>
            <w:shd w:val="clear" w:color="auto" w:fill="CFF0FC"/>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184.4</w:t>
            </w:r>
          </w:p>
        </w:tc>
        <w:tc>
          <w:tcPr>
            <w:tcW w:w="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173.6</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979.9</w:t>
            </w: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884.2</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44.3</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44.1</w:t>
            </w:r>
          </w:p>
        </w:tc>
        <w:tc>
          <w:tcPr>
            <w:tcW w:w="10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189.2</w:t>
            </w:r>
          </w:p>
        </w:tc>
        <w:tc>
          <w:tcPr>
            <w:tcW w:w="9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179.6</w:t>
            </w:r>
          </w:p>
        </w:tc>
      </w:tr>
      <w:tr>
        <w:trPr>
          <w:trHeight w:val="344"/>
        </w:trPr>
        <w:tc>
          <w:tcPr>
            <w:tcW w:w="2700" w:type="dxa"/>
            <w:vAlign w:val="bottom"/>
          </w:tcPr>
          <w:p>
            <w:pPr>
              <w:spacing w:after="0"/>
              <w:rPr>
                <w:sz w:val="24"/>
                <w:szCs w:val="24"/>
                <w:color w:val="auto"/>
              </w:rPr>
            </w:pPr>
          </w:p>
        </w:tc>
        <w:tc>
          <w:tcPr>
            <w:tcW w:w="3860" w:type="dxa"/>
            <w:vAlign w:val="bottom"/>
            <w:gridSpan w:val="7"/>
          </w:tcPr>
          <w:p>
            <w:pPr>
              <w:jc w:val="right"/>
              <w:ind w:right="279"/>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Nine Months Ended September 30,</w:t>
            </w:r>
          </w:p>
        </w:tc>
      </w:tr>
      <w:tr>
        <w:trPr>
          <w:trHeight w:val="203"/>
        </w:trPr>
        <w:tc>
          <w:tcPr>
            <w:tcW w:w="27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2024</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900" w:type="dxa"/>
            <w:vAlign w:val="bottom"/>
            <w:tcBorders>
              <w:bottom w:val="single" w:sz="8" w:color="auto"/>
            </w:tcBorders>
          </w:tcPr>
          <w:p>
            <w:pPr>
              <w:spacing w:after="0"/>
              <w:rPr>
                <w:sz w:val="17"/>
                <w:szCs w:val="17"/>
                <w:color w:val="auto"/>
              </w:rPr>
            </w:pPr>
          </w:p>
        </w:tc>
      </w:tr>
      <w:tr>
        <w:trPr>
          <w:trHeight w:val="168"/>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3"/>
          </w:tcPr>
          <w:p>
            <w:pPr>
              <w:jc w:val="right"/>
              <w:spacing w:after="0" w:line="168" w:lineRule="exact"/>
              <w:rPr>
                <w:sz w:val="20"/>
                <w:szCs w:val="20"/>
                <w:color w:val="auto"/>
              </w:rPr>
            </w:pPr>
            <w:r>
              <w:rPr>
                <w:rFonts w:ascii="Arial" w:cs="Arial" w:eastAsia="Arial" w:hAnsi="Arial"/>
                <w:sz w:val="16"/>
                <w:szCs w:val="16"/>
                <w:b w:val="1"/>
                <w:bCs w:val="1"/>
                <w:color w:val="auto"/>
              </w:rPr>
              <w:t>Variance from</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579"/>
              <w:spacing w:after="0" w:line="168" w:lineRule="exact"/>
              <w:rPr>
                <w:sz w:val="20"/>
                <w:szCs w:val="20"/>
                <w:color w:val="auto"/>
              </w:rPr>
            </w:pPr>
            <w:r>
              <w:rPr>
                <w:rFonts w:ascii="Arial" w:cs="Arial" w:eastAsia="Arial" w:hAnsi="Arial"/>
                <w:sz w:val="16"/>
                <w:szCs w:val="16"/>
                <w:b w:val="1"/>
                <w:bCs w:val="1"/>
                <w:color w:val="auto"/>
              </w:rPr>
              <w:t>Variance from</w:t>
            </w:r>
          </w:p>
        </w:tc>
        <w:tc>
          <w:tcPr>
            <w:tcW w:w="100" w:type="dxa"/>
            <w:vAlign w:val="bottom"/>
          </w:tcPr>
          <w:p>
            <w:pPr>
              <w:spacing w:after="0"/>
              <w:rPr>
                <w:sz w:val="14"/>
                <w:szCs w:val="14"/>
                <w:color w:val="auto"/>
              </w:rPr>
            </w:pPr>
          </w:p>
        </w:tc>
        <w:tc>
          <w:tcPr>
            <w:tcW w:w="1620" w:type="dxa"/>
            <w:vAlign w:val="bottom"/>
            <w:gridSpan w:val="3"/>
          </w:tcPr>
          <w:p>
            <w:pPr>
              <w:jc w:val="right"/>
              <w:ind w:right="259"/>
              <w:spacing w:after="0" w:line="168" w:lineRule="exact"/>
              <w:rPr>
                <w:sz w:val="20"/>
                <w:szCs w:val="20"/>
                <w:color w:val="auto"/>
              </w:rPr>
            </w:pPr>
            <w:r>
              <w:rPr>
                <w:rFonts w:ascii="Arial" w:cs="Arial" w:eastAsia="Arial" w:hAnsi="Arial"/>
                <w:sz w:val="16"/>
                <w:szCs w:val="16"/>
                <w:b w:val="1"/>
                <w:bCs w:val="1"/>
                <w:color w:val="auto"/>
              </w:rPr>
              <w:t>Variance from</w:t>
            </w:r>
          </w:p>
        </w:tc>
        <w:tc>
          <w:tcPr>
            <w:tcW w:w="1920" w:type="dxa"/>
            <w:vAlign w:val="bottom"/>
            <w:gridSpan w:val="2"/>
          </w:tcPr>
          <w:p>
            <w:pPr>
              <w:jc w:val="right"/>
              <w:ind w:right="1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Heating Degree Days</w:t>
            </w:r>
          </w:p>
        </w:tc>
        <w:tc>
          <w:tcPr>
            <w:tcW w:w="10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Actual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Normal</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Normal</w:t>
            </w:r>
          </w:p>
        </w:tc>
        <w:tc>
          <w:tcPr>
            <w:tcW w:w="96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Actual</w:t>
            </w:r>
          </w:p>
        </w:tc>
        <w:tc>
          <w:tcPr>
            <w:tcW w:w="106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Normal</w:t>
            </w:r>
          </w:p>
        </w:tc>
        <w:tc>
          <w:tcPr>
            <w:tcW w:w="158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Actual</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Normal</w:t>
            </w:r>
          </w:p>
        </w:tc>
      </w:tr>
      <w:tr>
        <w:trPr>
          <w:trHeight w:val="183"/>
        </w:trPr>
        <w:tc>
          <w:tcPr>
            <w:tcW w:w="2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9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rPr>
              <w:t>(92)%</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w w:val="89"/>
              </w:rPr>
              <w:t>9</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center"/>
              <w:ind w:left="339"/>
              <w:spacing w:after="0" w:line="183" w:lineRule="exact"/>
              <w:rPr>
                <w:sz w:val="20"/>
                <w:szCs w:val="20"/>
                <w:color w:val="auto"/>
              </w:rPr>
            </w:pPr>
            <w:r>
              <w:rPr>
                <w:rFonts w:ascii="Arial" w:cs="Arial" w:eastAsia="Arial" w:hAnsi="Arial"/>
                <w:sz w:val="16"/>
                <w:szCs w:val="16"/>
                <w:color w:val="auto"/>
              </w:rPr>
              <w:t>(40)%</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2,151</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center"/>
              <w:ind w:left="479"/>
              <w:spacing w:after="0" w:line="183" w:lineRule="exact"/>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w w:val="99"/>
              </w:rPr>
              <w:t>1,925</w:t>
            </w:r>
          </w:p>
        </w:tc>
        <w:tc>
          <w:tcPr>
            <w:tcW w:w="90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(18)%</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Colorado Gas</w:t>
            </w:r>
          </w:p>
        </w:tc>
        <w:tc>
          <w:tcPr>
            <w:tcW w:w="920" w:type="dxa"/>
            <w:vAlign w:val="bottom"/>
          </w:tcPr>
          <w:p>
            <w:pPr>
              <w:jc w:val="center"/>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6"/>
                <w:szCs w:val="16"/>
                <w:color w:val="auto"/>
              </w:rPr>
            </w:pPr>
          </w:p>
        </w:tc>
        <w:tc>
          <w:tcPr>
            <w:tcW w:w="840" w:type="dxa"/>
            <w:vAlign w:val="bottom"/>
          </w:tcPr>
          <w:p>
            <w:pPr>
              <w:jc w:val="center"/>
              <w:ind w:left="7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760" w:type="dxa"/>
            <w:vAlign w:val="bottom"/>
          </w:tcPr>
          <w:p>
            <w:pPr>
              <w:jc w:val="center"/>
              <w:ind w:left="119"/>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6"/>
                <w:szCs w:val="16"/>
                <w:color w:val="auto"/>
              </w:rPr>
            </w:pPr>
          </w:p>
        </w:tc>
        <w:tc>
          <w:tcPr>
            <w:tcW w:w="860" w:type="dxa"/>
            <w:vAlign w:val="bottom"/>
          </w:tcPr>
          <w:p>
            <w:pPr>
              <w:jc w:val="center"/>
              <w:ind w:left="33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3,758</w:t>
            </w:r>
          </w:p>
        </w:tc>
        <w:tc>
          <w:tcPr>
            <w:tcW w:w="100" w:type="dxa"/>
            <w:vAlign w:val="bottom"/>
          </w:tcPr>
          <w:p>
            <w:pPr>
              <w:spacing w:after="0"/>
              <w:rPr>
                <w:sz w:val="16"/>
                <w:szCs w:val="16"/>
                <w:color w:val="auto"/>
              </w:rPr>
            </w:pPr>
          </w:p>
        </w:tc>
        <w:tc>
          <w:tcPr>
            <w:tcW w:w="9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3,613</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(5)%</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center"/>
              <w:ind w:left="339"/>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4,003</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center"/>
              <w:ind w:left="479"/>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3,450</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(19)%</w:t>
            </w:r>
          </w:p>
        </w:tc>
      </w:tr>
      <w:tr>
        <w:trPr>
          <w:trHeight w:val="189"/>
        </w:trPr>
        <w:tc>
          <w:tcPr>
            <w:tcW w:w="2700" w:type="dxa"/>
            <w:vAlign w:val="bottom"/>
          </w:tcPr>
          <w:p>
            <w:pPr>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920" w:type="dxa"/>
            <w:vAlign w:val="bottom"/>
          </w:tcPr>
          <w:p>
            <w:pPr>
              <w:jc w:val="center"/>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840" w:type="dxa"/>
            <w:vAlign w:val="bottom"/>
          </w:tcPr>
          <w:p>
            <w:pPr>
              <w:jc w:val="center"/>
              <w:ind w:left="7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6"/>
                <w:szCs w:val="16"/>
                <w:color w:val="auto"/>
              </w:rPr>
            </w:pPr>
          </w:p>
        </w:tc>
        <w:tc>
          <w:tcPr>
            <w:tcW w:w="760" w:type="dxa"/>
            <w:vAlign w:val="bottom"/>
          </w:tcPr>
          <w:p>
            <w:pPr>
              <w:jc w:val="center"/>
              <w:ind w:left="119"/>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6"/>
                <w:szCs w:val="16"/>
                <w:color w:val="auto"/>
              </w:rPr>
            </w:pPr>
          </w:p>
        </w:tc>
        <w:tc>
          <w:tcPr>
            <w:tcW w:w="860" w:type="dxa"/>
            <w:vAlign w:val="bottom"/>
          </w:tcPr>
          <w:p>
            <w:pPr>
              <w:jc w:val="center"/>
              <w:ind w:left="339"/>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16"/>
                <w:szCs w:val="16"/>
                <w:color w:val="auto"/>
              </w:rPr>
            </w:pPr>
          </w:p>
        </w:tc>
        <w:tc>
          <w:tcPr>
            <w:tcW w:w="980" w:type="dxa"/>
            <w:vAlign w:val="bottom"/>
          </w:tcPr>
          <w:p>
            <w:pPr>
              <w:jc w:val="center"/>
              <w:ind w:left="459"/>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2,576</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(11)%</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center"/>
              <w:ind w:left="339"/>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3,633</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center"/>
              <w:ind w:left="45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3,281</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(12)%</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Wyoming Gas</w:t>
            </w:r>
          </w:p>
        </w:tc>
        <w:tc>
          <w:tcPr>
            <w:tcW w:w="920" w:type="dxa"/>
            <w:vAlign w:val="bottom"/>
          </w:tcPr>
          <w:p>
            <w:pPr>
              <w:jc w:val="center"/>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840" w:type="dxa"/>
            <w:vAlign w:val="bottom"/>
          </w:tcPr>
          <w:p>
            <w:pPr>
              <w:jc w:val="center"/>
              <w:ind w:left="7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6"/>
                <w:szCs w:val="16"/>
                <w:color w:val="auto"/>
              </w:rPr>
            </w:pPr>
          </w:p>
        </w:tc>
        <w:tc>
          <w:tcPr>
            <w:tcW w:w="760" w:type="dxa"/>
            <w:vAlign w:val="bottom"/>
          </w:tcPr>
          <w:p>
            <w:pPr>
              <w:jc w:val="center"/>
              <w:ind w:left="119"/>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6"/>
                <w:szCs w:val="16"/>
                <w:color w:val="auto"/>
              </w:rPr>
            </w:pPr>
          </w:p>
        </w:tc>
        <w:tc>
          <w:tcPr>
            <w:tcW w:w="860" w:type="dxa"/>
            <w:vAlign w:val="bottom"/>
          </w:tcPr>
          <w:p>
            <w:pPr>
              <w:jc w:val="center"/>
              <w:ind w:left="339"/>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Pr>
          <w:p>
            <w:pPr>
              <w:spacing w:after="0"/>
              <w:rPr>
                <w:sz w:val="16"/>
                <w:szCs w:val="16"/>
                <w:color w:val="auto"/>
              </w:rPr>
            </w:pPr>
          </w:p>
        </w:tc>
        <w:tc>
          <w:tcPr>
            <w:tcW w:w="980" w:type="dxa"/>
            <w:vAlign w:val="bottom"/>
          </w:tcPr>
          <w:p>
            <w:pPr>
              <w:jc w:val="center"/>
              <w:ind w:left="459"/>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4,384</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(6)%</w:t>
            </w:r>
          </w:p>
        </w:tc>
      </w:tr>
      <w:tr>
        <w:trPr>
          <w:trHeight w:val="189"/>
        </w:trPr>
        <w:tc>
          <w:tcPr>
            <w:tcW w:w="270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center"/>
              <w:ind w:left="339"/>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center"/>
              <w:ind w:left="479"/>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3,502</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revenue.</w:t>
      </w:r>
    </w:p>
    <w:p>
      <w:pPr>
        <w:spacing w:after="0" w:line="15" w:lineRule="exact"/>
        <w:rPr>
          <w:rFonts w:ascii="Arial" w:cs="Arial" w:eastAsia="Arial" w:hAnsi="Arial"/>
          <w:sz w:val="14"/>
          <w:szCs w:val="14"/>
          <w:color w:val="auto"/>
        </w:rPr>
      </w:pPr>
    </w:p>
    <w:p>
      <w:pPr>
        <w:ind w:left="520" w:right="340" w:hanging="512"/>
        <w:spacing w:after="0" w:line="264"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6"/>
                <w:szCs w:val="16"/>
                <w:color w:val="auto"/>
              </w:rPr>
            </w:pPr>
          </w:p>
        </w:tc>
        <w:tc>
          <w:tcPr>
            <w:tcW w:w="350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2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 2024</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2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03"/>
        </w:trPr>
        <w:tc>
          <w:tcPr>
            <w:tcW w:w="26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Operating income (loss)</w:t>
            </w:r>
          </w:p>
        </w:tc>
        <w:tc>
          <w:tcPr>
            <w:tcW w:w="11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(0.2)</w:t>
            </w: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w:t>
            </w:r>
          </w:p>
        </w:tc>
        <w:tc>
          <w:tcPr>
            <w:tcW w:w="320" w:type="dxa"/>
            <w:vAlign w:val="bottom"/>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(7.3)</w:t>
            </w:r>
          </w:p>
        </w:tc>
        <w:tc>
          <w:tcPr>
            <w:tcW w:w="280" w:type="dxa"/>
            <w:vAlign w:val="bottom"/>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(0.8)</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(6.5)</w:t>
            </w: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20" w:right="360" w:hanging="512"/>
        <w:spacing w:after="0" w:line="285" w:lineRule="auto"/>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loss increased primarily due to $8.4 million of NorthWestern merger-related costs partially offset by an unallocated favorable true-up of operating expenses.</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loss increased primarily due to $8.4 million of NorthWestern merger-related costs.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gridSpan w:val="5"/>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44"/>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35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2025 vs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(49.4)</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(45.2)</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(149.6)</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(131.9)</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(17.7)</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2.8</w:t>
            </w:r>
          </w:p>
        </w:tc>
      </w:tr>
      <w:tr>
        <w:trPr>
          <w:trHeight w:val="18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41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51"/>
        </w:trPr>
        <w:tc>
          <w:tcPr>
            <w:tcW w:w="3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2025, Compared to the Three Months Ended September 30, 2024:</w:t>
      </w:r>
    </w:p>
    <w:p>
      <w:pPr>
        <w:spacing w:after="0" w:line="194" w:lineRule="exact"/>
        <w:rPr>
          <w:sz w:val="20"/>
          <w:szCs w:val="20"/>
          <w:color w:val="auto"/>
        </w:rPr>
      </w:pPr>
    </w:p>
    <w:p>
      <w:pPr>
        <w:ind w:left="520" w:right="460" w:hanging="512"/>
        <w:spacing w:after="0" w:line="285" w:lineRule="auto"/>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increased due to higher CP Program borrowings and lower interest income on lower cash and cash equivalents balances partially offset by higher AFUDC debt driven by construction work-in-progress balances related to the Lange II and Ready Wyoming projects.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(expense), net, was comparable to the same period in the prior year.</w:t>
      </w:r>
    </w:p>
    <w:p>
      <w:pPr>
        <w:spacing w:after="0" w:line="206" w:lineRule="exact"/>
        <w:rPr>
          <w:rFonts w:ascii="Times New Roman" w:cs="Times New Roman" w:eastAsia="Times New Roman" w:hAnsi="Times New Roman"/>
          <w:sz w:val="16"/>
          <w:szCs w:val="16"/>
          <w:color w:val="auto"/>
        </w:rPr>
      </w:pPr>
    </w:p>
    <w:p>
      <w:pPr>
        <w:ind w:left="520" w:right="240" w:hanging="512"/>
        <w:spacing w:after="0" w:line="266" w:lineRule="auto"/>
        <w:tabs>
          <w:tab w:leader="none" w:pos="5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was comparable to the same period in the prior year. For the three months ended September 30, 2025, the effective tax rate was 13.5%, compared to 10.0% for the same period in 2024. The higher effective tax rate was primarily driven by non-deductibility of certain NorthWestern merger-related expenses.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jc w:val="both"/>
        <w:ind w:left="520" w:right="220" w:hanging="512"/>
        <w:spacing w:after="0" w:line="266" w:lineRule="auto"/>
        <w:tabs>
          <w:tab w:leader="none" w:pos="5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increased due to higher interest rates on long-term debt, higher CP Program borrowings and lower interest income on lower cash and cash equivalents balances partially offset by higher AFUDC debt driven by construction work-in-progress balances related to the Lange II and Ready Wyoming projects.</w:t>
      </w:r>
    </w:p>
    <w:p>
      <w:pPr>
        <w:spacing w:after="0" w:line="143" w:lineRule="exact"/>
        <w:rPr>
          <w:rFonts w:ascii="Times New Roman" w:cs="Times New Roman" w:eastAsia="Times New Roman" w:hAnsi="Times New Roman"/>
          <w:sz w:val="16"/>
          <w:szCs w:val="16"/>
          <w:color w:val="auto"/>
        </w:rPr>
      </w:pPr>
    </w:p>
    <w:p>
      <w:pPr>
        <w:ind w:left="520" w:right="420" w:hanging="512"/>
        <w:spacing w:after="0" w:line="285" w:lineRule="auto"/>
        <w:tabs>
          <w:tab w:leader="none" w:pos="5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net, increased primarily due to higher AFUDC equity driven by construction work-in-progress balances related to the Lange II and Ready Wyoming projects;</w:t>
      </w:r>
    </w:p>
    <w:p>
      <w:pPr>
        <w:spacing w:after="0" w:line="129" w:lineRule="exact"/>
        <w:rPr>
          <w:rFonts w:ascii="Times New Roman" w:cs="Times New Roman" w:eastAsia="Times New Roman" w:hAnsi="Times New Roman"/>
          <w:sz w:val="16"/>
          <w:szCs w:val="16"/>
          <w:color w:val="auto"/>
        </w:rPr>
      </w:pPr>
    </w:p>
    <w:p>
      <w:pPr>
        <w:ind w:left="520" w:right="300" w:hanging="512"/>
        <w:spacing w:after="0" w:line="285" w:lineRule="auto"/>
        <w:tabs>
          <w:tab w:leader="none" w:pos="52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was comparable to the same period in the prior year. For the nine months ended September 30, 2025, the effective tax rate was 12.2%, which was comparable to 11.4% for the same period in 2024.</w:t>
      </w:r>
    </w:p>
    <w:p>
      <w:pPr>
        <w:spacing w:after="0" w:line="31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w:t>
      </w:r>
    </w:p>
    <w:p>
      <w:pPr>
        <w:spacing w:after="0" w:line="194" w:lineRule="exact"/>
        <w:rPr>
          <w:sz w:val="20"/>
          <w:szCs w:val="20"/>
          <w:color w:val="auto"/>
        </w:rPr>
      </w:pPr>
    </w:p>
    <w:p>
      <w:pPr>
        <w:ind w:left="7140"/>
        <w:spacing w:after="0"/>
        <w:tabs>
          <w:tab w:leader="none" w:pos="9380" w:val="left"/>
        </w:tabs>
        <w:rPr>
          <w:sz w:val="20"/>
          <w:szCs w:val="20"/>
          <w:color w:val="auto"/>
        </w:rPr>
      </w:pPr>
      <w:r>
        <w:rPr>
          <w:rFonts w:ascii="Arial" w:cs="Arial" w:eastAsia="Arial" w:hAnsi="Arial"/>
          <w:sz w:val="16"/>
          <w:szCs w:val="16"/>
          <w:b w:val="1"/>
          <w:bCs w:val="1"/>
          <w:color w:val="auto"/>
        </w:rPr>
        <w:t>September 30, 2025</w:t>
      </w:r>
      <w:r>
        <w:rPr>
          <w:sz w:val="20"/>
          <w:szCs w:val="20"/>
          <w:color w:val="auto"/>
        </w:rPr>
        <w:tab/>
      </w:r>
      <w:r>
        <w:rPr>
          <w:rFonts w:ascii="Arial" w:cs="Arial" w:eastAsia="Arial" w:hAnsi="Arial"/>
          <w:sz w:val="15"/>
          <w:szCs w:val="15"/>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12065</wp:posOffset>
            </wp:positionV>
            <wp:extent cx="2820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liquidity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6"/>
          <w:szCs w:val="16"/>
          <w:color w:val="auto"/>
        </w:rPr>
        <w:t>Short-term debt</w:t>
      </w:r>
    </w:p>
    <w:p>
      <w:pPr>
        <w:spacing w:after="0" w:line="233" w:lineRule="auto"/>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stockholders' equity (excludes non-controlling interest)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Debt to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to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9030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0" w:type="dxa"/>
            <w:vAlign w:val="bottom"/>
            <w:tcBorders>
              <w:top w:val="single" w:sz="8" w:color="auto"/>
            </w:tcBorders>
            <w:gridSpan w:val="2"/>
          </w:tcPr>
          <w:p>
            <w:pPr>
              <w:jc w:val="right"/>
              <w:ind w:right="749"/>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ind w:right="79"/>
              <w:spacing w:after="0" w:line="168" w:lineRule="exact"/>
              <w:rPr>
                <w:sz w:val="20"/>
                <w:szCs w:val="20"/>
                <w:color w:val="auto"/>
              </w:rPr>
            </w:pPr>
            <w:r>
              <w:rPr>
                <w:rFonts w:ascii="Arial" w:cs="Arial" w:eastAsia="Arial" w:hAnsi="Arial"/>
                <w:sz w:val="16"/>
                <w:szCs w:val="16"/>
                <w:color w:val="auto"/>
              </w:rPr>
              <w:t>21.1</w:t>
            </w:r>
          </w:p>
        </w:tc>
        <w:tc>
          <w:tcPr>
            <w:tcW w:w="740" w:type="dxa"/>
            <w:vAlign w:val="bottom"/>
            <w:tcBorders>
              <w:top w:val="single" w:sz="8" w:color="auto"/>
            </w:tcBorders>
          </w:tcPr>
          <w:p>
            <w:pPr>
              <w:jc w:val="right"/>
              <w:ind w:right="559"/>
              <w:spacing w:after="0" w:line="168"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99"/>
              <w:spacing w:after="0" w:line="168" w:lineRule="exact"/>
              <w:rPr>
                <w:sz w:val="20"/>
                <w:szCs w:val="20"/>
                <w:color w:val="auto"/>
              </w:rPr>
            </w:pPr>
            <w:r>
              <w:rPr>
                <w:rFonts w:ascii="Arial" w:cs="Arial" w:eastAsia="Arial" w:hAnsi="Arial"/>
                <w:sz w:val="16"/>
                <w:szCs w:val="16"/>
                <w:color w:val="auto"/>
              </w:rPr>
              <w:t>16.1</w:t>
            </w:r>
          </w:p>
        </w:tc>
      </w:tr>
      <w:tr>
        <w:trPr>
          <w:trHeight w:val="203"/>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620.9</w:t>
            </w: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612.7</w:t>
            </w:r>
          </w:p>
        </w:tc>
      </w:tr>
      <w:tr>
        <w:trPr>
          <w:trHeight w:val="208"/>
        </w:trPr>
        <w:tc>
          <w:tcPr>
            <w:tcW w:w="20" w:type="dxa"/>
            <w:vAlign w:val="bottom"/>
          </w:tcPr>
          <w:p>
            <w:pPr>
              <w:spacing w:after="0"/>
              <w:rPr>
                <w:sz w:val="18"/>
                <w:szCs w:val="18"/>
                <w:color w:val="auto"/>
              </w:rPr>
            </w:pP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642.0</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628.8</w:t>
            </w:r>
          </w:p>
        </w:tc>
      </w:tr>
      <w:tr>
        <w:trPr>
          <w:trHeight w:val="527"/>
        </w:trPr>
        <w:tc>
          <w:tcPr>
            <w:tcW w:w="880" w:type="dxa"/>
            <w:vAlign w:val="bottom"/>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126.0</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133.8</w:t>
            </w:r>
          </w:p>
        </w:tc>
      </w:tr>
      <w:tr>
        <w:trPr>
          <w:trHeight w:val="203"/>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4,252.8</w:t>
            </w: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4,250.2</w:t>
            </w:r>
          </w:p>
        </w:tc>
      </w:tr>
      <w:tr>
        <w:trPr>
          <w:trHeight w:val="168"/>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right"/>
              <w:ind w:right="79"/>
              <w:spacing w:after="0" w:line="168" w:lineRule="exact"/>
              <w:rPr>
                <w:sz w:val="20"/>
                <w:szCs w:val="20"/>
                <w:color w:val="auto"/>
              </w:rPr>
            </w:pPr>
            <w:r>
              <w:rPr>
                <w:rFonts w:ascii="Arial" w:cs="Arial" w:eastAsia="Arial" w:hAnsi="Arial"/>
                <w:sz w:val="16"/>
                <w:szCs w:val="16"/>
                <w:color w:val="auto"/>
              </w:rPr>
              <w:t>4,378.8</w:t>
            </w:r>
          </w:p>
        </w:tc>
        <w:tc>
          <w:tcPr>
            <w:tcW w:w="740" w:type="dxa"/>
            <w:vAlign w:val="bottom"/>
          </w:tcPr>
          <w:p>
            <w:pPr>
              <w:spacing w:after="0"/>
              <w:rPr>
                <w:sz w:val="14"/>
                <w:szCs w:val="14"/>
                <w:color w:val="auto"/>
              </w:rPr>
            </w:pPr>
          </w:p>
        </w:tc>
        <w:tc>
          <w:tcPr>
            <w:tcW w:w="13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4,384.0</w:t>
            </w:r>
          </w:p>
        </w:tc>
      </w:tr>
      <w:tr>
        <w:trPr>
          <w:trHeight w:val="203"/>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3,768.0</w:t>
            </w: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3,501.5</w:t>
            </w:r>
          </w:p>
        </w:tc>
      </w:tr>
      <w:tr>
        <w:trPr>
          <w:trHeight w:val="208"/>
        </w:trPr>
        <w:tc>
          <w:tcPr>
            <w:tcW w:w="20" w:type="dxa"/>
            <w:vAlign w:val="bottom"/>
          </w:tcPr>
          <w:p>
            <w:pPr>
              <w:spacing w:after="0"/>
              <w:rPr>
                <w:sz w:val="18"/>
                <w:szCs w:val="18"/>
                <w:color w:val="auto"/>
              </w:rPr>
            </w:pP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8,146.8</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7,885.5</w:t>
            </w:r>
          </w:p>
        </w:tc>
      </w:tr>
      <w:tr>
        <w:trPr>
          <w:trHeight w:val="3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53.7%</w:t>
            </w: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97.1%</w:t>
            </w: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96.9%</w:t>
            </w:r>
          </w:p>
        </w:tc>
      </w:tr>
    </w:tbl>
    <w:p>
      <w:pPr>
        <w:spacing w:after="0" w:line="128"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ind w:left="520" w:right="100" w:hanging="512"/>
        <w:spacing w:after="0" w:line="251"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Consolidated Financial Statements for more information.</w:t>
      </w:r>
    </w:p>
    <w:p>
      <w:pPr>
        <w:spacing w:after="0" w:line="1" w:lineRule="exact"/>
        <w:rPr>
          <w:rFonts w:ascii="Arial" w:cs="Arial" w:eastAsia="Arial" w:hAnsi="Arial"/>
          <w:sz w:val="14"/>
          <w:szCs w:val="14"/>
          <w:color w:val="auto"/>
        </w:rPr>
      </w:pPr>
    </w:p>
    <w:p>
      <w:pPr>
        <w:ind w:left="520" w:right="240" w:hanging="512"/>
        <w:spacing w:after="0" w:line="264"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 October 2, 2025, we completed a public debt offering of $450 million, 4.55% senior unsecured notes due January 31, 2031. Net proceeds from the offering will be used to repay our $300 million, 3.95% senior unsecured notes at or before their January 2026 maturity and for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-235585</wp:posOffset>
            </wp:positionV>
            <wp:extent cx="26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We plan to fund our capital plan and strategic objectives by using cash generated from operating activities and various financing alternatives, which could include our Revolving Credit Facility, our CP Program, and the issuance of common stock under our ATM or in a secondary offering. We plan to repay our $300 million, 3.95%, senior unsecured notes due January 2026, at or before the maturity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nine months ended September 30,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4" w:lineRule="exact"/>
        <w:rPr>
          <w:sz w:val="20"/>
          <w:szCs w:val="20"/>
          <w:color w:val="auto"/>
        </w:rPr>
      </w:pPr>
    </w:p>
    <w:tbl>
      <w:tblPr>
        <w:tblLayout w:type="fixed"/>
        <w:tblInd w:w="688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3540" w:type="dxa"/>
            <w:vAlign w:val="bottom"/>
            <w:gridSpan w:val="2"/>
          </w:tcPr>
          <w:p>
            <w:pPr>
              <w:ind w:left="60"/>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60" w:type="dxa"/>
            <w:vAlign w:val="bottom"/>
          </w:tcPr>
          <w:p>
            <w:pPr>
              <w:jc w:val="center"/>
              <w:ind w:left="379"/>
              <w:spacing w:after="0"/>
              <w:rPr>
                <w:sz w:val="20"/>
                <w:szCs w:val="20"/>
                <w:color w:val="auto"/>
              </w:rPr>
            </w:pPr>
            <w:r>
              <w:rPr>
                <w:rFonts w:ascii="Arial" w:cs="Arial" w:eastAsia="Arial" w:hAnsi="Arial"/>
                <w:sz w:val="16"/>
                <w:szCs w:val="16"/>
                <w:b w:val="1"/>
                <w:bCs w:val="1"/>
                <w:color w:val="auto"/>
              </w:rPr>
              <w:t>2025 vs 2024</w:t>
            </w:r>
          </w:p>
        </w:tc>
      </w:tr>
      <w:tr>
        <w:trPr>
          <w:trHeight w:val="218"/>
        </w:trPr>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5"/>
              </w:rPr>
              <w:t>2025</w:t>
            </w: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460" w:type="dxa"/>
            <w:vAlign w:val="bottom"/>
          </w:tcPr>
          <w:p>
            <w:pPr>
              <w:jc w:val="center"/>
              <w:ind w:left="419"/>
              <w:spacing w:after="0"/>
              <w:rPr>
                <w:sz w:val="20"/>
                <w:szCs w:val="20"/>
                <w:color w:val="auto"/>
              </w:rPr>
            </w:pPr>
            <w:r>
              <w:rPr>
                <w:rFonts w:ascii="Arial" w:cs="Arial" w:eastAsia="Arial" w:hAnsi="Arial"/>
                <w:sz w:val="16"/>
                <w:szCs w:val="16"/>
                <w:b w:val="1"/>
                <w:bCs w:val="1"/>
                <w:color w:val="auto"/>
              </w:rPr>
              <w:t>Variance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right="2120"/>
        <w:spacing w:after="0"/>
        <w:rPr>
          <w:sz w:val="20"/>
          <w:szCs w:val="20"/>
          <w:color w:val="auto"/>
        </w:rPr>
      </w:pPr>
      <w:r>
        <w:rPr>
          <w:rFonts w:ascii="Arial" w:cs="Arial" w:eastAsia="Arial" w:hAnsi="Arial"/>
          <w:sz w:val="16"/>
          <w:szCs w:val="16"/>
          <w:color w:val="auto"/>
        </w:rPr>
        <w:t>(in millions)</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Non-cash adjustments to Net income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right="140"/>
        <w:spacing w:after="0" w:line="248" w:lineRule="auto"/>
        <w:rPr>
          <w:sz w:val="20"/>
          <w:szCs w:val="20"/>
          <w:color w:val="auto"/>
        </w:rPr>
      </w:pPr>
      <w:r>
        <w:rPr>
          <w:rFonts w:ascii="Arial" w:cs="Arial" w:eastAsia="Arial" w:hAnsi="Arial"/>
          <w:sz w:val="16"/>
          <w:szCs w:val="16"/>
          <w:color w:val="auto"/>
        </w:rPr>
        <w:t>Materials, supplies and fuel, Accounts receivable and other current assets Accounts payable and other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top w:val="single" w:sz="8" w:color="auto"/>
            </w:tcBorders>
            <w:gridSpan w:val="2"/>
          </w:tcPr>
          <w:p>
            <w:pPr>
              <w:jc w:val="right"/>
              <w:ind w:right="464"/>
              <w:spacing w:after="0" w:line="168"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191.1</w:t>
            </w:r>
          </w:p>
        </w:tc>
        <w:tc>
          <w:tcPr>
            <w:tcW w:w="660" w:type="dxa"/>
            <w:vAlign w:val="bottom"/>
            <w:tcBorders>
              <w:top w:val="single" w:sz="8" w:color="auto"/>
            </w:tcBorders>
          </w:tcPr>
          <w:p>
            <w:pPr>
              <w:jc w:val="right"/>
              <w:ind w:right="45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182.6</w:t>
            </w:r>
          </w:p>
        </w:tc>
        <w:tc>
          <w:tcPr>
            <w:tcW w:w="640" w:type="dxa"/>
            <w:vAlign w:val="bottom"/>
            <w:tcBorders>
              <w:top w:val="single" w:sz="8" w:color="auto"/>
            </w:tcBorders>
          </w:tcPr>
          <w:p>
            <w:pPr>
              <w:jc w:val="right"/>
              <w:ind w:right="43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line="168" w:lineRule="exact"/>
              <w:rPr>
                <w:sz w:val="20"/>
                <w:szCs w:val="20"/>
                <w:color w:val="auto"/>
              </w:rPr>
            </w:pPr>
            <w:r>
              <w:rPr>
                <w:rFonts w:ascii="Arial" w:cs="Arial" w:eastAsia="Arial" w:hAnsi="Arial"/>
                <w:sz w:val="16"/>
                <w:szCs w:val="16"/>
                <w:color w:val="auto"/>
              </w:rPr>
              <w:t>8.5</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183"/>
        </w:trPr>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469.1</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447.5</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21.6</w:t>
            </w: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71.8</w:t>
            </w:r>
          </w:p>
        </w:tc>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134.8</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(70.4)</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7"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Regulatory assets</w:t>
            </w:r>
          </w:p>
        </w:tc>
        <w:tc>
          <w:tcPr>
            <w:tcW w:w="6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w:t>
            </w:r>
          </w:p>
        </w:tc>
        <w:tc>
          <w:tcPr>
            <w:tcW w:w="6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6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r>
      <w:tr>
        <w:trPr>
          <w:trHeight w:val="183"/>
        </w:trPr>
        <w:tc>
          <w:tcPr>
            <w:tcW w:w="6280" w:type="dxa"/>
            <w:vAlign w:val="bottom"/>
          </w:tcPr>
          <w:p>
            <w:pPr>
              <w:ind w:left="60"/>
              <w:spacing w:after="0" w:line="183" w:lineRule="exact"/>
              <w:rPr>
                <w:sz w:val="20"/>
                <w:szCs w:val="20"/>
                <w:color w:val="auto"/>
              </w:rPr>
            </w:pPr>
            <w:r>
              <w:rPr>
                <w:rFonts w:ascii="Arial" w:cs="Arial" w:eastAsia="Arial" w:hAnsi="Arial"/>
                <w:sz w:val="16"/>
                <w:szCs w:val="16"/>
                <w:color w:val="auto"/>
              </w:rPr>
              <w:t>Net inflow (outflow) from changes in certain operating assets and liabilities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48.5</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134.6</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w:t>
            </w:r>
          </w:p>
        </w:tc>
      </w:tr>
      <w:tr>
        <w:trPr>
          <w:trHeight w:val="18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operating activities</w:t>
            </w:r>
          </w:p>
        </w:tc>
        <w:tc>
          <w:tcPr>
            <w:tcW w:w="6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(12.3)</w:t>
            </w:r>
          </w:p>
        </w:tc>
        <w:tc>
          <w:tcPr>
            <w:tcW w:w="6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(16.0)</w:t>
            </w:r>
          </w:p>
        </w:tc>
        <w:tc>
          <w:tcPr>
            <w:tcW w:w="6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3.7</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505.3</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566.1</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(60.8)</w:t>
            </w:r>
          </w:p>
        </w:tc>
      </w:tr>
      <w:tr>
        <w:trPr>
          <w:trHeight w:val="20"/>
        </w:trPr>
        <w:tc>
          <w:tcPr>
            <w:tcW w:w="6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ind w:left="520" w:right="140" w:hanging="512"/>
        <w:spacing w:after="0" w:line="266" w:lineRule="auto"/>
        <w:tabs>
          <w:tab w:leader="none" w:pos="5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$21.6 million higher for the nine months ended September 30, 2025, compared to the same period in the prior year primarily as a result of increased Electric and Gas Utility margins due to new rates and rider recovery partially offset by higher operating expenses, NorthWestern merger-related costs and higher financing costs.</w:t>
      </w:r>
    </w:p>
    <w:p>
      <w:pPr>
        <w:spacing w:after="0" w:line="143"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$86.1 million lower, primarily attributable to:</w:t>
      </w:r>
    </w:p>
    <w:p>
      <w:pPr>
        <w:spacing w:after="0" w:line="207" w:lineRule="exact"/>
        <w:rPr>
          <w:sz w:val="20"/>
          <w:szCs w:val="20"/>
          <w:color w:val="auto"/>
        </w:rPr>
      </w:pPr>
    </w:p>
    <w:p>
      <w:pPr>
        <w:ind w:left="1120" w:right="460" w:hanging="513"/>
        <w:spacing w:after="0" w:line="285" w:lineRule="auto"/>
        <w:tabs>
          <w:tab w:leader="none" w:pos="1120" w:val="left"/>
        </w:tabs>
        <w:numPr>
          <w:ilvl w:val="1"/>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approximately $63.0 million as a result of changes in accounts receivable and other current assets primarily driven by fluctuations in commodity prices;</w:t>
      </w:r>
    </w:p>
    <w:p>
      <w:pPr>
        <w:spacing w:after="0" w:line="129" w:lineRule="exact"/>
        <w:rPr>
          <w:rFonts w:ascii="Times New Roman" w:cs="Times New Roman" w:eastAsia="Times New Roman" w:hAnsi="Times New Roman"/>
          <w:sz w:val="16"/>
          <w:szCs w:val="16"/>
          <w:color w:val="auto"/>
        </w:rPr>
      </w:pPr>
    </w:p>
    <w:p>
      <w:pPr>
        <w:jc w:val="both"/>
        <w:ind w:left="1120" w:right="440" w:hanging="513"/>
        <w:spacing w:after="0" w:line="266" w:lineRule="auto"/>
        <w:tabs>
          <w:tab w:leader="none" w:pos="1120" w:val="left"/>
        </w:tabs>
        <w:numPr>
          <w:ilvl w:val="1"/>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approximately $8.6 million as a result of increases in accounts payable and other current liabilities primarily driven by fluctuations in commodity prices, remediation costs for our manufactured gas plant site in Iowa and changes in other working capital requirements; and</w:t>
      </w:r>
    </w:p>
    <w:p>
      <w:pPr>
        <w:spacing w:after="0" w:line="143" w:lineRule="exact"/>
        <w:rPr>
          <w:rFonts w:ascii="Times New Roman" w:cs="Times New Roman" w:eastAsia="Times New Roman" w:hAnsi="Times New Roman"/>
          <w:sz w:val="16"/>
          <w:szCs w:val="16"/>
          <w:color w:val="auto"/>
        </w:rPr>
      </w:pPr>
    </w:p>
    <w:p>
      <w:pPr>
        <w:ind w:left="1120" w:right="260" w:hanging="513"/>
        <w:spacing w:after="0" w:line="285" w:lineRule="auto"/>
        <w:tabs>
          <w:tab w:leader="none" w:pos="1120" w:val="left"/>
        </w:tabs>
        <w:numPr>
          <w:ilvl w:val="1"/>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approximately $14.5 million as a result of changes in our regulatory assets and liabilities primarily due to lower recoveries of our Winter Storm Uri regulatory asset as recovery is now complete in several of our jurisdictions.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$3.7 million from other operating activities primarily due to lower costs from cloud computing arrangements.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gridSpan w:val="5"/>
          </w:tcPr>
          <w:p>
            <w:pPr>
              <w:jc w:val="center"/>
              <w:ind w:right="107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6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(550.2)</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(530.5)</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(19.7)</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22"/>
        </w:trPr>
        <w:tc>
          <w:tcPr>
            <w:tcW w:w="6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(556.4)</w:t>
            </w:r>
          </w:p>
        </w:tc>
        <w:tc>
          <w:tcPr>
            <w:tcW w:w="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(532.0)</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jc w:val="both"/>
        <w:ind w:left="520" w:right="460" w:hanging="512"/>
        <w:spacing w:after="0" w:line="251" w:lineRule="auto"/>
        <w:tabs>
          <w:tab w:leader="none" w:pos="52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capital expenditures (which are net of contributions in aid of construction) increased $19.7 million primarily as a result of the Ready Wyoming and Lange II projects and prior year receipts related to contributions in aid of construction for data center projects in Wyoming partially offset by prior year expenditures from Black Hills Energy Renewable Resources' acquisition of an RNG production facility at a landfill in Dubuque, Iowa;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right="620" w:hanging="512"/>
        <w:spacing w:after="0" w:line="285" w:lineRule="auto"/>
        <w:tabs>
          <w:tab w:leader="none" w:pos="5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$4.7 million for other investing activities primarily due to higher AFUDC debt driven construction work-in-progress balances related to the Lange II and Ready Wyoming projects.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gridSpan w:val="5"/>
          </w:tcPr>
          <w:p>
            <w:pPr>
              <w:jc w:val="center"/>
              <w:ind w:right="1099"/>
              <w:spacing w:after="0"/>
              <w:rPr>
                <w:sz w:val="20"/>
                <w:szCs w:val="20"/>
                <w:color w:val="auto"/>
              </w:rPr>
            </w:pPr>
            <w:r>
              <w:rPr>
                <w:rFonts w:ascii="Arial" w:cs="Arial" w:eastAsia="Arial" w:hAnsi="Arial"/>
                <w:sz w:val="16"/>
                <w:szCs w:val="16"/>
                <w:b w:val="1"/>
                <w:bCs w:val="1"/>
                <w:color w:val="auto"/>
              </w:rPr>
              <w:t>Nine Months Ended September 30,</w:t>
            </w:r>
          </w:p>
        </w:tc>
      </w:tr>
      <w:tr>
        <w:trPr>
          <w:trHeight w:val="189"/>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6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7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 on common stock</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(146.8)</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(135.8)</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(11.0)</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Common stock issued</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219.2</w:t>
            </w:r>
          </w:p>
        </w:tc>
        <w:tc>
          <w:tcPr>
            <w:tcW w:w="2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181.6</w:t>
            </w:r>
          </w:p>
        </w:tc>
        <w:tc>
          <w:tcPr>
            <w:tcW w:w="2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37.6</w:t>
            </w: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Short-term and long-term debt borrowings (repayments), net</w:t>
            </w:r>
          </w:p>
        </w:tc>
        <w:tc>
          <w:tcPr>
            <w:tcW w:w="10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124.7</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w:t>
            </w:r>
          </w:p>
        </w:tc>
      </w:tr>
      <w:tr>
        <w:trPr>
          <w:trHeight w:val="189"/>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10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w:t>
            </w: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(107.5)</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164.3</w:t>
            </w:r>
          </w:p>
        </w:tc>
      </w:tr>
      <w:tr>
        <w:trPr>
          <w:trHeight w:val="20"/>
        </w:trPr>
        <w:tc>
          <w:tcPr>
            <w:tcW w:w="6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2025, Compared to the Nine Months Ended September 30, 2024</w:t>
      </w:r>
    </w:p>
    <w:p>
      <w:pPr>
        <w:spacing w:after="0" w:line="194" w:lineRule="exact"/>
        <w:rPr>
          <w:sz w:val="20"/>
          <w:szCs w:val="20"/>
          <w:color w:val="auto"/>
        </w:rPr>
      </w:pPr>
    </w:p>
    <w:p>
      <w:pPr>
        <w:ind w:left="520" w:right="400" w:hanging="512"/>
        <w:spacing w:after="0" w:line="285" w:lineRule="auto"/>
        <w:tabs>
          <w:tab w:leader="none" w:pos="5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Dividends paid on common stock increased $11.0 million due to the increased dividend rate per share and increased number of common shares outstanding;</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$37.6 million due to increased issuances of common stock;</w:t>
      </w:r>
    </w:p>
    <w:p>
      <w:pPr>
        <w:spacing w:after="0" w:line="206" w:lineRule="exact"/>
        <w:rPr>
          <w:rFonts w:ascii="Times New Roman" w:cs="Times New Roman" w:eastAsia="Times New Roman" w:hAnsi="Times New Roman"/>
          <w:sz w:val="16"/>
          <w:szCs w:val="16"/>
          <w:color w:val="auto"/>
        </w:rPr>
      </w:pPr>
    </w:p>
    <w:p>
      <w:pPr>
        <w:ind w:left="520" w:right="360" w:hanging="512"/>
        <w:spacing w:after="0" w:line="266" w:lineRule="auto"/>
        <w:tabs>
          <w:tab w:leader="none" w:pos="5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Net cash outflows decreased $124.7 million primarily as a result of net repayment activity under our CP Program and the prior year repayment of $600 million, 1.04% senior unsecured notes on their August 2024 maturity date partially offset by prior year proceeds from the May 2024, debt offering of $450 million, 6.00% senior unsecured notes;</w:t>
      </w:r>
    </w:p>
    <w:p>
      <w:pPr>
        <w:spacing w:after="0" w:line="143" w:lineRule="exact"/>
        <w:rPr>
          <w:rFonts w:ascii="Times New Roman" w:cs="Times New Roman" w:eastAsia="Times New Roman" w:hAnsi="Times New Roman"/>
          <w:sz w:val="16"/>
          <w:szCs w:val="16"/>
          <w:color w:val="auto"/>
        </w:rPr>
      </w:pPr>
    </w:p>
    <w:p>
      <w:pPr>
        <w:ind w:left="520" w:right="120" w:hanging="512"/>
        <w:spacing w:after="0" w:line="285" w:lineRule="auto"/>
        <w:tabs>
          <w:tab w:leader="none" w:pos="5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to non-controlling interests decreased $7.3 million due to lower net income from Black Hills Colorado IPP primarily driven by unplanned generation outages; and</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$5.7 million from other financing activities primarily due to prior year financing costs from the May 2024 debt offering.</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and financial covenants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rPr>
              <w:t>Senior Unsecured Rating</w:t>
            </w:r>
          </w:p>
        </w:tc>
        <w:tc>
          <w:tcPr>
            <w:tcW w:w="27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Outlook</w:t>
            </w:r>
          </w:p>
        </w:tc>
      </w:tr>
      <w:tr>
        <w:trPr>
          <w:trHeight w:val="183"/>
        </w:trPr>
        <w:tc>
          <w:tcPr>
            <w:tcW w:w="3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080" w:type="dxa"/>
            <w:vAlign w:val="bottom"/>
            <w:shd w:val="clear" w:color="auto" w:fill="CFF0FC"/>
          </w:tcPr>
          <w:p>
            <w:pPr>
              <w:jc w:val="center"/>
              <w:ind w:left="1299"/>
              <w:spacing w:after="0" w:line="183" w:lineRule="exact"/>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Stable</w:t>
            </w:r>
          </w:p>
        </w:tc>
      </w:tr>
      <w:tr>
        <w:trPr>
          <w:trHeight w:val="290"/>
        </w:trPr>
        <w:tc>
          <w:tcPr>
            <w:tcW w:w="3400" w:type="dxa"/>
            <w:vAlign w:val="bottom"/>
          </w:tcPr>
          <w:p>
            <w:pPr>
              <w:spacing w:after="0"/>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59"/>
              <w:spacing w:after="0"/>
              <w:rPr>
                <w:sz w:val="20"/>
                <w:szCs w:val="20"/>
                <w:color w:val="auto"/>
              </w:rPr>
            </w:pPr>
            <w:r>
              <w:rPr>
                <w:rFonts w:ascii="Arial" w:cs="Arial" w:eastAsia="Arial" w:hAnsi="Arial"/>
                <w:sz w:val="16"/>
                <w:szCs w:val="16"/>
                <w:color w:val="auto"/>
              </w:rPr>
              <w:t>Stable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0458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 August 19, 2025, S&amp;P affirmed our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 August 19, 2025, Moody's affirmed our Baa2 rating and maintained a Stable outlook.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 of South Dakota Electric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7900" w:type="dxa"/>
            <w:vAlign w:val="bottom"/>
            <w:tcBorders>
              <w:bottom w:val="single" w:sz="8" w:color="auto"/>
            </w:tcBorders>
          </w:tcPr>
          <w:p>
            <w:pPr>
              <w:jc w:val="center"/>
              <w:ind w:left="3319"/>
              <w:spacing w:after="0"/>
              <w:rPr>
                <w:sz w:val="20"/>
                <w:szCs w:val="20"/>
                <w:color w:val="auto"/>
              </w:rPr>
            </w:pPr>
            <w:r>
              <w:rPr>
                <w:rFonts w:ascii="Arial" w:cs="Arial" w:eastAsia="Arial" w:hAnsi="Arial"/>
                <w:sz w:val="16"/>
                <w:szCs w:val="16"/>
                <w:b w:val="1"/>
                <w:bCs w:val="1"/>
                <w:color w:val="auto"/>
              </w:rPr>
              <w:t>Senior Secured Rating</w:t>
            </w:r>
          </w:p>
        </w:tc>
      </w:tr>
      <w:tr>
        <w:trPr>
          <w:trHeight w:val="182"/>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S&amp;P</w:t>
            </w:r>
          </w:p>
        </w:tc>
        <w:tc>
          <w:tcPr>
            <w:tcW w:w="7900" w:type="dxa"/>
            <w:vAlign w:val="bottom"/>
            <w:shd w:val="clear" w:color="auto" w:fill="CFF0FC"/>
          </w:tcPr>
          <w:p>
            <w:pPr>
              <w:jc w:val="center"/>
              <w:ind w:left="3319"/>
              <w:spacing w:after="0" w:line="183" w:lineRule="exact"/>
              <w:rPr>
                <w:sz w:val="20"/>
                <w:szCs w:val="20"/>
                <w:color w:val="auto"/>
              </w:rPr>
            </w:pPr>
            <w:r>
              <w:rPr>
                <w:rFonts w:ascii="Arial" w:cs="Arial" w:eastAsia="Arial" w:hAnsi="Arial"/>
                <w:sz w:val="16"/>
                <w:szCs w:val="16"/>
                <w:color w:val="auto"/>
                <w:w w:val="93"/>
              </w:rPr>
              <w:t>A</w:t>
            </w:r>
          </w:p>
        </w:tc>
      </w:tr>
      <w:tr>
        <w:trPr>
          <w:trHeight w:val="416"/>
        </w:trPr>
        <w:tc>
          <w:tcPr>
            <w:tcW w:w="3340" w:type="dxa"/>
            <w:vAlign w:val="bottom"/>
          </w:tcPr>
          <w:p>
            <w:pPr>
              <w:spacing w:after="0"/>
              <w:rPr>
                <w:sz w:val="24"/>
                <w:szCs w:val="24"/>
                <w:color w:val="auto"/>
              </w:rPr>
            </w:pPr>
          </w:p>
        </w:tc>
        <w:tc>
          <w:tcPr>
            <w:tcW w:w="7900" w:type="dxa"/>
            <w:vAlign w:val="bottom"/>
          </w:tcPr>
          <w:p>
            <w:pPr>
              <w:jc w:val="right"/>
              <w:ind w:right="5439"/>
              <w:spacing w:after="0"/>
              <w:rPr>
                <w:sz w:val="20"/>
                <w:szCs w:val="20"/>
                <w:color w:val="auto"/>
              </w:rPr>
            </w:pPr>
            <w:r>
              <w:rPr>
                <w:rFonts w:ascii="Arial" w:cs="Arial" w:eastAsia="Arial" w:hAnsi="Arial"/>
                <w:sz w:val="16"/>
                <w:szCs w:val="16"/>
                <w:color w:val="auto"/>
              </w:rPr>
              <w:t>45</w:t>
            </w:r>
          </w:p>
        </w:tc>
      </w:tr>
      <w:tr>
        <w:trPr>
          <w:trHeight w:val="751"/>
        </w:trPr>
        <w:tc>
          <w:tcPr>
            <w:tcW w:w="33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Actual </w:t>
            </w:r>
            <w:r>
              <w:rPr>
                <w:rFonts w:ascii="Arial" w:cs="Arial" w:eastAsia="Arial" w:hAnsi="Arial"/>
                <w:sz w:val="21"/>
                <w:szCs w:val="21"/>
                <w:b w:val="1"/>
                <w:bCs w:val="1"/>
                <w:color w:val="auto"/>
                <w:w w:val="93"/>
                <w:vertAlign w:val="superscript"/>
              </w:rPr>
              <w:t>(a)</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4"/>
              </w:rPr>
              <w:t xml:space="preserve">Forecasted </w:t>
            </w:r>
            <w:r>
              <w:rPr>
                <w:rFonts w:ascii="Arial" w:cs="Arial" w:eastAsia="Arial" w:hAnsi="Arial"/>
                <w:sz w:val="21"/>
                <w:szCs w:val="21"/>
                <w:b w:val="1"/>
                <w:bCs w:val="1"/>
                <w:color w:val="auto"/>
                <w:w w:val="94"/>
                <w:vertAlign w:val="superscript"/>
              </w:rPr>
              <w:t>(b)</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Capital Expenditures by 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5"/>
                <w:szCs w:val="15"/>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21"/>
                <w:szCs w:val="21"/>
                <w:b w:val="1"/>
                <w:bCs w:val="1"/>
                <w:color w:val="auto"/>
                <w:vertAlign w:val="superscript"/>
              </w:rPr>
              <w:t>(c)</w:t>
            </w:r>
          </w:p>
        </w:tc>
        <w:tc>
          <w:tcPr>
            <w:tcW w:w="160" w:type="dxa"/>
            <w:vAlign w:val="bottom"/>
          </w:tcPr>
          <w:p>
            <w:pPr>
              <w:spacing w:after="0"/>
              <w:rPr>
                <w:sz w:val="15"/>
                <w:szCs w:val="15"/>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15"/>
                <w:szCs w:val="15"/>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260" w:type="dxa"/>
            <w:vAlign w:val="bottom"/>
          </w:tcPr>
          <w:p>
            <w:pPr>
              <w:spacing w:after="0"/>
              <w:rPr>
                <w:sz w:val="15"/>
                <w:szCs w:val="15"/>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2028</w:t>
            </w:r>
          </w:p>
        </w:tc>
        <w:tc>
          <w:tcPr>
            <w:tcW w:w="240" w:type="dxa"/>
            <w:vAlign w:val="bottom"/>
          </w:tcPr>
          <w:p>
            <w:pPr>
              <w:spacing w:after="0"/>
              <w:rPr>
                <w:sz w:val="15"/>
                <w:szCs w:val="15"/>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2029</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(minor differences may result due to rounding)</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September 30, 2025</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8"/>
              </w:rPr>
              <w:t>(in millions)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1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7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334</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615</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268</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w:t>
            </w:r>
          </w:p>
        </w:tc>
        <w:tc>
          <w:tcPr>
            <w:tcW w:w="24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609</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859</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822</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800" w:hanging="512"/>
        <w:spacing w:after="0" w:line="25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actual capital expenditures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-318770</wp:posOffset>
            </wp:positionV>
            <wp:extent cx="16249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Dividends paid on our common stock totaled $146.8 million for the nine months ended September 30, 2025, or $0.676 per share. On October 28, 2025, our board of directors declared a quarterly dividend of $0.676 per share payable December 1, 2025, equivalent to an annual dividend of $2.704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summary of our critical accounting estimates is included in our 2024 Annual Report on Form 10-K. There were no material changes made as of September 30, 2025.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for a description of recent accounting pronouncements, if any, and our expectation of their impact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2024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September 30, 2025. Based on their evaluation, they have concluded that our disclosure controls and procedures were effective at September 30, 2025.</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quarter ended September 30, 2025, there have been no changes in our internal controls over financial reporting that have materially affected, or are reasonably likely, to materially affect our internal control over financial reporting.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There are no material changes to the risk factors previously disclosed in Item 1A of Part I in our 2024 Annual Report on Form 10-K except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Merger</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The ability of Black Hills and NorthWestern to complete the Merger is subject to various closing conditions, including the receipt of approval of Black Hills and NorthWestern shareholders and the receipt of consents and approvals from various governmental authorities, which may impose conditions that could adversely affect Black Hills or NorthWestern or cause the Merger to be abandoned. Failure to complete the Merger, or significant delays in completing the Merger, could negatively affect the trading price of Black Hills common stock or other securities and the future business and financial results of Black Hills.</w:t>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To complete the Merger, Black Hills and NorthWestern shareholders must vote to approve a number of proposals related to the Merger and the Merger Agreement. Further, the Merger is subject to the satisfaction or waiver of certain closing conditions, including, (1) the effectiveness of a registration statement on Form S-4 to be filed in connection with the Merger; (2) subject to certain conditions, the receipt of certain regulatory approvals, including expiration or termination of the applicable waiting period under the HSR Act, and approval from the FERC and certain state regulatory commissions, in each case on such terms and conditions that would not result in a material adverse effect on the combined company; (3) the absence of any court order or regulatory injunction prohibiting completion of the Merger; (4) the authorization for listing of shares of Black Hills Common Stock to be issued in connection with the Merger on the NYSE or other mutually-agreed stock exchange; (5) subject to specified materiality standards, the accuracy of the representations and warranties of each party; (6) compliance by each party in all material respects with its covenants under the Merger Agreement; (7) the absence of a material adverse effect on each party; and (8) receipt by each party of an opinion relating to the anticipated tax-free treatment of the Merger. If the foregoing conditions are not satisfied or waived, one or both of Black Hills or NorthWestern would not be required to complete the Merger.</w:t>
      </w:r>
    </w:p>
    <w:p>
      <w:pPr>
        <w:spacing w:after="0" w:line="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Black Hills and NorthWestern have not yet obtained shareholder approval or the regulatory consents and approvals required to complete the Merger. Governmental or regulatory agencies could seek to block or challenge the Merger or could impose restrictions they deem necessary or desirable in the public interest as a condition to approving the Merger. Black Hills and NorthWestern will be unable to complete the Merger until the waiting period under the HSR Act has expired or been terminated and the required governmental approvals have been received. Regulatory authorities may impose certain requirements or obligations as conditions for their approval. The Merger Agreement may require Black Hills and/or NorthWestern to accept conditions from these regulators that could adversely impact the combined company. If the required governmental approvals are not received, or they are not received on terms that satisfy the conditions set forth in the Merger Agreement, then neither Black Hills nor NorthWestern will be obligated to complete the Merger.</w:t>
      </w:r>
    </w:p>
    <w:p>
      <w:pPr>
        <w:spacing w:after="0" w:line="16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can be no assurance that a challenge to the Merger on antitrust grounds will not be made or, if such a challenge is made, of the result of such challenge.</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Additionally, even after the statutory waiting period under the antitrust laws and even after completion of the Merger, governmental authorities could seek to block or challenge the Merger as they deem necessary or desirable in the public interest. In addition, in some jurisdictions, a private party could initiate an action under the antitrust laws challenging or seeking to enjoin the Merger, before or after they are completed. Black Hills or NorthWestern may not prevail and may incur significant costs in defending or settling any action under the antitrust laws.</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special meetings at which the Black Hills shareholders and the NorthWestern shareholders will vote on the transactions contemplated by the Merger Agreement may take place before all regulatory approvals have been obtained and, in cases where they have not been obtained, before the terms of any conditions to obtain such regulatory approvals that may be imposed are known. As a result, if shareholder approval of the transactions contemplated by the Merger Agreement is obtained at such meetings, Black Hills and NorthWestern may make decisions after the meetings to waive a condition or approve certain actions required to obtain the necessary approvals without seeking further shareholder approval. Such actions could have an adverse effect on the combined company.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Black Hills and NorthWestern are unable to complete the Merger, or there is a significant delay in completing the Merger, Black Hills would be subject to a number of risks, including the following:</w:t>
      </w:r>
    </w:p>
    <w:p>
      <w:pPr>
        <w:spacing w:after="0" w:line="129" w:lineRule="exact"/>
        <w:rPr>
          <w:sz w:val="20"/>
          <w:szCs w:val="20"/>
          <w:color w:val="auto"/>
        </w:rPr>
      </w:pPr>
    </w:p>
    <w:p>
      <w:pPr>
        <w:ind w:left="1020" w:right="14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Black Hills would not realize the anticipated benefits of the Merger, including, among other things, increased operating efficiencies and future cost savings;</w:t>
      </w:r>
    </w:p>
    <w:p>
      <w:pPr>
        <w:spacing w:after="0" w:line="129"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attention of management of Black Hills may have been diverted to the Merger rather than to its own operations and the pursuit of other opportunities that could have been beneficial to Black Hills;</w:t>
      </w:r>
    </w:p>
    <w:p>
      <w:pPr>
        <w:spacing w:after="0" w:line="129"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loss of key personnel during the pendency of the Merger as employees may experience uncertainty about their future roles with the combined company;</w:t>
      </w:r>
    </w:p>
    <w:p>
      <w:pPr>
        <w:spacing w:after="0" w:line="129" w:lineRule="exact"/>
        <w:rPr>
          <w:rFonts w:ascii="Times New Roman" w:cs="Times New Roman" w:eastAsia="Times New Roman" w:hAnsi="Times New Roman"/>
          <w:sz w:val="16"/>
          <w:szCs w:val="16"/>
          <w:color w:val="auto"/>
        </w:rPr>
      </w:pPr>
    </w:p>
    <w:p>
      <w:pPr>
        <w:ind w:left="1020" w:right="42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Black Hills will have been subject to certain restrictions on the conduct of its business, which may prevent Black Hills from making certain acquisitions or dispositions or pursuing certain business opportunities while the Merger is pending;</w:t>
      </w:r>
    </w:p>
    <w:p>
      <w:pPr>
        <w:spacing w:after="0" w:line="129"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trading price of Black Hills common stock or other securities may decline to the extent that the current market prices reflect a market assumption that the Merger will be completed; and</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parties may be liable for damages to one another, or have to pay a termination fee, under the Merger Agreement.</w:t>
      </w:r>
    </w:p>
    <w:p>
      <w:pPr>
        <w:spacing w:after="0" w:line="20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Black Hills can provide no assurance that the various closing conditions will be satisfied and that the required governmental approvals and other approvals will be obtained, or that any required conditions will not materially adversely affect the combined company following the Merger. In addition, Black Hills can provide no assurance that these conditions will not result in the abandonment or delay of the Merger. The occurrence of these events individually or in combination could have a material adverse effect on Black Hills’ results of operations and the trading price of Black Hills common stock or other securities.</w:t>
      </w:r>
    </w:p>
    <w:p>
      <w:pPr>
        <w:spacing w:after="0" w:line="15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The Merger Agreement contains provisions that limit Black Hills’ ability to pursue alternatives to the Merger, could discourage a potential acquirer of Black Hills from making a favorable alternative transaction proposal and, in certain circumstances, could require Black Hills to pay a termination fee to NorthWestern.</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Merger Agreement, Black Hills and NorthWestern have agreed, subject to certain exceptions with respect to unsolicited proposals, not to directly or indirectly solicit competing acquisition proposals or to enter into discussions concerning, or provide confidential information in connection with, any unsolicited alternative acquisition proposals. Additionally, the Black Hills board of directors and the NorthWestern board of directors are each required to recommend the approval of the applicable transaction-related proposals to its respective shareholders, subject to certain exceptions. Prior to the approval of the transaction-related proposals by their respective shareholders, the Black Hills board of directors or the NorthWestern board of directors may change its recommendation in response to an unsolicited proposal for an alternative transaction, if such board of directors determines in good faith after consultation with its outside legal counsel and financial advisor that the proposal constitutes or would reasonably be expected to lead to a “Superior NorthWestern Proposal” or “Superior Black Hills Proposal”, as applicable (as such terms are defined in the Merger Agreement), and that failure to take such action would be inconsistent with their fiduciary duties under applicable law to the applicable company and its shareholders under applicable law, subject to complying with certain procedures set forth in the Merger Agreement. Prior to the approval of the transaction-related proposals by their respective shareholders, the Black Hills board of directors and the NorthWestern board of directors may also change its recommendation upon the occurrence of a “NorthWestern Intervening Event” or “Black Hills Intervening Event”, as applicable (as such terms are defined in the Merger Agreement), and such board of directors determines in good faith after consultation with its outside legal counsel and financial advisor that failing to change its recommendation would be inconsistent with its fiduciary duties under applicable law, subject to complying with certain procedures set forth in the Merger Agreement. The Merger Agreement is subject to a “force-the-vote” provision, which means neither Black Hills nor NorthWestern would have an independent right to terminate the Merger Agreement to accept a superior proposal. These provisions could discourage a third party that may have an interest in acquiring all or a significant part of Black Hills from considering or proposing that acquisition, even if such third party were prepared to pay consideration with a higher market value than the market value proposed to be received or realized in the merger, or might result in a potential acquirer proposing to pay a lower price than it would otherwise have proposed to pay. As a result of these restrictions, Black Hills may not be able to enter into an agreement with respect to a more favorable alternative transaction, or may be able to do so only by incurring potentially significant liability to NorthWestern.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Merger Agreement contains certain customary termination rights for each of Black Hills and NorthWestern; provided, that, either party would be required to pay to the other a termination fee equal to $100 million upon termination of the Merger Agreement in certain circumstances involving (i) a change in recommendation by such party’s board of directors (including, in certain circumstances, the failure of such party to publicly reaffirm its recommendation upon request) or (ii) a party entering into a definitive agreement in respect of a competing transaction within twelve months of termination of the Merger Agreement in certain circumstances involving a potential competing acquisition proposal.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Uncertainties associated with the Merger may cause a loss of management personnel and other key employees of Black Hills and NorthWestern, which could adversely affect the future business and operations of the combined company following the Merger.</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Each of Black Hills and NorthWestern depends on the experience and industry knowledge of its officers and other key employees to execute its business plans. The success of the combined company after the Merger will depend in part on its ability to retain key management personnel and other key employees. Current and prospective employees of Black Hills and NorthWestern may experience uncertainty about their roles within the combined company following the Merger or other concerns regarding the timing and completion of the Merger or the operations of the combined company following the Merger, any of which may have an adverse effect on the ability of Black Hills and NorthWestern to retain or attract key management and other key personnel. If Black Hills or NorthWestern is unable to retain personnel, including Black Hills’ or NorthWestern’s key management, who are critical to the future operations of the companies, Black Hills and NorthWestern could face disruptions in their operations, loss of existing customers, loss of key information, expertise or know-how and unanticipated additional recruitment and training costs. In addition, the loss of key Black Hills and NorthWestern personnel could diminish the anticipated benefits of the Merger. No assurance can be given that the combined company, following the Merger, will be able to retain or attract key management personnel and other key employees of Black Hills and NorthWestern to the same extent that Black Hills and NorthWestern have previously been able to retain or attract their own employees.</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auto"/>
        </w:rPr>
        <w:t>The business relationships of Black Hills and NorthWestern may be subject to disruption due to uncertainty associated with the Merger, which could have a material effect on the business, financial condition, cash flows and results of operations of Black Hills or NorthWestern pending the combined company and following the Merger.</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Parties with which Black Hills or NorthWestern do business may experience uncertainty associated with the Merger, including with respect to current or future business relationships with Black Hills or NorthWestern following the Merger. Black Hills’ and NorthWestern’s business relationships may be subject to disruption as customers, distributors, suppliers,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Black Hills or NorthWestern following the Merger. These disruptions could have a material and adverse effect on the business, financial condition, cash flows and results of operations, of Black Hills or NorthWestern, regardless of whether the Merger is completed, as well as a material and adverse effect on the combined company’s ability to realize the expected cost savings and other benefits of the Merger. The risk, and adverse effects, of any disruption could be exacerbated by a delay in completion of the Merger or termination of the Merger Agreement.</w:t>
      </w:r>
    </w:p>
    <w:p>
      <w:pPr>
        <w:spacing w:after="0" w:line="156" w:lineRule="exact"/>
        <w:rPr>
          <w:sz w:val="20"/>
          <w:szCs w:val="20"/>
          <w:color w:val="auto"/>
        </w:rPr>
      </w:pPr>
    </w:p>
    <w:p>
      <w:pPr>
        <w:ind w:right="820"/>
        <w:spacing w:after="0" w:line="296" w:lineRule="auto"/>
        <w:rPr>
          <w:sz w:val="20"/>
          <w:szCs w:val="20"/>
          <w:color w:val="auto"/>
        </w:rPr>
      </w:pPr>
      <w:r>
        <w:rPr>
          <w:rFonts w:ascii="Arial" w:cs="Arial" w:eastAsia="Arial" w:hAnsi="Arial"/>
          <w:sz w:val="16"/>
          <w:szCs w:val="16"/>
          <w:b w:val="1"/>
          <w:bCs w:val="1"/>
          <w:color w:val="auto"/>
        </w:rPr>
        <w:t>Black Hills is subject to risk of the Merger having an adverse impact on its credit rating, both while the Merger is pending and following completion of the Merger.</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Black Hills cannot be assured that its credit ratings will not be lowered as a result of the Merger or for any other reason, including the failure to consummate the Merger. Any reduction in Black Hills’ credit ratings, or the criteria used by rating agencies to determine such ratings, could adversely affect its ability to complete the Merger, its access to capital, its cost of capital and its other operating costs, and its ability to refinance or repay Black Hills’ existing debt and complete new financings, which could have a material adverse effect on Black Hills’ business, financial condition, results of operations or the trading price of its common stock or other securities.</w:t>
      </w:r>
    </w:p>
    <w:p>
      <w:pPr>
        <w:spacing w:after="0" w:line="153"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auto"/>
        </w:rPr>
        <w:t>The market prices of Black Hills common stock and other securities may be subject to fluctuation while the Merger is pending and after the Merger is completed.</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market price of Black Hills common stock and other securities may fluctuate significantly while the Merger is pending, or after it is completed, and any adverse developments related to the Merger or otherwise could result in holders of Black Hills common stock or other securities losing some or all of the value of their investment. In addition, if the stock market experiences significant price and volume fluctuations, such fluctuations could be exacerbated by the pendency of the Merger, which could adversely affect the market for, or liquidity of, Black Hills common stock or other securities, regardless of Black Hills’ or the combined company’s actual operating performance.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Because the Merger Agreement contemplates that Black Hills will issue shares of Black Hills common stock to NorthWestern’s shareholders based upon a fixed exchange ratio, developments with respect to NorthWestern and its shares of common stock may affect Black Hills common stock irrespective of their relevance to standalone Black Hills and even though Black Hills may have no control over, or knowledge of, such developments. As a result, the market price of Black Hills common stock during the pendency of the Merger may not accurately reflect the value of Black Hills absent the Merger.</w:t>
      </w:r>
    </w:p>
    <w:p>
      <w:pPr>
        <w:spacing w:after="0" w:line="151" w:lineRule="exact"/>
        <w:rPr>
          <w:sz w:val="20"/>
          <w:szCs w:val="20"/>
          <w:color w:val="auto"/>
        </w:rPr>
      </w:pPr>
    </w:p>
    <w:p>
      <w:pPr>
        <w:jc w:val="both"/>
        <w:ind w:right="700"/>
        <w:spacing w:after="0" w:line="271" w:lineRule="auto"/>
        <w:rPr>
          <w:sz w:val="20"/>
          <w:szCs w:val="20"/>
          <w:color w:val="auto"/>
        </w:rPr>
      </w:pPr>
      <w:r>
        <w:rPr>
          <w:rFonts w:ascii="Arial" w:cs="Arial" w:eastAsia="Arial" w:hAnsi="Arial"/>
          <w:sz w:val="16"/>
          <w:szCs w:val="16"/>
          <w:b w:val="1"/>
          <w:bCs w:val="1"/>
          <w:color w:val="auto"/>
        </w:rPr>
        <w:t>Black Hills is subject to contractual restrictions in the Merger Agreement that may hinder its operations while the Merger is pending. The corollary restrictions applicable to NorthWestern may not prevent NorthWestern from taking actions that are adverse to Black Hills or its shareholders.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The Merger Agreement includes certain customary restrictions with respect to the operation of Black Hills’ and NorthWestern’s respective businesses between the date of the Merger Agreement and the consummation of the Merger. These restrictions may prevent Black Hills from pursuing otherwise attractive business opportunities and making other changes to its business prior to completion of the Merger or termination of the Merger Agreement.</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Despite these mutual restrictions, Black Hills and NorthWestern will continue to operate their businesses independently of one another during the pendency of the Merger. The restrictions in the Merger Agreement, which are subject to numerous exceptions, may not be adequate to prevent NorthWestern from taking actions that are adverse to Black Hills or its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will incur significant transaction and other costs in connection with the Merger.</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Black Hills has incurred and expects to incur additional significant costs associated with the Merger, including transaction fees and costs of combining the operations of the two companies. Additional unanticipated costs also may be incurred in the integration of the businesses of Black Hills and NorthWestern. Any net benefit from any anticipated elimination of duplicative costs, as well as the realization of other efficiencies related to the integration of the businesses, may not be achieved in the near term or at all. Transaction costs could have a material adverse impact on the results of operations of Black Hills, and the failure to achieve the anticipated benefits and efficiencies from the Merger, or the incurrence of additional expenses, could have a material adverse impact on the results of operations of the combined company and its ability to pay dividends after closing. In turn, the current or future market value of Black Hills common stock or other securities could be adversely impacted.</w:t>
      </w:r>
    </w:p>
    <w:p>
      <w:pPr>
        <w:spacing w:after="0" w:line="15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The Merger may not be accretive to Black Hills’ or NorthWestern’s earnings and may cause dilution to Black Hills’ or NorthWestern’s earnings per share, which may negatively affect the current or future market price of Black Hills common stock or other securities.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Expectations that the Merger will be accretive to earnings per share on a standalone basis are based on preliminary estimates any of which may prove to be incorrect or may change materially. Black Hills and NorthWestern may encounter additional transaction and integration-related costs other than those they currently anticipate, may fail to realize all of the benefits anticipated in the Merger or may be subject to other factors that affect preliminary estimates or the ability of either company to realize operational efficiencies. Any of these factors could cause a decrease in Black Hills’ and NorthWestern’s earnings per share, or negatively affect the current or future market price of Black Hills common stock or other securities.</w:t>
      </w:r>
    </w:p>
    <w:p>
      <w:pPr>
        <w:spacing w:after="0" w:line="15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Black Hills and/or NorthWestern may be subject to litigation challenging the Merger while it is pending, and an unfavorable judgment or ruling in any such lawsuits could prevent or delay the consummation of the Merger and/or result in substantial costs.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Lawsuits in connection with the Merger while it is pending may be filed against Black Hills, NorthWestern, any parties to the Merger Agreement and/or their respective directors and officers, which could prevent or delay the consummation of the Merger and/or result in additional costs to us. The ultimate resolution of any such lawsuit cannot be predicted with certainty, and an adverse ruling in any such lawsuit may cause the Merger to be delayed or not to be completed and/or result in additional costs to Black Hills and NorthWestern, which could cause Black Hills and NorthWestern not to realize some or all of the anticipated benefits of the Merger. The defense or settlement of any lawsuit that remains unresolved at the time the Merger is consummated may adversely affect the combined company’s business, financial condition, results of operations and cash flows. Black Hills cannot currently predict the outcome of or reasonably estimate the possible loss or range of loss from any such lawsuit.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Relating to the Combined Company Following Completion of the Merger</w:t>
      </w:r>
    </w:p>
    <w:p>
      <w:pPr>
        <w:spacing w:after="0" w:line="19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Failure to successfully combine the businesses of Black Hills and NorthWestern in the expected time frame or at all may adversely affect the future results of the combined company, and, consequently, the value of the Black Hills common stock after the Merger.</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success of the Merger will depend, in part, on the ability of the combined company to realize in a timely fashion the anticipated benefits and efficiencies from combining the businesses of Black Hills and NorthWestern. The process of integration may reveal that benefits and efficiencies are less than anticipated and may result in additional expenses, all of which could reduce the anticipated benefits of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Achieving the anticipated benefits of the Merger is subject to a number of uncertainties, including:</w:t>
      </w:r>
    </w:p>
    <w:p>
      <w:pPr>
        <w:spacing w:after="0" w:line="194" w:lineRule="exact"/>
        <w:rPr>
          <w:sz w:val="20"/>
          <w:szCs w:val="20"/>
          <w:color w:val="auto"/>
        </w:rPr>
      </w:pPr>
    </w:p>
    <w:p>
      <w:pPr>
        <w:ind w:left="1020" w:right="100" w:hanging="503"/>
        <w:spacing w:after="0" w:line="266" w:lineRule="auto"/>
        <w:tabs>
          <w:tab w:leader="none" w:pos="102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whether U.S. federal and state public utility, antitrust and other regulatory authorities whose approval is required to complete the Merger impose conditions on the Merger, which may have an adverse effect on the combined company, including its ability to achieve the anticipated benefits of the Merger;</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of the two companies to combine certain of their operations or take advantage of expected growth opportunities;</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general market and economic conditions;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general competitive factors in the marketplace;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higher than expected costs required to achieve the anticipated benefits of the Merger.</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Failure to achieve the anticipated benefits and efficiencies from the Merger, or the occurrence of additional expenses, could have a material adverse impact on the results of operations of the combined company and its ability to pay dividends after closing. In turn, the market value of the combined company’s common stock could be adversely impacted.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shareholders will have a reduced ownership and voting interest after the Merger and will exercise less influence over management.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It is currently anticipated that Black Hills shareholders and NorthWestern shareholders will hold approximately 56 percent and 44 percent, respectively, of the combined company’s common stock then-issued and outstanding after the completion of the Merger. Consequently, Black Hills shareholders, as a group, will have reduced ownership and voting power in the combined company compared to their current ownership and voting power in Black Hills. As a result of the reduced ownership percentages, current Black Hills shareholders will have less influence on the management and policies of the combined company than they had with Black Hills. Further, provisions of the Merger Agreement will result in individuals designated by NorthWestern, and not previously subject to a vote of Black Hills shareholders, holding five out of eleven positions on the Black Hills board of directors and there will be changes to the Black Hills Management.</w:t>
      </w:r>
    </w:p>
    <w:p>
      <w:pPr>
        <w:spacing w:after="0" w:line="34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The market price of Black Hills common stock after the completion of the Merger may be affected by factors different from those that historically have affected or currently affect Black Hills common stock.</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Upon completion of the Merger, NorthWestern shareholders who receive Merger consideration will become holders of Black Hills common stock, which will trade on the NYSE or other mutually-agreeable exchange under a new name and ticker to be announced. Black Hills’ business differs from that of NorthWestern and certain adjustments may be made to the combined company as a result of the Merger. The financial position of the combined company after completion of the Merger may differ from Black Hills’ financial position before the completion of the Merger, and the results of operations and/or cash flows of Black Hills after the completion of the Merger may be affected by factors different from those currently affecting the financial position or results of operations and/or cash flows of Black Hills and NorthWestern, respectively. Accordingly, the market price of Black Hills common stock after the completion of the Merger may be affected by factors different from those currently affecting the market prices of Black Hills common stock and NorthWestern common stock, respectively, in the absence of the Merger. In addition, general fluctuations in stock markets could adversely affect the market for, or liquidity of, Black Hills common stock, regardless of the combined company’s actual operating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Each of Black Hills and NorthWestern may have liabilities that are not known to the other party.</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Each of Black Hills and NorthWestern may have liabilities that the other party failed, or was unable, to discover in the course of performing its respective due diligence investigations. Black Hills and NorthWestern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Black Hills’ and NorthWestern’s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the combined company’s common stock following the Merger.</w:t>
      </w:r>
    </w:p>
    <w:p>
      <w:pPr>
        <w:spacing w:after="0" w:line="156"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b w:val="1"/>
          <w:bCs w:val="1"/>
          <w:color w:val="auto"/>
        </w:rPr>
        <w:t>Each of NorthWestern and Black Hills and their respective subsidiaries has substantial amounts of indebtedness. Consequently, the combined company will have substantial indebtedness following the Merger. As a result, the rating of the combined company’s indebtedness could be downgraded, and it may be difficult for the combined company to pay or refinance its debts or take other actions, and the combined company may need to divert its cash flow from operations to debt service payments.</w:t>
      </w:r>
    </w:p>
    <w:p>
      <w:pPr>
        <w:spacing w:after="0" w:line="139"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combined company’s debt service obligations could have an adverse impact on its earnings and cash flows for as long as the indebtedness is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combined company’s indebtedness could also have important consequences for holders of Black Hills common stock. For example, it could:</w:t>
      </w:r>
    </w:p>
    <w:p>
      <w:pPr>
        <w:spacing w:after="0" w:line="194" w:lineRule="exact"/>
        <w:rPr>
          <w:sz w:val="20"/>
          <w:szCs w:val="20"/>
          <w:color w:val="auto"/>
        </w:rPr>
      </w:pPr>
    </w:p>
    <w:p>
      <w:pPr>
        <w:ind w:left="1020" w:right="180" w:hanging="503"/>
        <w:spacing w:after="0" w:line="266"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make it more difficult for the combined company to pay or refinance its debts as they become due during adverse economic and industry conditions because any decrease in revenues could cause the combined company to not have sufficient cash flows from operations to make its scheduled debt payments;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right="180" w:hanging="503"/>
        <w:spacing w:after="0" w:line="266"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require a substantial portion of the combined company’s cash flows from operations to be used for debt service payments, thereby reducing the availability of its cash flow to fund working capital, capital expenditures, acquisitions, dividend payments and other general corporate purposes;</w:t>
      </w:r>
    </w:p>
    <w:p>
      <w:pPr>
        <w:spacing w:after="0" w:line="143"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result in a downgrade in the rating of the combined company’s indebtedness, which could limit its ability to borrow additional funds or increase the interest rates applicable to its indebtedness;</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the risk of default on debt obligations of the combined company;</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limiting the flexibility of the combined company in planning for or reacting to changes in its business and the industry in which it operates;</w:t>
      </w:r>
    </w:p>
    <w:p>
      <w:pPr>
        <w:spacing w:after="0" w:line="206"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the exposure of the combined company to a rise in interest rates, which would generate greater interest expense or the costs of obtaining applicable interest rate fluctuation hedges; or</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require that additional or more stringent terms, conditions or covenants be placed on Black Hills.</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There can be no assurance that the combined company will be able to repay or refinance such borrowings and obligations. In addition, the Merger will result in NorthWestern becoming a wholly owned subsidiary of Black Hills. The combined company may decide to incur additional indebtedness at subsidiaries of Black Hills, which could have an effect on outstanding securities, including because such subsidiary indebtedness is “structurally senior” to the indebtedness of its parent company with respect to the assets of such subsidiary.</w:t>
      </w:r>
    </w:p>
    <w:p>
      <w:pPr>
        <w:spacing w:after="0" w:line="15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The future results of the combined company following the Merger will suffer if the combined company does not effectively manage its expanded operations.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Following the Merger, the size, geographic footprint and complexity of the combined company will increase significantly compared to the business of each of Black Hills and NorthWestern. The combined company’s future success will depend, in part, upon its ability to manage this expanded business, which will pose substantial challenges for management, including challenges related to the management and monitoring of new operations and geographies and associated increased costs and complexity. The combined company may also face increased scrutiny from, and/or additional regulatory requirements of, governmental authorities as a result of the significant increase in the size, geographic footprint and complexity of its business. There can be no assurances that the combined company will be successful or that it will realize the expected operating efficiencies, cost savings or other benefits currently anticipated from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guarantee regarding dividends following the Merger.</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each of Black Hills and NorthWestern has returned capital to its respective shareholders in the past, including through cash dividends on their respective shares of common stock, the board of directors of the combined company may determine not to declare dividends or use other means to return capital to its shareholders in the future or may reduce the amount, proportion or rate of capital returned to its shareholders through dividends or other means in the future. Decisions on whether, when, by what means and in what amounts to return capital to its shareholders will remain in the discretion of the board of directors of the combined company (as reconstituted following the Merger). Any dividend payment or share repurchase amounts will be determined by the board of directors of the combined company from time to time, and it is possible that the board of directors of the combined company may increase or decrease the amount of dividends paid or shares repurchased in the future, or determine not to declare dividends and/or repurchase shares in the future, at any time and for any reason. Black Hills expects that any such decisions will depend on the combined company’s financial condition, results of operations, cash balances, cash requirements, future prospects, the outlook for commodity prices and other considerations that the board of directors of the combined company deems relevant, including, but not limited to:</w:t>
      </w:r>
    </w:p>
    <w:p>
      <w:pPr>
        <w:spacing w:after="0" w:line="162" w:lineRule="exact"/>
        <w:rPr>
          <w:sz w:val="20"/>
          <w:szCs w:val="20"/>
          <w:color w:val="auto"/>
        </w:rPr>
      </w:pPr>
    </w:p>
    <w:p>
      <w:pPr>
        <w:ind w:left="1020" w:right="140" w:hanging="503"/>
        <w:spacing w:after="0" w:line="285" w:lineRule="auto"/>
        <w:tabs>
          <w:tab w:leader="none" w:pos="102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combined company has enough discretionary cash flow to return capital to its shareholders due to its cash requirements, capital spending plans, cash flows or financial position;</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the combined company’s desire to maintain or improve the credit ratings on its debt; and</w:t>
      </w:r>
    </w:p>
    <w:p>
      <w:pPr>
        <w:spacing w:after="0" w:line="206"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applicable restrictions under South Dakota law. Shareholders should be aware that they have no contractual or other legal right to dividends that have not been declared.</w:t>
      </w:r>
    </w:p>
    <w:p>
      <w:pPr>
        <w:spacing w:after="0" w:line="129"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The combined company is expected to record a significant amount of goodwill as a result of the Merger, and such goodwill could become impaired in the future.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Accounting standards in the United States require that one party to the Merger be identified as the acquirer. In accordance with these standards, the Merger will be accounted for as an acquisition of NorthWestern’s common stock by Black Hills and will follow the acquisition method of accounting for business combinations. NorthWestern assets and liabilities will be consolidated with those of Black Hills on the combined company’s financial statements. The excess of the consideration transferred over the fair values of NorthWestern’s assets and liabilities will be recorded as goodwill.</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Black Hills will be required to assess goodwill for impairment at least annually. To the extent goodwill becomes impaired, Black Hills may be required to incur material charges relating to such impairment. Such a potential impairment charge could have a material impact on Black Hills’ future operating results and statements of financial position which may, in turn, have a material adverse effect on the trading price or liquidity of Black Hills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ability to utilize its and/or NorthWestern’s historic net operating loss carryforwards and certain other tax attributes may be limited.</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of December 31, 2024, NorthWestern had U.S. federal net operating loss carryforwards (“NOLs”) of approximately $486.6 million, which do not expire. As of December 31, 2024, Black Hills had NOLs of approximately $547.2 million, which also do not expire. However, the NOLs of each of NorthWestern and Black Hills can only be used to offset 80% of U.S. federal taxable income. Black Hills’ ability to utilize these NOLs and other tax attributes to reduce future taxable income following the closing of the Merger depends on many factors, including its future income, which cannot be assured, and which will be determined after the Merger on a consolidated basis with that of NorthWestern. It is possible that the amount of NOLs and other tax attributes that Black Hills is able to utilize in any tax period ending after the closing of the Merger may be less than the amount that Black Hills and NorthWestern together (or either of them separately) would have been able to use had the Merger not taken place.</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Section 382 of the Code (“Section 382”) and Section 383 of the Code generally impose an annual limitation on the amount of NOLs and certain other tax attributes that may be used to offset taxable income when a corporation has undergone an “ownership change” (as determined under Section 382). An ownership change generally occurs if one or more shareholders (or groups of shareholders) who are each deemed to own at least 5% of such corporation’s stock increase their ownership by more than 50 percentage points over their lowest ownership percentage within a rolling three-year period. In the event that an ownership change occurs with respect to Black Hills and/or NorthWestern, utilization of Black Hills and/or NorthWestern’s NOLs would be subject to an annual limitation under Section 382, generally determined by multiplying (1) the fair market value of its stock at the time of the ownership change by (2) the long-term tax-exempt rate published by the IRS for the month in which the ownership change occurs, subject to certain adjustments. Any unused annual limitation may be carried over to later years.</w:t>
      </w:r>
    </w:p>
    <w:p>
      <w:pPr>
        <w:spacing w:after="0" w:line="15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completion of the Merger may cause Black Hills and/or NorthWestern to undergo an ownership change under Section 382, which would trigger a limitation (calculated as described above) on Black Hills’ ability to utilize its and/or NorthWestern’s historic NOLs and other tax attributes.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sales or issuances of Black Hills common stock could have a negative impact on the Black Hills common stock price.</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Under the terms of the Merger Agreement, NorthWestern shareholders will receive a fixed exchange ratio of 0.98 shares of Black Hills common stock for each share of NorthWestern common stock they own at the close of the Merger. Based on the 61,393,380 shares of NorthWestern common stock outstanding as of July 25, 2025, Northwestern shareholders would receive approximately 60,165,512 shares of Black Hills common stock upon the closing of the Merger. The treatment of outstanding equity awards of each of Black Hills and NorthWestern will vary depending on the type of award, its terms and conditions, and determinations made or to be made by each company or its board of directors, but additional shares, or cash in respect of share equivalents, would be issued to settle equity awards, and such shares are not reflected in the share totals included in the preceding sentence. The Black Hills common stock that NorthWestern shareholders will receive upon the exchange of NorthWestern common stock for the Merger consideration or in settlement of outstanding equity awards generally may be sold immediately in the public market. It is possible that some former NorthWestern shareholders may seek to sell some or all of the shares of Black Hills common stock they receive as Merger consideration, and the Merger Agreement contains no restriction on the ability of former NorthWestern shareholders to sell such shares of Black Hills common stock following completion of the Merger. Other Black Hills shareholders may also seek to sell shares of Black Hills common stock held by them following completion of the Merger. These sales or other dispositions of a significant number of shares of Black Hills common stock (or the perception that such sales or other dispositions may occur), coupled with the increase in the outstanding number of shares of Black Hills common stock as a result of the Merger (as well as any increase resulting from future issuances of Black Hills common stock), may affect the market for Black Hills common stock in an adverse manner and may cause the price of Black Hills common stock to fall.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September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May Yet Be Purchased</w:t>
            </w:r>
          </w:p>
        </w:tc>
      </w:tr>
      <w:tr>
        <w:trPr>
          <w:trHeight w:val="163"/>
        </w:trPr>
        <w:tc>
          <w:tcPr>
            <w:tcW w:w="3840" w:type="dxa"/>
            <w:vAlign w:val="bottom"/>
          </w:tcPr>
          <w:p>
            <w:pPr>
              <w:spacing w:after="0"/>
              <w:rPr>
                <w:sz w:val="14"/>
                <w:szCs w:val="14"/>
                <w:color w:val="auto"/>
              </w:rPr>
            </w:pPr>
          </w:p>
        </w:tc>
        <w:tc>
          <w:tcPr>
            <w:tcW w:w="192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w w:val="99"/>
              </w:rPr>
              <w:t>Total Number of Shares</w:t>
            </w:r>
          </w:p>
        </w:tc>
        <w:tc>
          <w:tcPr>
            <w:tcW w:w="1420" w:type="dxa"/>
            <w:vAlign w:val="bottom"/>
            <w:gridSpan w:val="2"/>
          </w:tcPr>
          <w:p>
            <w:pPr>
              <w:ind w:left="140"/>
              <w:spacing w:after="0" w:line="163" w:lineRule="exact"/>
              <w:rPr>
                <w:sz w:val="20"/>
                <w:szCs w:val="20"/>
                <w:color w:val="auto"/>
              </w:rPr>
            </w:pPr>
            <w:r>
              <w:rPr>
                <w:rFonts w:ascii="Arial" w:cs="Arial" w:eastAsia="Arial" w:hAnsi="Arial"/>
                <w:sz w:val="16"/>
                <w:szCs w:val="16"/>
                <w:b w:val="1"/>
                <w:bCs w:val="1"/>
                <w:color w:val="auto"/>
              </w:rPr>
              <w:t>Average Price</w:t>
            </w:r>
          </w:p>
        </w:tc>
        <w:tc>
          <w:tcPr>
            <w:tcW w:w="21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Under the Plans or</w:t>
            </w:r>
          </w:p>
        </w:tc>
      </w:tr>
      <w:tr>
        <w:trPr>
          <w:trHeight w:val="229"/>
        </w:trPr>
        <w:tc>
          <w:tcPr>
            <w:tcW w:w="384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20" w:type="dxa"/>
            <w:vAlign w:val="bottom"/>
            <w:tcBorders>
              <w:bottom w:val="single" w:sz="8" w:color="auto"/>
            </w:tcBorders>
          </w:tcPr>
          <w:p>
            <w:pPr>
              <w:jc w:val="right"/>
              <w:ind w:right="399"/>
              <w:spacing w:after="0" w:line="23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Paid 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r>
      <w:tr>
        <w:trPr>
          <w:trHeight w:val="183"/>
        </w:trPr>
        <w:tc>
          <w:tcPr>
            <w:tcW w:w="3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July 1, 2025 - July 31, 2025</w:t>
            </w:r>
          </w:p>
        </w:tc>
        <w:tc>
          <w:tcPr>
            <w:tcW w:w="1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56.79</w:t>
            </w:r>
          </w:p>
        </w:tc>
        <w:tc>
          <w:tcPr>
            <w:tcW w:w="2100" w:type="dxa"/>
            <w:vAlign w:val="bottom"/>
            <w:shd w:val="clear" w:color="auto" w:fill="CFF0FC"/>
          </w:tcPr>
          <w:p>
            <w:pPr>
              <w:ind w:left="1880"/>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ind w:left="1680"/>
              <w:spacing w:after="0" w:line="183" w:lineRule="exact"/>
              <w:rPr>
                <w:sz w:val="20"/>
                <w:szCs w:val="20"/>
                <w:color w:val="auto"/>
              </w:rPr>
            </w:pPr>
            <w:r>
              <w:rPr>
                <w:rFonts w:ascii="Arial" w:cs="Arial" w:eastAsia="Arial" w:hAnsi="Arial"/>
                <w:sz w:val="16"/>
                <w:szCs w:val="16"/>
                <w:color w:val="auto"/>
              </w:rPr>
              <w:t>—</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August 1, 2025 - August 31, 2025</w:t>
            </w:r>
          </w:p>
        </w:tc>
        <w:tc>
          <w:tcPr>
            <w:tcW w:w="1920" w:type="dxa"/>
            <w:vAlign w:val="bottom"/>
          </w:tcPr>
          <w:p>
            <w:pPr>
              <w:jc w:val="right"/>
              <w:spacing w:after="0"/>
              <w:rPr>
                <w:sz w:val="20"/>
                <w:szCs w:val="20"/>
                <w:color w:val="auto"/>
              </w:rPr>
            </w:pPr>
            <w:r>
              <w:rPr>
                <w:rFonts w:ascii="Arial" w:cs="Arial" w:eastAsia="Arial" w:hAnsi="Arial"/>
                <w:sz w:val="16"/>
                <w:szCs w:val="16"/>
                <w:color w:val="auto"/>
              </w:rPr>
              <w:t>127</w:t>
            </w:r>
          </w:p>
        </w:tc>
        <w:tc>
          <w:tcPr>
            <w:tcW w:w="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59.17</w:t>
            </w:r>
          </w:p>
        </w:tc>
        <w:tc>
          <w:tcPr>
            <w:tcW w:w="2100" w:type="dxa"/>
            <w:vAlign w:val="bottom"/>
          </w:tcPr>
          <w:p>
            <w:pPr>
              <w:ind w:left="1880"/>
              <w:spacing w:after="0"/>
              <w:rPr>
                <w:sz w:val="20"/>
                <w:szCs w:val="20"/>
                <w:color w:val="auto"/>
              </w:rPr>
            </w:pPr>
            <w:r>
              <w:rPr>
                <w:rFonts w:ascii="Arial" w:cs="Arial" w:eastAsia="Arial" w:hAnsi="Arial"/>
                <w:sz w:val="16"/>
                <w:szCs w:val="16"/>
                <w:color w:val="auto"/>
              </w:rPr>
              <w:t>—</w:t>
            </w:r>
          </w:p>
        </w:tc>
        <w:tc>
          <w:tcPr>
            <w:tcW w:w="1960" w:type="dxa"/>
            <w:vAlign w:val="bottom"/>
          </w:tcPr>
          <w:p>
            <w:pPr>
              <w:ind w:left="1680"/>
              <w:spacing w:after="0"/>
              <w:rPr>
                <w:sz w:val="20"/>
                <w:szCs w:val="20"/>
                <w:color w:val="auto"/>
              </w:rPr>
            </w:pPr>
            <w:r>
              <w:rPr>
                <w:rFonts w:ascii="Arial" w:cs="Arial" w:eastAsia="Arial" w:hAnsi="Arial"/>
                <w:sz w:val="16"/>
                <w:szCs w:val="16"/>
                <w:color w:val="auto"/>
              </w:rPr>
              <w:t>—</w:t>
            </w:r>
          </w:p>
        </w:tc>
      </w:tr>
      <w:tr>
        <w:trPr>
          <w:trHeight w:val="189"/>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September 1, 2025 - September 30, 2025</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59.83</w:t>
            </w:r>
          </w:p>
        </w:tc>
        <w:tc>
          <w:tcPr>
            <w:tcW w:w="2100" w:type="dxa"/>
            <w:vAlign w:val="bottom"/>
            <w:tcBorders>
              <w:bottom w:val="single" w:sz="8" w:color="auto"/>
            </w:tcBorders>
            <w:shd w:val="clear" w:color="auto" w:fill="CFF0FC"/>
          </w:tcPr>
          <w:p>
            <w:pPr>
              <w:ind w:left="18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FF0FC"/>
          </w:tcPr>
          <w:p>
            <w:pPr>
              <w:ind w:left="1680"/>
              <w:spacing w:after="0"/>
              <w:rPr>
                <w:sz w:val="20"/>
                <w:szCs w:val="20"/>
                <w:color w:val="auto"/>
              </w:rPr>
            </w:pPr>
            <w:r>
              <w:rPr>
                <w:rFonts w:ascii="Arial" w:cs="Arial" w:eastAsia="Arial" w:hAnsi="Arial"/>
                <w:sz w:val="16"/>
                <w:szCs w:val="16"/>
                <w:color w:val="auto"/>
              </w:rPr>
              <w:t>—</w:t>
            </w:r>
          </w:p>
        </w:tc>
      </w:tr>
      <w:tr>
        <w:trPr>
          <w:trHeight w:val="183"/>
        </w:trPr>
        <w:tc>
          <w:tcPr>
            <w:tcW w:w="3840" w:type="dxa"/>
            <w:vAlign w:val="bottom"/>
          </w:tcPr>
          <w:p>
            <w:pPr>
              <w:ind w:left="120"/>
              <w:spacing w:after="0" w:line="169" w:lineRule="exact"/>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129</w:t>
            </w:r>
          </w:p>
        </w:tc>
        <w:tc>
          <w:tcPr>
            <w:tcW w:w="540" w:type="dxa"/>
            <w:vAlign w:val="bottom"/>
            <w:tcBorders>
              <w:bottom w:val="single" w:sz="8" w:color="auto"/>
            </w:tcBorders>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59.16</w:t>
            </w:r>
          </w:p>
        </w:tc>
        <w:tc>
          <w:tcPr>
            <w:tcW w:w="2100" w:type="dxa"/>
            <w:vAlign w:val="bottom"/>
            <w:tcBorders>
              <w:bottom w:val="single" w:sz="8" w:color="auto"/>
            </w:tcBorders>
          </w:tcPr>
          <w:p>
            <w:pPr>
              <w:ind w:left="1880"/>
              <w:spacing w:after="0" w:line="169"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ind w:left="1680"/>
              <w:spacing w:after="0" w:line="169" w:lineRule="exact"/>
              <w:rPr>
                <w:sz w:val="20"/>
                <w:szCs w:val="20"/>
                <w:color w:val="auto"/>
              </w:rPr>
            </w:pPr>
            <w:r>
              <w:rPr>
                <w:rFonts w:ascii="Arial" w:cs="Arial" w:eastAsia="Arial" w:hAnsi="Arial"/>
                <w:sz w:val="16"/>
                <w:szCs w:val="16"/>
                <w:color w:val="auto"/>
              </w:rPr>
              <w:t>—</w:t>
            </w:r>
          </w:p>
        </w:tc>
      </w:tr>
      <w:tr>
        <w:trPr>
          <w:trHeight w:val="20"/>
        </w:trPr>
        <w:tc>
          <w:tcPr>
            <w:tcW w:w="38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September 30,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gridSpan w:val="11"/>
            <w:vMerge w:val="restart"/>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28"/>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5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4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120"/>
              <w:spacing w:after="0" w:line="155" w:lineRule="exact"/>
              <w:rPr>
                <w:sz w:val="20"/>
                <w:szCs w:val="20"/>
                <w:color w:val="auto"/>
              </w:rPr>
            </w:pPr>
            <w:r>
              <w:rPr>
                <w:rFonts w:ascii="Arial" w:cs="Arial" w:eastAsia="Arial" w:hAnsi="Arial"/>
                <w:sz w:val="16"/>
                <w:szCs w:val="16"/>
                <w:color w:val="auto"/>
              </w:rPr>
              <w:t>2.1</w:t>
            </w:r>
          </w:p>
        </w:tc>
        <w:tc>
          <w:tcPr>
            <w:tcW w:w="9800" w:type="dxa"/>
            <w:vAlign w:val="bottom"/>
            <w:gridSpan w:val="19"/>
          </w:tcPr>
          <w:p>
            <w:pPr>
              <w:spacing w:after="0" w:line="155" w:lineRule="exact"/>
              <w:rPr>
                <w:rFonts w:ascii="Arial" w:cs="Arial" w:eastAsia="Arial" w:hAnsi="Arial"/>
                <w:sz w:val="16"/>
                <w:szCs w:val="16"/>
                <w:color w:val="0000FF"/>
              </w:rPr>
            </w:pPr>
            <w:hyperlink r:id="rId154">
              <w:r>
                <w:rPr>
                  <w:rFonts w:ascii="Arial" w:cs="Arial" w:eastAsia="Arial" w:hAnsi="Arial"/>
                  <w:sz w:val="16"/>
                  <w:szCs w:val="16"/>
                  <w:color w:val="0000FF"/>
                </w:rPr>
                <w:t>Agreement and Plan of Merger, dated as of August 18, 2025, by and among Black Hills Corporation, NorthWestern Energy Group, Inc.</w:t>
              </w:r>
            </w:hyperlink>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w:t>
            </w:r>
          </w:p>
        </w:tc>
        <w:tc>
          <w:tcPr>
            <w:tcW w:w="96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and River Merger Sub, Inc. (filed as Exhibit 2.1 to the Registrant’s Form 8-K filed on August 19, 2025).</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730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Amended and Restated Bylaws of the Registrant dated August 18, 2025.</w:t>
            </w:r>
          </w:p>
        </w:tc>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tcPr>
          <w:p>
            <w:pPr>
              <w:ind w:left="120"/>
              <w:spacing w:after="0" w:line="169" w:lineRule="exact"/>
              <w:rPr>
                <w:sz w:val="20"/>
                <w:szCs w:val="20"/>
                <w:color w:val="auto"/>
              </w:rPr>
            </w:pPr>
            <w:r>
              <w:rPr>
                <w:rFonts w:ascii="Arial" w:cs="Arial" w:eastAsia="Arial" w:hAnsi="Arial"/>
                <w:sz w:val="16"/>
                <w:szCs w:val="16"/>
                <w:color w:val="auto"/>
              </w:rPr>
              <w:t>4.1</w:t>
            </w:r>
          </w:p>
        </w:tc>
        <w:tc>
          <w:tcPr>
            <w:tcW w:w="5200" w:type="dxa"/>
            <w:vAlign w:val="bottom"/>
            <w:tcBorders>
              <w:top w:val="single" w:sz="8" w:color="0000FF"/>
            </w:tcBorders>
            <w:gridSpan w:val="9"/>
          </w:tcPr>
          <w:p>
            <w:pPr>
              <w:spacing w:after="0" w:line="169" w:lineRule="exact"/>
              <w:rPr>
                <w:rFonts w:ascii="Arial" w:cs="Arial" w:eastAsia="Arial" w:hAnsi="Arial"/>
                <w:sz w:val="16"/>
                <w:szCs w:val="16"/>
                <w:color w:val="0000FF"/>
                <w:w w:val="99"/>
              </w:rPr>
            </w:pPr>
            <w:hyperlink r:id="rId155">
              <w:r>
                <w:rPr>
                  <w:rFonts w:ascii="Arial" w:cs="Arial" w:eastAsia="Arial" w:hAnsi="Arial"/>
                  <w:sz w:val="16"/>
                  <w:szCs w:val="16"/>
                  <w:color w:val="0000FF"/>
                  <w:w w:val="99"/>
                </w:rPr>
                <w:t>Fourteenth Supplemental Indenture dated as of October 2, 2025 between</w:t>
              </w:r>
            </w:hyperlink>
          </w:p>
        </w:tc>
        <w:tc>
          <w:tcPr>
            <w:tcW w:w="4600" w:type="dxa"/>
            <w:vAlign w:val="bottom"/>
            <w:gridSpan w:val="10"/>
          </w:tcPr>
          <w:p>
            <w:pPr>
              <w:ind w:left="100"/>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Black Hills Corporation and Computershare Trust Company,</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6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N.A. (as current successor to LaSalle Bank National Association), as trustee (filed as Exhibit 4.1 to the Registrant's Form 8-K filed on</w:t>
              </w:r>
            </w:hyperlink>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10.1</w:t>
            </w:r>
          </w:p>
        </w:tc>
        <w:tc>
          <w:tcPr>
            <w:tcW w:w="12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155">
              <w:r>
                <w:rPr>
                  <w:rFonts w:ascii="Arial" w:cs="Arial" w:eastAsia="Arial" w:hAnsi="Arial"/>
                  <w:sz w:val="16"/>
                  <w:szCs w:val="16"/>
                  <w:color w:val="0000FF"/>
                  <w:w w:val="99"/>
                </w:rPr>
                <w:t>October 2, 2025).</w:t>
              </w:r>
            </w:hyperlink>
          </w:p>
        </w:tc>
        <w:tc>
          <w:tcPr>
            <w:tcW w:w="20" w:type="dxa"/>
            <w:vAlign w:val="bottom"/>
            <w:tcBorders>
              <w:top w:val="single" w:sz="8" w:color="0000FF"/>
              <w:bottom w:val="single" w:sz="8" w:color="0000EE"/>
            </w:tcBorders>
          </w:tcPr>
          <w:p>
            <w:pPr>
              <w:spacing w:after="0"/>
              <w:rPr>
                <w:sz w:val="14"/>
                <w:szCs w:val="14"/>
                <w:color w:val="auto"/>
              </w:rPr>
            </w:pPr>
          </w:p>
        </w:tc>
        <w:tc>
          <w:tcPr>
            <w:tcW w:w="8260" w:type="dxa"/>
            <w:vAlign w:val="bottom"/>
            <w:tcBorders>
              <w:top w:val="single" w:sz="8" w:color="0000FF"/>
            </w:tcBorders>
            <w:gridSpan w:val="12"/>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1280" w:type="dxa"/>
            <w:vAlign w:val="bottom"/>
            <w:gridSpan w:val="3"/>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Chief Executive</w:t>
              </w:r>
            </w:hyperlink>
          </w:p>
        </w:tc>
        <w:tc>
          <w:tcPr>
            <w:tcW w:w="8520" w:type="dxa"/>
            <w:vAlign w:val="bottom"/>
            <w:gridSpan w:val="16"/>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Officer Agreement, dated as of August 18, 2025, between Black Hills Corporation and Brian B. Bird (filed as Exhibit</w:t>
              </w:r>
            </w:hyperlink>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10.2</w:t>
            </w:r>
          </w:p>
        </w:tc>
        <w:tc>
          <w:tcPr>
            <w:tcW w:w="42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Registrant’s Form 8-K filed on August 19, 2025).</w:t>
              </w:r>
            </w:hyperlink>
          </w:p>
        </w:tc>
        <w:tc>
          <w:tcPr>
            <w:tcW w:w="5160" w:type="dxa"/>
            <w:vAlign w:val="bottom"/>
            <w:tcBorders>
              <w:top w:val="single" w:sz="8" w:color="0000FF"/>
            </w:tcBorders>
            <w:gridSpan w:val="6"/>
          </w:tcPr>
          <w:p>
            <w:pPr>
              <w:spacing w:after="0"/>
              <w:rPr>
                <w:sz w:val="14"/>
                <w:szCs w:val="14"/>
                <w:color w:val="auto"/>
              </w:rPr>
            </w:pPr>
          </w:p>
        </w:tc>
        <w:tc>
          <w:tcPr>
            <w:tcW w:w="26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9"/>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Transition Agreement, dated August 18, 2025, by and between Black Hills Corporation and Linden R. Evans (filed as Exhibit 10.1 to the</w:t>
              </w:r>
            </w:hyperlink>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31.1*</w:t>
            </w:r>
          </w:p>
        </w:tc>
        <w:tc>
          <w:tcPr>
            <w:tcW w:w="970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Registrant’s Form 8-K filed on August 19, 2025).</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346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Certification of Chief Executive Officer pursuant</w:t>
            </w:r>
          </w:p>
        </w:tc>
        <w:tc>
          <w:tcPr>
            <w:tcW w:w="6340" w:type="dxa"/>
            <w:vAlign w:val="bottom"/>
            <w:gridSpan w:val="14"/>
          </w:tcPr>
          <w:p>
            <w:pPr>
              <w:spacing w:after="0" w:line="169" w:lineRule="exact"/>
              <w:rPr>
                <w:sz w:val="20"/>
                <w:szCs w:val="20"/>
                <w:color w:val="auto"/>
              </w:rPr>
            </w:pPr>
            <w:r>
              <w:rPr>
                <w:rFonts w:ascii="Arial" w:cs="Arial" w:eastAsia="Arial" w:hAnsi="Arial"/>
                <w:sz w:val="16"/>
                <w:szCs w:val="16"/>
                <w:color w:val="0000FF"/>
              </w:rPr>
              <w:t>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31.2*</w:t>
            </w:r>
          </w:p>
        </w:tc>
        <w:tc>
          <w:tcPr>
            <w:tcW w:w="942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35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9"/>
              </w:rPr>
              <w:t>Certification of Chief Financial Officer pursuant to</w:t>
            </w:r>
          </w:p>
        </w:tc>
        <w:tc>
          <w:tcPr>
            <w:tcW w:w="6300" w:type="dxa"/>
            <w:vAlign w:val="bottom"/>
            <w:gridSpan w:val="13"/>
          </w:tcPr>
          <w:p>
            <w:pPr>
              <w:ind w:left="60"/>
              <w:spacing w:after="0" w:line="169" w:lineRule="exact"/>
              <w:rPr>
                <w:sz w:val="20"/>
                <w:szCs w:val="20"/>
                <w:color w:val="auto"/>
              </w:rPr>
            </w:pPr>
            <w:r>
              <w:rPr>
                <w:rFonts w:ascii="Arial" w:cs="Arial" w:eastAsia="Arial" w:hAnsi="Arial"/>
                <w:sz w:val="16"/>
                <w:szCs w:val="16"/>
                <w:color w:val="0000FF"/>
              </w:rPr>
              <w:t>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32.1*</w:t>
            </w:r>
          </w:p>
        </w:tc>
        <w:tc>
          <w:tcPr>
            <w:tcW w:w="93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4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9"/>
          </w:tcPr>
          <w:p>
            <w:pPr>
              <w:spacing w:after="0" w:line="169"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32.2*</w:t>
            </w:r>
          </w:p>
        </w:tc>
        <w:tc>
          <w:tcPr>
            <w:tcW w:w="132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7"/>
          </w:tcPr>
          <w:p>
            <w:pPr>
              <w:spacing w:after="0"/>
              <w:rPr>
                <w:sz w:val="14"/>
                <w:szCs w:val="14"/>
                <w:color w:val="auto"/>
              </w:rPr>
            </w:pPr>
          </w:p>
        </w:tc>
        <w:tc>
          <w:tcPr>
            <w:tcW w:w="5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9"/>
          </w:tcPr>
          <w:p>
            <w:pPr>
              <w:spacing w:after="0" w:line="169"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95*</w:t>
            </w:r>
          </w:p>
        </w:tc>
        <w:tc>
          <w:tcPr>
            <w:tcW w:w="97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6"/>
                <w:szCs w:val="16"/>
                <w:color w:val="0000FF"/>
              </w:rPr>
              <w:t>Act of 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60" w:type="dxa"/>
            <w:vAlign w:val="bottom"/>
            <w:tcBorders>
              <w:top w:val="single" w:sz="8" w:color="0000FF"/>
            </w:tcBorders>
          </w:tcPr>
          <w:p>
            <w:pPr>
              <w:spacing w:after="0" w:line="169" w:lineRule="exact"/>
              <w:rPr>
                <w:sz w:val="20"/>
                <w:szCs w:val="20"/>
                <w:color w:val="auto"/>
              </w:rPr>
            </w:pPr>
            <w:r>
              <w:rPr>
                <w:rFonts w:ascii="Arial" w:cs="Arial" w:eastAsia="Arial" w:hAnsi="Arial"/>
                <w:sz w:val="16"/>
                <w:szCs w:val="16"/>
                <w:color w:val="0000FF"/>
                <w:w w:val="99"/>
              </w:rPr>
              <w:t>Mine Safety</w:t>
            </w:r>
          </w:p>
        </w:tc>
        <w:tc>
          <w:tcPr>
            <w:tcW w:w="8940" w:type="dxa"/>
            <w:vAlign w:val="bottom"/>
            <w:gridSpan w:val="18"/>
          </w:tcPr>
          <w:p>
            <w:pPr>
              <w:ind w:left="40"/>
              <w:spacing w:after="0" w:line="169" w:lineRule="exact"/>
              <w:rPr>
                <w:sz w:val="20"/>
                <w:szCs w:val="20"/>
                <w:color w:val="auto"/>
              </w:rPr>
            </w:pPr>
            <w:r>
              <w:rPr>
                <w:rFonts w:ascii="Arial" w:cs="Arial" w:eastAsia="Arial" w:hAnsi="Arial"/>
                <w:sz w:val="16"/>
                <w:szCs w:val="16"/>
                <w:color w:val="0000FF"/>
              </w:rPr>
              <w:t>and Health Administration Safety Data.</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101.INS*</w:t>
            </w:r>
          </w:p>
        </w:tc>
        <w:tc>
          <w:tcPr>
            <w:tcW w:w="3680" w:type="dxa"/>
            <w:vAlign w:val="bottom"/>
            <w:gridSpan w:val="7"/>
            <w:shd w:val="clear" w:color="auto" w:fill="0000FF"/>
          </w:tcPr>
          <w:p>
            <w:pPr>
              <w:spacing w:after="0" w:line="20" w:lineRule="exact"/>
              <w:rPr>
                <w:sz w:val="1"/>
                <w:szCs w:val="1"/>
                <w:color w:val="auto"/>
              </w:rPr>
            </w:pPr>
          </w:p>
        </w:tc>
        <w:tc>
          <w:tcPr>
            <w:tcW w:w="61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vMerge w:val="continue"/>
          </w:tcPr>
          <w:p>
            <w:pPr>
              <w:spacing w:after="0"/>
              <w:rPr>
                <w:sz w:val="15"/>
                <w:szCs w:val="15"/>
                <w:color w:val="auto"/>
              </w:rPr>
            </w:pPr>
          </w:p>
        </w:tc>
        <w:tc>
          <w:tcPr>
            <w:tcW w:w="9800" w:type="dxa"/>
            <w:vAlign w:val="bottom"/>
            <w:gridSpan w:val="19"/>
          </w:tcPr>
          <w:p>
            <w:pPr>
              <w:spacing w:after="0" w:line="182"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800" w:type="dxa"/>
            <w:vAlign w:val="bottom"/>
            <w:gridSpan w:val="1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189"/>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9"/>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15"/>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5200" w:type="dxa"/>
            <w:vAlign w:val="bottom"/>
            <w:gridSpan w:val="9"/>
          </w:tcPr>
          <w:p>
            <w:pPr>
              <w:ind w:left="4100"/>
              <w:spacing w:after="0"/>
              <w:rPr>
                <w:sz w:val="20"/>
                <w:szCs w:val="20"/>
                <w:color w:val="auto"/>
              </w:rPr>
            </w:pPr>
            <w:r>
              <w:rPr>
                <w:rFonts w:ascii="Arial" w:cs="Arial" w:eastAsia="Arial" w:hAnsi="Arial"/>
                <w:sz w:val="16"/>
                <w:szCs w:val="16"/>
                <w:color w:val="auto"/>
              </w:rPr>
              <w:t>54</w:t>
            </w:r>
          </w:p>
        </w:tc>
        <w:tc>
          <w:tcPr>
            <w:tcW w:w="2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48"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Linden R. Evans,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2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Kimberly F. Nooney, Senior Vice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6, 2025</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55" w:name="page56"/>
    <w:bookmarkEnd w:id="55"/>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1A1A1A"/>
        </w:rPr>
        <w:t>AMENDED AND RESTATED BYLAWS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1A1A1A"/>
        </w:rPr>
        <w:t>OF</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1A1A1A"/>
        </w:rPr>
        <w:t>BLACK HILLS CORPORATION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MEETINGS OF SHAREHOLDERS</w:t>
      </w:r>
    </w:p>
    <w:p>
      <w:pPr>
        <w:ind w:right="20" w:firstLine="749"/>
        <w:spacing w:after="0" w:line="232"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Place</w:t>
      </w:r>
      <w:r>
        <w:rPr>
          <w:rFonts w:ascii="Times New Roman" w:cs="Times New Roman" w:eastAsia="Times New Roman" w:hAnsi="Times New Roman"/>
          <w:sz w:val="22"/>
          <w:szCs w:val="22"/>
          <w:color w:val="1A1A1A"/>
        </w:rPr>
        <w:t>. Meetings of the shareholders shall be held at such place within or without the State of South Dakota as the Board of Directors may from time to time determine and as stated in the notice of the meeting. The Board of Directors may permit shareholders and proxies for shareholders to participate in a meeting of shareholder by means of remote communication, and participation by such means shall constitute presence in person at a meeting, so long as (a) the Company has implemented reasonable measures to verify that each person deemed present and permitted to vote at the meeting by means of remote communication is a shareholder or proxy of a shareholder and (2) the Company has implemented reasonable measures to provide shareholders and proxies of shareholders a reasonable opportunity to participate in the meeting and to vote on matters submitted to the shareholders, including an opportunity to communicate and to read or hear the proceedings of the meeting concurrently with the proceedings.</w:t>
      </w:r>
    </w:p>
    <w:p>
      <w:pPr>
        <w:spacing w:after="0" w:line="178"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2. </w:t>
      </w:r>
      <w:r>
        <w:rPr>
          <w:rFonts w:ascii="Times New Roman" w:cs="Times New Roman" w:eastAsia="Times New Roman" w:hAnsi="Times New Roman"/>
          <w:sz w:val="22"/>
          <w:szCs w:val="22"/>
          <w:u w:val="single" w:color="auto"/>
          <w:color w:val="1A1A1A"/>
        </w:rPr>
        <w:t>Annual Meeting</w:t>
      </w:r>
      <w:r>
        <w:rPr>
          <w:rFonts w:ascii="Times New Roman" w:cs="Times New Roman" w:eastAsia="Times New Roman" w:hAnsi="Times New Roman"/>
          <w:sz w:val="22"/>
          <w:szCs w:val="22"/>
          <w:color w:val="1A1A1A"/>
        </w:rPr>
        <w:t>. The annual meeting of the shareholders shall be called by a majority of the Board of Directors, and shall be held at such time within six months after the end of each fiscal year of the Company as the Board of Directors designates for the purpose of electing directors and for the transacting of any other business as may be brought before the meeting.</w:t>
      </w:r>
    </w:p>
    <w:p>
      <w:pPr>
        <w:spacing w:after="0" w:line="18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color w:val="2F2F2F"/>
        </w:rPr>
        <w:t>Special</w:t>
      </w:r>
      <w:r>
        <w:rPr>
          <w:rFonts w:ascii="Times New Roman" w:cs="Times New Roman" w:eastAsia="Times New Roman" w:hAnsi="Times New Roman"/>
          <w:sz w:val="22"/>
          <w:szCs w:val="22"/>
          <w:color w:val="1A1A1A"/>
        </w:rPr>
        <w:t xml:space="preserve"> Meetings. Unless otherwise prescribed by statute, special meetings of the shareholders may be called for any purpose or purposes by a majority of the Board of Directors to request such a meeting, and shall be called by the Board of Directors upon the written demand of the holders of not less than ten percent of the votes entitled to be cast on any issue proposed to be considered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-493395</wp:posOffset>
            </wp:positionV>
            <wp:extent cx="948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16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1A1A1A"/>
        </w:rPr>
        <w:t xml:space="preserve">Section 4. </w:t>
      </w:r>
      <w:r>
        <w:rPr>
          <w:rFonts w:ascii="Times New Roman" w:cs="Times New Roman" w:eastAsia="Times New Roman" w:hAnsi="Times New Roman"/>
          <w:sz w:val="22"/>
          <w:szCs w:val="22"/>
          <w:u w:val="single" w:color="auto"/>
          <w:color w:val="1A1A1A"/>
        </w:rPr>
        <w:t>Notice</w:t>
      </w:r>
      <w:r>
        <w:rPr>
          <w:rFonts w:ascii="Times New Roman" w:cs="Times New Roman" w:eastAsia="Times New Roman" w:hAnsi="Times New Roman"/>
          <w:sz w:val="22"/>
          <w:szCs w:val="22"/>
          <w:color w:val="1A1A1A"/>
        </w:rPr>
        <w:t>. Written notice stating the place, day and hour of each meeting of shareholders, and in the case of a special meeting, further stating the purpose for which such meeting is called, shall be mailed at least ten days and not more than sixty days before the meeting when called by the Board of Directors to each shareholder of record who shall be entitled to vote thereat to the last known post office address of each such shareholder as it appears upon the stock transfer books of the Company. However, notice of a meeting, at which proposal to increase the capital stock or indebtedness is to be considered, shall be given at least sixty days prior to such meeting.</w:t>
      </w:r>
    </w:p>
    <w:p>
      <w:pPr>
        <w:spacing w:after="0" w:line="181"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1A1A1A"/>
        </w:rPr>
        <w:t xml:space="preserve">Section 5. </w:t>
      </w:r>
      <w:r>
        <w:rPr>
          <w:rFonts w:ascii="Times New Roman" w:cs="Times New Roman" w:eastAsia="Times New Roman" w:hAnsi="Times New Roman"/>
          <w:sz w:val="22"/>
          <w:szCs w:val="22"/>
          <w:u w:val="single" w:color="auto"/>
          <w:color w:val="1A1A1A"/>
        </w:rPr>
        <w:t>Quorum</w:t>
      </w:r>
      <w:r>
        <w:rPr>
          <w:rFonts w:ascii="Times New Roman" w:cs="Times New Roman" w:eastAsia="Times New Roman" w:hAnsi="Times New Roman"/>
          <w:sz w:val="22"/>
          <w:szCs w:val="22"/>
          <w:color w:val="1A1A1A"/>
        </w:rPr>
        <w:t>. The holders of a majority of the issued and outstanding shares of the capital stock of the Company entitled to vote thereat, present in person or represented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ind w:right="100"/>
        <w:spacing w:after="0" w:line="258" w:lineRule="auto"/>
        <w:rPr>
          <w:sz w:val="20"/>
          <w:szCs w:val="20"/>
          <w:color w:val="auto"/>
        </w:rPr>
      </w:pPr>
      <w:r>
        <w:rPr>
          <w:rFonts w:ascii="Times New Roman" w:cs="Times New Roman" w:eastAsia="Times New Roman" w:hAnsi="Times New Roman"/>
          <w:sz w:val="22"/>
          <w:szCs w:val="22"/>
          <w:color w:val="1A1A1A"/>
        </w:rPr>
        <w:t>shall constitute a quorum for the transaction of business at all meetings of the shareholders except as may otherwise be provided by law or by the Articles of Incorporation.</w:t>
      </w:r>
    </w:p>
    <w:p>
      <w:pPr>
        <w:spacing w:after="0" w:line="15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6. </w:t>
      </w:r>
      <w:r>
        <w:rPr>
          <w:rFonts w:ascii="Times New Roman" w:cs="Times New Roman" w:eastAsia="Times New Roman" w:hAnsi="Times New Roman"/>
          <w:sz w:val="22"/>
          <w:szCs w:val="22"/>
          <w:color w:val="2A2A2A"/>
        </w:rPr>
        <w:t>Adjourned</w:t>
      </w:r>
      <w:r>
        <w:rPr>
          <w:rFonts w:ascii="Times New Roman" w:cs="Times New Roman" w:eastAsia="Times New Roman" w:hAnsi="Times New Roman"/>
          <w:sz w:val="22"/>
          <w:szCs w:val="22"/>
          <w:color w:val="1A1A1A"/>
        </w:rPr>
        <w:t xml:space="preserve"> Meeting. The chairman of a meeting of the shareholders shall have the sole right to adjourn the meeting from time to time, whether or not a quorum is present, without notice other than announcement at the meeting to be adjourned; provided, however, the meeting may not be adjourned for a period longer than sixty days from the date of the meeting as set forth in the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-493395</wp:posOffset>
            </wp:positionV>
            <wp:extent cx="10775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spacing w:after="0" w:line="160"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7. </w:t>
      </w:r>
      <w:r>
        <w:rPr>
          <w:rFonts w:ascii="Times New Roman" w:cs="Times New Roman" w:eastAsia="Times New Roman" w:hAnsi="Times New Roman"/>
          <w:sz w:val="22"/>
          <w:szCs w:val="22"/>
          <w:u w:val="single" w:color="auto"/>
          <w:color w:val="1A1A1A"/>
        </w:rPr>
        <w:t>Voting</w:t>
      </w:r>
      <w:r>
        <w:rPr>
          <w:rFonts w:ascii="Times New Roman" w:cs="Times New Roman" w:eastAsia="Times New Roman" w:hAnsi="Times New Roman"/>
          <w:sz w:val="22"/>
          <w:szCs w:val="22"/>
          <w:color w:val="1A1A1A"/>
        </w:rPr>
        <w:t>. At each meeting of the shareholders, every shareholder having the right to vote shall be entitled to vote one vote per share in person or by proxy appointed by an instrument in writing subscribed by such shareholder. No proxy shall be valid after eleven months from the date of its execution, unless otherwise provided in the proxy. All voting for directors shall be by written ballot. All elections shall be had and all questions decided by a plurality except as otherwise provided by law or by the Articles of Incorporation.</w:t>
      </w:r>
    </w:p>
    <w:p>
      <w:pPr>
        <w:spacing w:after="0" w:line="177"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8. </w:t>
      </w:r>
      <w:r>
        <w:rPr>
          <w:rFonts w:ascii="Times New Roman" w:cs="Times New Roman" w:eastAsia="Times New Roman" w:hAnsi="Times New Roman"/>
          <w:sz w:val="22"/>
          <w:szCs w:val="22"/>
          <w:u w:val="single" w:color="auto"/>
          <w:color w:val="2A2A2A"/>
        </w:rPr>
        <w:t>Inspectors</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The Board of Directors or, if the Board shall not have made the appointment, the chairman of any meeting of shareholders shall have power to appoint one or more persons, other than the nominees for directors, to act as inspectors to receive, canvass and report the votes cast by the shareholders at such meeting. Any inspector so appointed who for any reason does not serve in such capacity may be replaced by the chairman of the meeting.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1A1A1A"/>
        </w:rPr>
        <w:t xml:space="preserve">Section 9. </w:t>
      </w:r>
      <w:r>
        <w:rPr>
          <w:rFonts w:ascii="Times New Roman" w:cs="Times New Roman" w:eastAsia="Times New Roman" w:hAnsi="Times New Roman"/>
          <w:sz w:val="22"/>
          <w:szCs w:val="22"/>
          <w:u w:val="single" w:color="auto"/>
          <w:color w:val="1A1A1A"/>
        </w:rPr>
        <w:t>Nominations and Proposals by Shareholders</w:t>
      </w:r>
      <w:r>
        <w:rPr>
          <w:rFonts w:ascii="Times New Roman" w:cs="Times New Roman" w:eastAsia="Times New Roman" w:hAnsi="Times New Roman"/>
          <w:sz w:val="22"/>
          <w:szCs w:val="22"/>
          <w:color w:val="1A1A1A"/>
        </w:rPr>
        <w:t>.</w:t>
      </w:r>
    </w:p>
    <w:p>
      <w:pPr>
        <w:spacing w:after="0" w:line="206" w:lineRule="exact"/>
        <w:rPr>
          <w:sz w:val="20"/>
          <w:szCs w:val="20"/>
          <w:color w:val="auto"/>
        </w:rPr>
      </w:pPr>
    </w:p>
    <w:p>
      <w:pPr>
        <w:ind w:left="1500" w:hanging="743"/>
        <w:spacing w:after="0"/>
        <w:tabs>
          <w:tab w:leader="none" w:pos="1500" w:val="left"/>
        </w:tabs>
        <w:numPr>
          <w:ilvl w:val="1"/>
          <w:numId w:val="74"/>
        </w:numPr>
        <w:rPr>
          <w:rFonts w:ascii="Times New Roman" w:cs="Times New Roman" w:eastAsia="Times New Roman" w:hAnsi="Times New Roman"/>
          <w:sz w:val="21"/>
          <w:szCs w:val="21"/>
          <w:color w:val="1A1A1A"/>
        </w:rPr>
      </w:pPr>
      <w:r>
        <w:rPr>
          <w:rFonts w:ascii="Times New Roman" w:cs="Times New Roman" w:eastAsia="Times New Roman" w:hAnsi="Times New Roman"/>
          <w:sz w:val="22"/>
          <w:szCs w:val="22"/>
          <w:u w:val="single" w:color="auto"/>
          <w:color w:val="2A2A2A"/>
        </w:rPr>
        <w:t>Annual Meetings of Shareholders</w:t>
      </w:r>
      <w:r>
        <w:rPr>
          <w:rFonts w:ascii="Times New Roman" w:cs="Times New Roman" w:eastAsia="Times New Roman" w:hAnsi="Times New Roman"/>
          <w:sz w:val="22"/>
          <w:szCs w:val="22"/>
          <w:color w:val="2A2A2A"/>
        </w:rPr>
        <w:t>.</w:t>
      </w:r>
    </w:p>
    <w:p>
      <w:pPr>
        <w:spacing w:after="0" w:line="206" w:lineRule="exact"/>
        <w:rPr>
          <w:rFonts w:ascii="Times New Roman" w:cs="Times New Roman" w:eastAsia="Times New Roman" w:hAnsi="Times New Roman"/>
          <w:sz w:val="21"/>
          <w:szCs w:val="21"/>
          <w:color w:val="1A1A1A"/>
        </w:rPr>
      </w:pPr>
    </w:p>
    <w:p>
      <w:pPr>
        <w:ind w:firstLine="1506"/>
        <w:spacing w:after="0" w:line="236" w:lineRule="auto"/>
        <w:tabs>
          <w:tab w:leader="none" w:pos="2034" w:val="left"/>
        </w:tabs>
        <w:numPr>
          <w:ilvl w:val="2"/>
          <w:numId w:val="74"/>
        </w:numPr>
        <w:rPr>
          <w:rFonts w:ascii="Times New Roman" w:cs="Times New Roman" w:eastAsia="Times New Roman" w:hAnsi="Times New Roman"/>
          <w:sz w:val="22"/>
          <w:szCs w:val="22"/>
          <w:color w:val="1A1A1A"/>
        </w:rPr>
      </w:pPr>
      <w:r>
        <w:rPr>
          <w:rFonts w:ascii="Times New Roman" w:cs="Times New Roman" w:eastAsia="Times New Roman" w:hAnsi="Times New Roman"/>
          <w:sz w:val="22"/>
          <w:szCs w:val="22"/>
          <w:color w:val="1A1A1A"/>
        </w:rPr>
        <w:t>Nominations of persons for election to the Board of Directors (“Nominations”) and the proposal of other business to be considered by the shareholders (“Proposals”) may be made at an annual meeting of shareholders only (A) pursuant to the Company’s notice of meeting, (B) by, or at the direction of, the Board of Directors or (C) by any shareholder of record (as of the time notice of such proposal is given by the shareholder as set forth below, as of the record date for the annual meeting and as of the date of the annual meeting in question) of any shares of capital stock of the Company entitled to vote at such annual meeting who complies with the procedures set forth in this Section 9 of Article I.</w:t>
      </w:r>
    </w:p>
    <w:p>
      <w:pPr>
        <w:spacing w:after="0" w:line="181" w:lineRule="exact"/>
        <w:rPr>
          <w:rFonts w:ascii="Times New Roman" w:cs="Times New Roman" w:eastAsia="Times New Roman" w:hAnsi="Times New Roman"/>
          <w:sz w:val="22"/>
          <w:szCs w:val="22"/>
          <w:color w:val="1A1A1A"/>
        </w:rPr>
      </w:pPr>
    </w:p>
    <w:p>
      <w:pPr>
        <w:ind w:right="100" w:firstLine="1506"/>
        <w:spacing w:after="0" w:line="244" w:lineRule="auto"/>
        <w:tabs>
          <w:tab w:leader="none" w:pos="2034" w:val="left"/>
        </w:tabs>
        <w:numPr>
          <w:ilvl w:val="2"/>
          <w:numId w:val="74"/>
        </w:numPr>
        <w:rPr>
          <w:rFonts w:ascii="Times New Roman" w:cs="Times New Roman" w:eastAsia="Times New Roman" w:hAnsi="Times New Roman"/>
          <w:sz w:val="21"/>
          <w:szCs w:val="21"/>
          <w:color w:val="1A1A1A"/>
        </w:rPr>
      </w:pPr>
      <w:r>
        <w:rPr>
          <w:rFonts w:ascii="Times New Roman" w:cs="Times New Roman" w:eastAsia="Times New Roman" w:hAnsi="Times New Roman"/>
          <w:sz w:val="21"/>
          <w:szCs w:val="21"/>
          <w:color w:val="1A1A1A"/>
        </w:rPr>
        <w:t xml:space="preserve">In addition to any other applicable requirements, for business to be properly brought before an annual meeting by a holder of record of any shares of capital stock entitled to vote at such annual meeting pursuant to clause (C) of Section 9(a)(i) of Article I, the record holder of shares intending to make the Nomination or Proposal (the “Proponent”) must have given timely </w:t>
      </w:r>
      <w:r>
        <w:rPr>
          <w:rFonts w:ascii="Times New Roman" w:cs="Times New Roman" w:eastAsia="Times New Roman" w:hAnsi="Times New Roman"/>
          <w:sz w:val="21"/>
          <w:szCs w:val="21"/>
          <w:color w:val="181818"/>
        </w:rPr>
        <w:t>notice</w:t>
      </w:r>
      <w:r>
        <w:rPr>
          <w:rFonts w:ascii="Times New Roman" w:cs="Times New Roman" w:eastAsia="Times New Roman" w:hAnsi="Times New Roman"/>
          <w:sz w:val="21"/>
          <w:szCs w:val="21"/>
          <w:color w:val="1A1A1A"/>
        </w:rPr>
        <w:t xml:space="preserve"> thereof in writing to the Secretary of the Company as set forth in this Section 9 of Article I and such shareholder or his or her representative must be present at the annual meeting. To be timely, a shareholder’s notice must be delivered to, or mailed and received at, the principal executive offices of the Company (A) not less than 90 days nor more than 120 days prior to the anniversary date of the immediately preceding annual meeting of shareholders (the “Anniversary Date”) or</w:t>
      </w:r>
    </w:p>
    <w:p>
      <w:pPr>
        <w:spacing w:after="0" w:line="6" w:lineRule="exact"/>
        <w:rPr>
          <w:rFonts w:ascii="Times New Roman" w:cs="Times New Roman" w:eastAsia="Times New Roman" w:hAnsi="Times New Roman"/>
          <w:sz w:val="21"/>
          <w:szCs w:val="21"/>
          <w:color w:val="1A1A1A"/>
        </w:rPr>
      </w:pPr>
    </w:p>
    <w:p>
      <w:pPr>
        <w:ind w:right="180" w:firstLine="8"/>
        <w:spacing w:after="0" w:line="237" w:lineRule="auto"/>
        <w:tabs>
          <w:tab w:leader="none" w:pos="342" w:val="left"/>
        </w:tabs>
        <w:numPr>
          <w:ilvl w:val="0"/>
          <w:numId w:val="75"/>
        </w:numPr>
        <w:rPr>
          <w:rFonts w:ascii="Times New Roman" w:cs="Times New Roman" w:eastAsia="Times New Roman" w:hAnsi="Times New Roman"/>
          <w:sz w:val="22"/>
          <w:szCs w:val="22"/>
          <w:color w:val="1A1A1A"/>
        </w:rPr>
      </w:pPr>
      <w:r>
        <w:rPr>
          <w:rFonts w:ascii="Times New Roman" w:cs="Times New Roman" w:eastAsia="Times New Roman" w:hAnsi="Times New Roman"/>
          <w:sz w:val="22"/>
          <w:szCs w:val="22"/>
          <w:color w:val="1A1A1A"/>
        </w:rPr>
        <w:t xml:space="preserve">in the event that the annual meeting of shareholders </w:t>
      </w:r>
      <w:r>
        <w:rPr>
          <w:rFonts w:ascii="Times New Roman" w:cs="Times New Roman" w:eastAsia="Times New Roman" w:hAnsi="Times New Roman"/>
          <w:sz w:val="22"/>
          <w:szCs w:val="22"/>
          <w:color w:val="181818"/>
        </w:rPr>
        <w:t>is called for a date more than seven days prior to the Anniversary Date,</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181818"/>
        </w:rPr>
        <w:t>not later than the close of business on (1) the 10th day (or if that day is not a business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7" w:name="page58"/>
    <w:bookmarkEnd w:id="57"/>
    <w:p>
      <w:pPr>
        <w:ind w:right="20"/>
        <w:spacing w:after="0" w:line="242" w:lineRule="auto"/>
        <w:rPr>
          <w:sz w:val="20"/>
          <w:szCs w:val="20"/>
          <w:color w:val="auto"/>
        </w:rPr>
      </w:pPr>
      <w:r>
        <w:rPr>
          <w:rFonts w:ascii="Times New Roman" w:cs="Times New Roman" w:eastAsia="Times New Roman" w:hAnsi="Times New Roman"/>
          <w:sz w:val="21"/>
          <w:szCs w:val="21"/>
          <w:color w:val="181818"/>
        </w:rPr>
        <w:t>Company, on the next succeeding business day) following the first date on which the date of such meeting was publicly disclosed or (2) if such date of public disclosure occurs more than 90 days prior to such scheduled date of such meeting, then the later of (a) the 10th day (or if that day is not a business day for the Company, on the next succeeding business day) following the first date of public disclosure or (b) the 90th day prior to such scheduled date of such meeting (or if that day is not a business day for the Company, on the next succeeding business day). Any public disclosure of the scheduled date of the meeting made by the Company by means of a press release, a report or other document filed with the Securities and Exchange Commission, or a letter or report sent to shareholders of record of the Company, shall be deemed to be sufficient public disclosure of the date of such meeting for purposes of these By-Laws. A Proponent’s notice shall set forth as to each Nomination or Proposal the Proponent proposes to bring before the annual meeting (A) in the case of a Proposal, a brief description of the other business desired to be brought before the annual meeting and the reasons for conducting such business at the annual meeting, and in the case of a Nomination, the information described in Section 9(a)(iii) of Article I (including a completed and signed questionnaire, representation and agreement as required by Section 9(a)(iii) of Article I), (B) the name and address of the Proponent as it appears on the Company’s stock transfer books, and of the beneficial owners (if any) of the shares registered in the Proponent’s name, and the name and address of other shareholders known by the Proponent to be supporting the Proponent’s position with respect to the Nomination or the Proposal, as the case may be, on the date of the Proponent’s notice to the Secretary, (C) the class and number of shares of the Company that are, directly or indirectly, beneficially owned, held of record or represented by proxy by the Proponent and by any other shareholders known by the Proponent to be supporting the Proponent’s position with respect to the Nomination or the Proposal, as the case may be, on the date of the Proponent’s notice, and a representation that the Proponent will notify the Company in writing of the class and number of such shares that are, directly or indirectly, beneficially owned, held of record or represented by proxy by the Proponent and by any other shareholders known by the Proponent to be supporting the Proponent’s position with respect to the Nomination or the Proposal, as the case may be, as of the record date for the annual meeting promptly following the later of the record date or the date notice of the record date is first publicly disclosed,</w:t>
      </w:r>
    </w:p>
    <w:p>
      <w:pPr>
        <w:spacing w:after="0" w:line="13" w:lineRule="exact"/>
        <w:rPr>
          <w:sz w:val="20"/>
          <w:szCs w:val="20"/>
          <w:color w:val="auto"/>
        </w:rPr>
      </w:pPr>
    </w:p>
    <w:p>
      <w:pPr>
        <w:ind w:firstLine="8"/>
        <w:spacing w:after="0" w:line="243" w:lineRule="auto"/>
        <w:tabs>
          <w:tab w:leader="none" w:pos="354" w:val="left"/>
        </w:tabs>
        <w:numPr>
          <w:ilvl w:val="0"/>
          <w:numId w:val="76"/>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color w:val="181818"/>
        </w:rPr>
        <w:t>in the case of a Proposal, any material interest of the Proponent (and of the beneficial owners, if any, of the shares registered in the Proponent’s name) in such Proposal, (E) a description of any agreement, arrangement or understanding with respect to such Nomination or Proposal, as the case may be, between or among the Proponent and any of its affiliates or associates, and any others (including their names) acting in concert with any of the foregoing, and a representation that the Proponent will notify the Company in writing of any such agreement, arrangement or understanding in effect as of the record date for the meeting promptly following the later of the record date or the date notice of the record date is first publicly disclosed, (F) a description of any agreement, arrangement or understanding (including any derivative or short positions, profit interests, options, hedging transactions, and borrowed or loaned shares) that has been entered into as of the date of the Proponent’s notice by, or on behalf of, the Proponent (or the beneficial owners, if any, of the shares registered in the Proponent’s name) or any of their respective affiliates or associates, the effect or intent of which is to mitigate loss to, manage risk or benefit of share price changes for, or increase or decrease the voting power of the Proponent or any of its affiliates or associates with respect to shares of the Company and a representation that the Proponent will notify the Company in writing of any such agreement, arrangement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58" w:name="page59"/>
    <w:bookmarkEnd w:id="58"/>
    <w:p>
      <w:pPr>
        <w:ind w:right="40"/>
        <w:spacing w:after="0" w:line="234" w:lineRule="auto"/>
        <w:rPr>
          <w:sz w:val="20"/>
          <w:szCs w:val="20"/>
          <w:color w:val="auto"/>
        </w:rPr>
      </w:pPr>
      <w:r>
        <w:rPr>
          <w:rFonts w:ascii="Times New Roman" w:cs="Times New Roman" w:eastAsia="Times New Roman" w:hAnsi="Times New Roman"/>
          <w:sz w:val="22"/>
          <w:szCs w:val="22"/>
          <w:color w:val="181818"/>
        </w:rPr>
        <w:t>understanding in effect as of the record date for the meeting promptly following the later of the record date or the date notice of the record date is first publicly disclosed, (G) a representation that the Proponent is a holder of record of shares of the Company entitled to vote at the annual meeting and that the Proponent or the beneficial owner (if any) of the shares registered in the Proponent’s name intends to appear in person or by proxy at the meeting to present such Nomination or Proposal, as the case may be, and (H) in the case of a Proposal, a representation that the Proponent or the beneficial owner (if any) of the shares registered in the Proponent’s name intends to deliver a proxy statement and/or form of proxy to holders of at least the percentage of the Company’s outstanding shares required to approve the Proposal and/or otherwise to solicit proxies from shareholders in support of the Proposal or a representation that the Proponent (or the beneficial owners (if any) of the shares registered in the Proponent’s name) does not intend to do so.</w:t>
      </w:r>
    </w:p>
    <w:p>
      <w:pPr>
        <w:spacing w:after="0" w:line="183" w:lineRule="exact"/>
        <w:rPr>
          <w:sz w:val="20"/>
          <w:szCs w:val="20"/>
          <w:color w:val="auto"/>
        </w:rPr>
      </w:pPr>
    </w:p>
    <w:p>
      <w:pPr>
        <w:ind w:right="300" w:firstLine="1506"/>
        <w:spacing w:after="0" w:line="253" w:lineRule="auto"/>
        <w:tabs>
          <w:tab w:leader="none" w:pos="2034" w:val="left"/>
        </w:tabs>
        <w:numPr>
          <w:ilvl w:val="1"/>
          <w:numId w:val="7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color w:val="181818"/>
        </w:rPr>
        <w:t>With respect to each person whom the Proponent proposes to nominate for election as a director (a “Nominee”), the Proponent’s notice shall (A) set forth the name, age, business address and residence address of the Nominee,</w:t>
      </w:r>
    </w:p>
    <w:p>
      <w:pPr>
        <w:ind w:firstLine="8"/>
        <w:spacing w:after="0" w:line="231" w:lineRule="auto"/>
        <w:tabs>
          <w:tab w:leader="none" w:pos="342" w:val="left"/>
        </w:tabs>
        <w:numPr>
          <w:ilvl w:val="0"/>
          <w:numId w:val="78"/>
        </w:numPr>
        <w:rPr>
          <w:rFonts w:ascii="Times New Roman" w:cs="Times New Roman" w:eastAsia="Times New Roman" w:hAnsi="Times New Roman"/>
          <w:sz w:val="22"/>
          <w:szCs w:val="22"/>
          <w:color w:val="181818"/>
        </w:rPr>
      </w:pPr>
      <w:r>
        <w:rPr>
          <w:rFonts w:ascii="Times New Roman" w:cs="Times New Roman" w:eastAsia="Times New Roman" w:hAnsi="Times New Roman"/>
          <w:sz w:val="22"/>
          <w:szCs w:val="22"/>
          <w:color w:val="181818"/>
        </w:rPr>
        <w:t xml:space="preserve">set forth the principal occupation or employment of the Nominee, (C) set forth the class and number of the shares of the Company which are owned, beneficially and of record, by the Nominee on the date of the Proponent’s notice, (D) include a </w:t>
      </w:r>
      <w:r>
        <w:rPr>
          <w:rFonts w:ascii="Times New Roman" w:cs="Times New Roman" w:eastAsia="Times New Roman" w:hAnsi="Times New Roman"/>
          <w:sz w:val="22"/>
          <w:szCs w:val="22"/>
          <w:color w:val="1A1A1A"/>
        </w:rPr>
        <w:t xml:space="preserve">completed </w:t>
      </w:r>
      <w:r>
        <w:rPr>
          <w:rFonts w:ascii="Times New Roman" w:cs="Times New Roman" w:eastAsia="Times New Roman" w:hAnsi="Times New Roman"/>
          <w:sz w:val="22"/>
          <w:szCs w:val="22"/>
          <w:color w:val="181818"/>
        </w:rPr>
        <w:t>questionnaire signed by such Nominee, with respect to the background and qualification of such person and the</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181818"/>
        </w:rPr>
        <w:t xml:space="preserve">background of any other person or entity on whose behalf the Nomination is being made (which questionnaire shall be provided by the Company upon written request), (E) include a written representation and agreement (in the form provided by the Company upon written request) that the Nominee (1) is not and will not become a party to (a) any agreement, arrangement or understanding with, and has not given any commitment or assurance to, any person or entity as to how the Nominee, if elected as a director of the Company, will act or vote on any issue or question (a “Voting Commitment”) that has not been disclosed therein or (b) any Voting Commitment that could limit or interfere with the Nominee’s ability to comply, if elected as a director of the Company, with the Nominee’s standard of care under applicable law, (2)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(3) in such Nominee’s individual capacity and on behalf of any person or entity on whose behalf the Nomination is being made, would be in compliance with, if elected as a director of the Company, and will comply with, applicable law, the Articles of Incorporation of the Company, as amended from time to time, these Bylaws and all applicable publicly disclosed corporate governance, conflict of interest, corporate opportunities, confidentiality and share ownership and trading policies and </w:t>
      </w:r>
      <w:r>
        <w:rPr>
          <w:rFonts w:ascii="Times New Roman" w:cs="Times New Roman" w:eastAsia="Times New Roman" w:hAnsi="Times New Roman"/>
          <w:sz w:val="22"/>
          <w:szCs w:val="22"/>
          <w:color w:val="1A1A1A"/>
        </w:rPr>
        <w:t xml:space="preserve">guidelines of the Company, and (F) set forth such other information concerning the Nominee as would be required to be disclosed in a proxy statement soliciting proxies for the election of the Nominee as a director in an election contest (even if an election contest is not involved), or that is otherwise required to be disclosed, under the rules of the Securities and Exchange Commission, including the Nominee’s written consent to being named in any proxy materials and to serving as a director of the Company if elected. The Company may require any Nominee to furnish such other information as may reasonably be required by the Company to determine the eligibility of such proposed Nominee to serve as an independent director of the Company or that could be material to a reasonable shareholder’s understanding of the independence, or lack thereof, of such Nominee.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color w:val="000000"/>
        </w:rPr>
        <w:t>shareholder who intends to solicit proxies in support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59" w:name="page60"/>
    <w:bookmarkEnd w:id="59"/>
    <w:p>
      <w:pPr>
        <w:ind w:right="20"/>
        <w:spacing w:after="0" w:line="238" w:lineRule="auto"/>
        <w:rPr>
          <w:sz w:val="20"/>
          <w:szCs w:val="20"/>
          <w:color w:val="auto"/>
        </w:rPr>
      </w:pPr>
      <w:r>
        <w:rPr>
          <w:rFonts w:ascii="Times New Roman" w:cs="Times New Roman" w:eastAsia="Times New Roman" w:hAnsi="Times New Roman"/>
          <w:sz w:val="22"/>
          <w:szCs w:val="22"/>
          <w:color w:val="auto"/>
        </w:rPr>
        <w:t xml:space="preserve">nominees other than the Company’s director nominees and who has delivered a notice of nomination pursuant to this Section 9(a)(iii) of Article I shall promptly certify to the Company, and notify the Company in writing, that it has complied with or will comply with the requirements of Rule 14a-19 under the </w:t>
      </w:r>
      <w:r>
        <w:rPr>
          <w:rFonts w:ascii="Times New Roman" w:cs="Times New Roman" w:eastAsia="Times New Roman" w:hAnsi="Times New Roman"/>
          <w:sz w:val="22"/>
          <w:szCs w:val="22"/>
          <w:color w:val="1A1A1A"/>
        </w:rPr>
        <w:t>Securities Exchange Act of 1934, as amended (the “Exchange Act”),</w:t>
      </w:r>
      <w:r>
        <w:rPr>
          <w:rFonts w:ascii="Times New Roman" w:cs="Times New Roman" w:eastAsia="Times New Roman" w:hAnsi="Times New Roman"/>
          <w:sz w:val="22"/>
          <w:szCs w:val="22"/>
          <w:color w:val="auto"/>
        </w:rPr>
        <w:t xml:space="preserve"> and upon request of the Company, shall, not later than five business days prior to the date of the applicable meeting of shareholders, deliver to the Company reasonable evidence of such compliance.</w:t>
      </w:r>
    </w:p>
    <w:p>
      <w:pPr>
        <w:spacing w:after="0" w:line="177" w:lineRule="exact"/>
        <w:rPr>
          <w:sz w:val="20"/>
          <w:szCs w:val="20"/>
          <w:color w:val="auto"/>
        </w:rPr>
      </w:pPr>
    </w:p>
    <w:p>
      <w:pPr>
        <w:ind w:right="20" w:firstLine="772"/>
        <w:spacing w:after="0" w:line="244" w:lineRule="auto"/>
        <w:tabs>
          <w:tab w:leader="none" w:pos="1017" w:val="left"/>
        </w:tabs>
        <w:numPr>
          <w:ilvl w:val="0"/>
          <w:numId w:val="79"/>
        </w:numPr>
        <w:rPr>
          <w:rFonts w:ascii="Times New Roman" w:cs="Times New Roman" w:eastAsia="Times New Roman" w:hAnsi="Times New Roman"/>
          <w:sz w:val="20"/>
          <w:szCs w:val="20"/>
          <w:color w:val="1A1A1A"/>
        </w:rPr>
      </w:pPr>
      <w:r>
        <w:rPr>
          <w:rFonts w:ascii="Times New Roman" w:cs="Times New Roman" w:eastAsia="Times New Roman" w:hAnsi="Times New Roman"/>
          <w:sz w:val="21"/>
          <w:szCs w:val="21"/>
          <w:u w:val="single" w:color="auto"/>
          <w:color w:val="1A1A1A"/>
        </w:rPr>
        <w:t>Special Meetings of Shareholders</w:t>
      </w:r>
      <w:r>
        <w:rPr>
          <w:rFonts w:ascii="Times New Roman" w:cs="Times New Roman" w:eastAsia="Times New Roman" w:hAnsi="Times New Roman"/>
          <w:sz w:val="21"/>
          <w:szCs w:val="21"/>
          <w:color w:val="1A1A1A"/>
        </w:rPr>
        <w:t>. Only such business shall be conducted at a special meeting of shareholders as shall have been brought before the meeting pursuant to the Company’s notice of meeting. Nominations of persons for election as director may be made at a special meeting of shareholders at which directors are to be elected (i) pursuant to the Company’s notice of meeting, (ii) by or at the direction of the Board of Directors or (iii) provided that the Board of Directors has determined that directors shall be elected at such special meeting, by any shareholder of the Company who was a shareholder of record both at the time of giving of notice provided for in this Section 9(b) of Article I and at the time of the special meeting, who is entitled to vote at the meeting and who has complied with the notice procedures set forth in this Section 9(b) of Article I. In the event the Company calls a special meeting of shareholders for the purpose of electing one or more directors to the Board of Directors, any such shareholder (also a “Proponent”) may nominate a person or persons (as the case may be) for election as a director (also a “Nominee”) as specified in the Company’s notice of meeting, if the Proponent delivers a notice containing the information required by Sections 9(a)(ii) and (iii) of Article I in connection with a Nomination at an annual meeting (including without limitation the completed and signed questionnaire, representation and agreement required by Section 9(a)(iii) of Article I) to the Secretary at the principal offices of the Company not earlier than the close of business on the 90th day prior to such special meeting or, if later, within ten (10) days following the date on which public announcement is first made of the date of the special meeting. In no event shall the public announcement of a postponement or adjournment of a special meeting to a later date or time commence a new time period for the giving of a Proponent’s notice as described above.</w:t>
      </w:r>
    </w:p>
    <w:p>
      <w:pPr>
        <w:spacing w:after="0" w:line="175" w:lineRule="exact"/>
        <w:rPr>
          <w:rFonts w:ascii="Times New Roman" w:cs="Times New Roman" w:eastAsia="Times New Roman" w:hAnsi="Times New Roman"/>
          <w:sz w:val="20"/>
          <w:szCs w:val="20"/>
          <w:color w:val="1A1A1A"/>
        </w:rPr>
      </w:pPr>
    </w:p>
    <w:p>
      <w:pPr>
        <w:ind w:left="1020" w:hanging="248"/>
        <w:spacing w:after="0"/>
        <w:tabs>
          <w:tab w:leader="none" w:pos="1020" w:val="left"/>
        </w:tabs>
        <w:numPr>
          <w:ilvl w:val="0"/>
          <w:numId w:val="79"/>
        </w:numPr>
        <w:rPr>
          <w:rFonts w:ascii="Times New Roman" w:cs="Times New Roman" w:eastAsia="Times New Roman" w:hAnsi="Times New Roman"/>
          <w:sz w:val="21"/>
          <w:szCs w:val="21"/>
          <w:color w:val="1A1A1A"/>
        </w:rPr>
      </w:pPr>
      <w:r>
        <w:rPr>
          <w:rFonts w:ascii="Times New Roman" w:cs="Times New Roman" w:eastAsia="Times New Roman" w:hAnsi="Times New Roman"/>
          <w:sz w:val="22"/>
          <w:szCs w:val="22"/>
          <w:u w:val="single" w:color="auto"/>
          <w:color w:val="1A1A1A"/>
        </w:rPr>
        <w:t>General</w:t>
      </w:r>
      <w:r>
        <w:rPr>
          <w:rFonts w:ascii="Times New Roman" w:cs="Times New Roman" w:eastAsia="Times New Roman" w:hAnsi="Times New Roman"/>
          <w:sz w:val="22"/>
          <w:szCs w:val="22"/>
          <w:color w:val="1A1A1A"/>
        </w:rPr>
        <w:t>.</w:t>
      </w:r>
    </w:p>
    <w:p>
      <w:pPr>
        <w:spacing w:after="0" w:line="206" w:lineRule="exact"/>
        <w:rPr>
          <w:rFonts w:ascii="Times New Roman" w:cs="Times New Roman" w:eastAsia="Times New Roman" w:hAnsi="Times New Roman"/>
          <w:sz w:val="21"/>
          <w:szCs w:val="21"/>
          <w:color w:val="1A1A1A"/>
        </w:rPr>
      </w:pPr>
    </w:p>
    <w:p>
      <w:pPr>
        <w:ind w:firstLine="1506"/>
        <w:spacing w:after="0" w:line="233" w:lineRule="auto"/>
        <w:tabs>
          <w:tab w:leader="none" w:pos="2034" w:val="left"/>
        </w:tabs>
        <w:numPr>
          <w:ilvl w:val="1"/>
          <w:numId w:val="79"/>
        </w:numPr>
        <w:rPr>
          <w:rFonts w:ascii="Times New Roman" w:cs="Times New Roman" w:eastAsia="Times New Roman" w:hAnsi="Times New Roman"/>
          <w:sz w:val="22"/>
          <w:szCs w:val="22"/>
          <w:color w:val="1A1A1A"/>
        </w:rPr>
      </w:pPr>
      <w:r>
        <w:rPr>
          <w:rFonts w:ascii="Times New Roman" w:cs="Times New Roman" w:eastAsia="Times New Roman" w:hAnsi="Times New Roman"/>
          <w:sz w:val="22"/>
          <w:szCs w:val="22"/>
          <w:color w:val="1A1A1A"/>
        </w:rPr>
        <w:t xml:space="preserve">Only such persons who are nominated in accordance with the procedures set forth in this Section 9 of Article I shall be eligible to be elected as directors and only such business shall be </w:t>
      </w:r>
      <w:r>
        <w:rPr>
          <w:rFonts w:ascii="Times New Roman" w:cs="Times New Roman" w:eastAsia="Times New Roman" w:hAnsi="Times New Roman"/>
          <w:sz w:val="22"/>
          <w:szCs w:val="22"/>
          <w:color w:val="181818"/>
        </w:rPr>
        <w:t>conducted</w:t>
      </w:r>
      <w:r>
        <w:rPr>
          <w:rFonts w:ascii="Times New Roman" w:cs="Times New Roman" w:eastAsia="Times New Roman" w:hAnsi="Times New Roman"/>
          <w:sz w:val="22"/>
          <w:szCs w:val="22"/>
          <w:color w:val="1A1A1A"/>
        </w:rPr>
        <w:t xml:space="preserve"> at a meeting of shareholders as shall have been brought before the meeting in accordance with the procedures set forth in this Section 9 of Article I. The chairman of the meeting shall have the power and duty to determine whether a Nomination or Proposal was made or proposed, as the case may be, in accordance with the procedures set forth in this Section 9 of Article I and, if any proposed Nomination or Proposal is not in compliance with this Section 9 of Article I, to declare that such Nomination or Proposal shall be disregarded. </w:t>
      </w:r>
      <w:r>
        <w:rPr>
          <w:rFonts w:ascii="Times New Roman" w:cs="Times New Roman" w:eastAsia="Times New Roman" w:hAnsi="Times New Roman"/>
          <w:sz w:val="22"/>
          <w:szCs w:val="22"/>
          <w:color w:val="000000"/>
        </w:rPr>
        <w:t>Unless otherwise required by law, if any shareholder (x) provides notice pursuant to Rule 14a-19 under the Exchange Act and (y) subsequently (A) notifies the Company that such shareholder no longer intends to solicit proxies in support of director nominees other than the Company’s director nominees in accordance with Rule 14a-19, (B) fails to comply with the requirements of Rule 14a-19, or (C) fails to provide reasonable evidence sufficient to satisfy the Company that such requirements have been met, then such shareholder’s nominations shall be deemed null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void and the Company shall disregard any proxies or votes solicited for any nominee proposed by such shareholder.</w:t>
      </w:r>
    </w:p>
    <w:p>
      <w:pPr>
        <w:spacing w:after="0" w:line="206" w:lineRule="exact"/>
        <w:rPr>
          <w:sz w:val="20"/>
          <w:szCs w:val="20"/>
          <w:color w:val="auto"/>
        </w:rPr>
      </w:pPr>
    </w:p>
    <w:p>
      <w:pPr>
        <w:ind w:right="40" w:firstLine="1506"/>
        <w:spacing w:after="0" w:line="238" w:lineRule="auto"/>
        <w:tabs>
          <w:tab w:leader="none" w:pos="2034" w:val="left"/>
        </w:tabs>
        <w:numPr>
          <w:ilvl w:val="0"/>
          <w:numId w:val="80"/>
        </w:numPr>
        <w:rPr>
          <w:rFonts w:ascii="Times New Roman" w:cs="Times New Roman" w:eastAsia="Times New Roman" w:hAnsi="Times New Roman"/>
          <w:sz w:val="22"/>
          <w:szCs w:val="22"/>
          <w:color w:val="1A1A1A"/>
        </w:rPr>
      </w:pPr>
      <w:r>
        <w:rPr>
          <w:rFonts w:ascii="Times New Roman" w:cs="Times New Roman" w:eastAsia="Times New Roman" w:hAnsi="Times New Roman"/>
          <w:sz w:val="22"/>
          <w:szCs w:val="22"/>
          <w:color w:val="1A1A1A"/>
        </w:rPr>
        <w:t>Notwithstanding the foregoing provisions of this Section 9 of Article I, a shareholder shall also comply with all applicable requirements of state law and of the Exchange Act (and the rules and regulations thereunder, including Rule 14a-19) with respect to the matters set forth in this Section 9 of Article I. Nothing in this Section 9 of Article I shall be deemed to affect any rights of shareholders to request inclusion of proposals in the Company’s proxy statement pursuant to Rule 14a-8 under the Exchange Act.</w:t>
      </w:r>
    </w:p>
    <w:p>
      <w:pPr>
        <w:spacing w:after="0" w:line="177"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1"/>
          <w:szCs w:val="21"/>
          <w:color w:val="1A1A1A"/>
        </w:rPr>
        <w:t xml:space="preserve">Section 10. </w:t>
      </w:r>
      <w:r>
        <w:rPr>
          <w:rFonts w:ascii="Times New Roman" w:cs="Times New Roman" w:eastAsia="Times New Roman" w:hAnsi="Times New Roman"/>
          <w:sz w:val="21"/>
          <w:szCs w:val="21"/>
          <w:u w:val="single" w:color="auto"/>
          <w:color w:val="1A1A1A"/>
        </w:rPr>
        <w:t>Conduct of Meetings</w:t>
      </w:r>
      <w:r>
        <w:rPr>
          <w:rFonts w:ascii="Times New Roman" w:cs="Times New Roman" w:eastAsia="Times New Roman" w:hAnsi="Times New Roman"/>
          <w:sz w:val="21"/>
          <w:szCs w:val="21"/>
          <w:color w:val="1A1A1A"/>
        </w:rPr>
        <w:t>. The Chairman of the Board of Directors, or in the Chairman’s absence, the Chief Executive Officer, or in the absence of the Chief Executive Officer, the Secretary, or in the absence of the Secretary, a chairman chosen by a majority of the directors present, shall act as chairman of the meetings of the shareholders. The Board of Directors shall be entitled to make such rules and regulations for the conduct of meetings of shareholders as it shall deem necessary, appropriate, or convenient. Subject to such rules and regulations of the Board of Directors, if any, the chairman of any meeting of shareholders shall have the right and authority to prescribe such rules, regulations, and procedures and to do all such acts as, in the judgment of such 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shareholders of record of the Company, their duly authorized and constituted proxies, and such other persons as such person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1A1A1A"/>
        </w:rPr>
        <w:t>ARTICLE II</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1A1A1A"/>
        </w:rPr>
        <w:t>BOARD OF DIRECTORS</w:t>
      </w:r>
    </w:p>
    <w:p>
      <w:pPr>
        <w:ind w:right="220" w:firstLine="749"/>
        <w:spacing w:after="0" w:line="245" w:lineRule="auto"/>
        <w:rPr>
          <w:sz w:val="20"/>
          <w:szCs w:val="20"/>
          <w:color w:val="auto"/>
        </w:rPr>
      </w:pPr>
      <w:r>
        <w:rPr>
          <w:rFonts w:ascii="Times New Roman" w:cs="Times New Roman" w:eastAsia="Times New Roman" w:hAnsi="Times New Roman"/>
          <w:sz w:val="21"/>
          <w:szCs w:val="21"/>
          <w:color w:val="1A1A1A"/>
        </w:rPr>
        <w:t xml:space="preserve">Section 1. </w:t>
      </w:r>
      <w:r>
        <w:rPr>
          <w:rFonts w:ascii="Times New Roman" w:cs="Times New Roman" w:eastAsia="Times New Roman" w:hAnsi="Times New Roman"/>
          <w:sz w:val="21"/>
          <w:szCs w:val="21"/>
          <w:u w:val="single" w:color="auto"/>
          <w:color w:val="1A1A1A"/>
        </w:rPr>
        <w:t>Definitions</w:t>
      </w:r>
      <w:r>
        <w:rPr>
          <w:rFonts w:ascii="Times New Roman" w:cs="Times New Roman" w:eastAsia="Times New Roman" w:hAnsi="Times New Roman"/>
          <w:sz w:val="21"/>
          <w:szCs w:val="21"/>
          <w:color w:val="1A1A1A"/>
        </w:rPr>
        <w:t>. For the purposes of these Bylaws an “Inside Director” is a director who is an employee of the Company, an officer of the Company, a person who has in the past served as an officer of the Company or any person whose relationship to the Company other than as a director gives him access on a regular basis to material information about the Company that is not generally available. Any director who is not an Inside Director would for the purpose of these Bylaws constitute an “Outside Director.” For the purpose of this Section “Company” shall also include any subsidiary of the Company.</w:t>
      </w:r>
    </w:p>
    <w:p>
      <w:pPr>
        <w:spacing w:after="0" w:line="174"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1A1A1A"/>
        </w:rPr>
        <w:t xml:space="preserve">Section 2. </w:t>
      </w:r>
      <w:r>
        <w:rPr>
          <w:rFonts w:ascii="Times New Roman" w:cs="Times New Roman" w:eastAsia="Times New Roman" w:hAnsi="Times New Roman"/>
          <w:sz w:val="22"/>
          <w:szCs w:val="22"/>
          <w:u w:val="single" w:color="auto"/>
          <w:color w:val="2A2A2A"/>
        </w:rPr>
        <w:t>Management of the Company</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The property, business and affairs of the Company shall be managed by or under the direction of its Board of Directors.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Qualifications of Directors</w:t>
      </w:r>
      <w:r>
        <w:rPr>
          <w:rFonts w:ascii="Times New Roman" w:cs="Times New Roman" w:eastAsia="Times New Roman" w:hAnsi="Times New Roman"/>
          <w:sz w:val="22"/>
          <w:szCs w:val="22"/>
          <w:color w:val="auto"/>
        </w:rPr>
        <w:t>. Restrictions and qualifications for Directors may be fixed from time to time in the Corporate Governance Guidelines of the Board of Directors or by resolution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spacing w:after="0" w:line="5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1A1A1A"/>
        </w:rPr>
        <w:t xml:space="preserve">Section 4. </w:t>
      </w:r>
      <w:r>
        <w:rPr>
          <w:rFonts w:ascii="Times New Roman" w:cs="Times New Roman" w:eastAsia="Times New Roman" w:hAnsi="Times New Roman"/>
          <w:sz w:val="22"/>
          <w:szCs w:val="22"/>
          <w:u w:val="single" w:color="auto"/>
          <w:color w:val="1A1A1A"/>
        </w:rPr>
        <w:t>Number and Election; Vacancies and Removal</w:t>
      </w:r>
      <w:r>
        <w:rPr>
          <w:rFonts w:ascii="Times New Roman" w:cs="Times New Roman" w:eastAsia="Times New Roman" w:hAnsi="Times New Roman"/>
          <w:sz w:val="22"/>
          <w:szCs w:val="22"/>
          <w:color w:val="1A1A1A"/>
        </w:rPr>
        <w:t>. The number of members of the Board of Directors shall not be less than nine (9); provided, the Board of Directors may change the number of directors through amendments to its Bylaws. The Board of Directors shall be and is divided into three classes, Class I, Class II and Class III, which shall be as nearly equal in number as possible. Each director shall serve for a term ending on the date of the third annual meeting following the annual meeting at which such director was elected; provided, each initial director in Class I shall hold office until the annual meeting of shareholders in 2002, each initial director in Class II shall hold office until the annual meeting of shareholders in 2003, and each initial director in Class III shall hold office until the annual meeting of shareholders in 2001.</w:t>
      </w:r>
    </w:p>
    <w:p>
      <w:pPr>
        <w:spacing w:after="0" w:line="18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1A1A1A"/>
        </w:rPr>
        <w:t>The Board of Directors is expressly authorized to determine the rights, powers, duties, rules and procedures that affect the power of the Board of Directors to manage and direct the business and affairs of the Company, including the power to designate and empower committees of the Board of Directors, to elect, appoint and empower the officers and other agents of the Company, and to determine the time and place of, and the notice requirements for, Board meetings, as well as quorum and voting requirements for, and the manner of taking, Board action.</w:t>
      </w:r>
    </w:p>
    <w:p>
      <w:pPr>
        <w:spacing w:after="0" w:line="177"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1A1A1A"/>
        </w:rPr>
        <w:t>In the event of any change in the authorized number of directors, the Board of Directors shall apportion any newly created directorships to, or reduce the number of directorships in, such class or classes as shall, so far as possible, equalize the number of directors in each class. The Board of Directors shall allocate consistently with the rule that the three classes shall be as nearly equal in number of directors as possible, and appoint any newly-created directorship for a term of office continuing until the next election for the class to which such Director shall have been appointed.</w:t>
      </w:r>
    </w:p>
    <w:p>
      <w:pPr>
        <w:spacing w:after="0" w:line="177"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1A1A1A"/>
        </w:rPr>
        <w:t>Any vacancies in the Board of Directors for any reason, including any newly created directorships resulting from any increase in the number of directors, may be filled by the Board of Directors, acting by a majority of the directors then in office, although less than a quorum; and any directors so chosen shall hold office until the next election of the class for which such directors shall have been chosen.</w:t>
      </w:r>
    </w:p>
    <w:p>
      <w:pPr>
        <w:spacing w:after="0" w:line="180"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1A1A1A"/>
        </w:rPr>
        <w:t>Notwithstanding any of the foregoing, each director shall serve for a term continuing until the annual meeting of shareholders at which the term of the class to which he or she was elected expires and until his or her successor is elected and qualified or until his or her earlier death, resignation or removal; except, a director may be removed from office prior to the expiration of his or her term only for cause and by a vote of the majority of the total number of members of the Board of Directors without including the director who is the subject of the removal determination and without such director being entitled to vote thereon.</w:t>
      </w:r>
    </w:p>
    <w:p>
      <w:pPr>
        <w:spacing w:after="0" w:line="18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21"/>
          <w:szCs w:val="21"/>
          <w:color w:val="1A1A1A"/>
        </w:rPr>
        <w:t xml:space="preserve">Section 5. </w:t>
      </w:r>
      <w:r>
        <w:rPr>
          <w:rFonts w:ascii="Times New Roman" w:cs="Times New Roman" w:eastAsia="Times New Roman" w:hAnsi="Times New Roman"/>
          <w:sz w:val="21"/>
          <w:szCs w:val="21"/>
          <w:u w:val="single" w:color="auto"/>
          <w:color w:val="1A1A1A"/>
        </w:rPr>
        <w:t>Compensation</w:t>
      </w:r>
      <w:r>
        <w:rPr>
          <w:rFonts w:ascii="Times New Roman" w:cs="Times New Roman" w:eastAsia="Times New Roman" w:hAnsi="Times New Roman"/>
          <w:sz w:val="21"/>
          <w:szCs w:val="21"/>
          <w:color w:val="1A1A1A"/>
        </w:rPr>
        <w:t>. Outside Directors shall be entitled to such compensation and expenses as may be determined by resolution of the Board. Outside Directors may serve the Company in other capacities and receive compensation therefor.</w:t>
      </w:r>
    </w:p>
    <w:p>
      <w:pPr>
        <w:spacing w:after="0" w:line="135"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6. </w:t>
      </w:r>
      <w:r>
        <w:rPr>
          <w:rFonts w:ascii="Times New Roman" w:cs="Times New Roman" w:eastAsia="Times New Roman" w:hAnsi="Times New Roman"/>
          <w:sz w:val="22"/>
          <w:szCs w:val="22"/>
          <w:u w:val="single" w:color="auto"/>
          <w:color w:val="1A1A1A"/>
        </w:rPr>
        <w:t>Meetings</w:t>
      </w:r>
      <w:r>
        <w:rPr>
          <w:rFonts w:ascii="Times New Roman" w:cs="Times New Roman" w:eastAsia="Times New Roman" w:hAnsi="Times New Roman"/>
          <w:sz w:val="22"/>
          <w:szCs w:val="22"/>
          <w:color w:val="1A1A1A"/>
        </w:rPr>
        <w:t>. The Board of Directors may hold meetings within or without the State of South Dakota. Members of the Board of Directors or any committee thereof may participate in a meeting of such Board or committee by means of a conference telephone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5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1A1A1A"/>
        </w:rPr>
        <w:t>similar communications equipment by means of which all persons participating in the meeting can hear each other at the same time, and participation by such means shall constitute presence in person at a meeting.</w:t>
      </w:r>
    </w:p>
    <w:p>
      <w:pPr>
        <w:spacing w:after="0" w:line="158"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7. </w:t>
      </w:r>
      <w:r>
        <w:rPr>
          <w:rFonts w:ascii="Times New Roman" w:cs="Times New Roman" w:eastAsia="Times New Roman" w:hAnsi="Times New Roman"/>
          <w:sz w:val="22"/>
          <w:szCs w:val="22"/>
          <w:u w:val="single" w:color="auto"/>
          <w:color w:val="2D2D2D"/>
        </w:rPr>
        <w:t>Regular Meetings</w:t>
      </w:r>
      <w:r>
        <w:rPr>
          <w:rFonts w:ascii="Times New Roman" w:cs="Times New Roman" w:eastAsia="Times New Roman" w:hAnsi="Times New Roman"/>
          <w:sz w:val="22"/>
          <w:szCs w:val="22"/>
          <w:color w:val="2D2D2D"/>
        </w:rPr>
        <w:t>.</w:t>
      </w:r>
      <w:r>
        <w:rPr>
          <w:rFonts w:ascii="Times New Roman" w:cs="Times New Roman" w:eastAsia="Times New Roman" w:hAnsi="Times New Roman"/>
          <w:sz w:val="22"/>
          <w:szCs w:val="22"/>
          <w:color w:val="1A1A1A"/>
        </w:rPr>
        <w:t xml:space="preserve"> The annual meeting of the Board of Directors for the election of officers and to conduct such other business to be brought before the meeting shall, if practicable, be held on the same day as and immediately after the annual election of the directors by the shareholders or any adjournment thereof, and no notice thereof need be given. Further regular meetings of the Board may be held with or without notice at such time and place.</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8. </w:t>
      </w:r>
      <w:r>
        <w:rPr>
          <w:rFonts w:ascii="Times New Roman" w:cs="Times New Roman" w:eastAsia="Times New Roman" w:hAnsi="Times New Roman"/>
          <w:sz w:val="22"/>
          <w:szCs w:val="22"/>
          <w:u w:val="single" w:color="auto"/>
          <w:color w:val="2D2D2D"/>
        </w:rPr>
        <w:t>Special Meetings</w:t>
      </w:r>
      <w:r>
        <w:rPr>
          <w:rFonts w:ascii="Times New Roman" w:cs="Times New Roman" w:eastAsia="Times New Roman" w:hAnsi="Times New Roman"/>
          <w:sz w:val="22"/>
          <w:szCs w:val="22"/>
          <w:color w:val="2D2D2D"/>
        </w:rPr>
        <w:t>.</w:t>
      </w:r>
      <w:r>
        <w:rPr>
          <w:rFonts w:ascii="Times New Roman" w:cs="Times New Roman" w:eastAsia="Times New Roman" w:hAnsi="Times New Roman"/>
          <w:sz w:val="22"/>
          <w:szCs w:val="22"/>
          <w:color w:val="1A1A1A"/>
        </w:rPr>
        <w:t xml:space="preserve"> Special meetings of the Board of Directors may be called either by the Chairman of the Board, the Chief Executive Officer, the President or by the Secretary upon the written request of any two directors by giving oral or written notice to each director stating the time and place of such meeting.</w:t>
      </w:r>
    </w:p>
    <w:p>
      <w:pPr>
        <w:spacing w:after="0" w:line="173"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1A1A1A"/>
        </w:rPr>
        <w:t xml:space="preserve">Section 9. </w:t>
      </w:r>
      <w:r>
        <w:rPr>
          <w:rFonts w:ascii="Times New Roman" w:cs="Times New Roman" w:eastAsia="Times New Roman" w:hAnsi="Times New Roman"/>
          <w:sz w:val="22"/>
          <w:szCs w:val="22"/>
          <w:u w:val="single" w:color="auto"/>
          <w:color w:val="2D2D2D"/>
        </w:rPr>
        <w:t>Notice</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of</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D2D2D"/>
        </w:rPr>
        <w:t>Meetings</w:t>
      </w:r>
      <w:r>
        <w:rPr>
          <w:rFonts w:ascii="Times New Roman" w:cs="Times New Roman" w:eastAsia="Times New Roman" w:hAnsi="Times New Roman"/>
          <w:sz w:val="22"/>
          <w:szCs w:val="22"/>
          <w:color w:val="2D2D2D"/>
        </w:rPr>
        <w:t>.</w:t>
      </w:r>
      <w:r>
        <w:rPr>
          <w:rFonts w:ascii="Times New Roman" w:cs="Times New Roman" w:eastAsia="Times New Roman" w:hAnsi="Times New Roman"/>
          <w:sz w:val="22"/>
          <w:szCs w:val="22"/>
          <w:color w:val="1A1A1A"/>
        </w:rPr>
        <w:t xml:space="preserve"> Notice shall be considered to have been given if a notice is either orally or electronically communicated to a director at least twelve hours prior to such meeting or placed in writing and mailed to the director at his or her last known post office address as shown by the records of the Company at least four days prior to the meeting. Any notice to be given a director for a meeting of the directors may be waived by the director in writing, signed by such director, either before or after the meeting. Presence of any director at a meeting of the Board shall be considered to be a waiver of notice by such director unless such director at the beginning of the meeting, or promptly upon arrival, objects to holding the meeting or transacting business at the meeting and does not thereafter vote for or assent to action taken at the meeting. Neither the business to be transacted nor the purpose of any regular or special meeting of the Board of Directors need be specified in the notice or waiver of notice of such meeting.</w:t>
      </w:r>
    </w:p>
    <w:p>
      <w:pPr>
        <w:spacing w:after="0" w:line="183"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1A1A1A"/>
        </w:rPr>
        <w:t xml:space="preserve">Section 10. </w:t>
      </w:r>
      <w:r>
        <w:rPr>
          <w:rFonts w:ascii="Times New Roman" w:cs="Times New Roman" w:eastAsia="Times New Roman" w:hAnsi="Times New Roman"/>
          <w:sz w:val="22"/>
          <w:szCs w:val="22"/>
          <w:u w:val="single" w:color="auto"/>
          <w:color w:val="1A1A1A"/>
        </w:rPr>
        <w:t>Quorum</w:t>
      </w:r>
      <w:r>
        <w:rPr>
          <w:rFonts w:ascii="Times New Roman" w:cs="Times New Roman" w:eastAsia="Times New Roman" w:hAnsi="Times New Roman"/>
          <w:sz w:val="22"/>
          <w:szCs w:val="22"/>
          <w:color w:val="1A1A1A"/>
        </w:rPr>
        <w:t>. At all meetings of the Board of Directors, a majority of the number of directors at the time in office shall constitute a quorum for the transaction of business; provided, less than a quorum of directors may fill vacancies as set forth in Section 4 of this Article II. The act of a majority of the number of directors at the time in office shall be the act of the Board of Directors. If at any meeting of the board there shall be less than a quorum present, a majority of those present may adjourn the meeting from time to time until a quorum is obtained and no further notice thereof need be given other than by announcement at said meeting which shall be so adjourned.</w:t>
      </w:r>
    </w:p>
    <w:p>
      <w:pPr>
        <w:spacing w:after="0" w:line="181"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1A1A1A"/>
        </w:rPr>
        <w:t xml:space="preserve">Section 11. </w:t>
      </w:r>
      <w:r>
        <w:rPr>
          <w:rFonts w:ascii="Times New Roman" w:cs="Times New Roman" w:eastAsia="Times New Roman" w:hAnsi="Times New Roman"/>
          <w:sz w:val="22"/>
          <w:szCs w:val="22"/>
          <w:u w:val="single" w:color="auto"/>
          <w:color w:val="1A1A1A"/>
        </w:rPr>
        <w:t>Manifestation of Dissent</w:t>
      </w:r>
      <w:r>
        <w:rPr>
          <w:rFonts w:ascii="Times New Roman" w:cs="Times New Roman" w:eastAsia="Times New Roman" w:hAnsi="Times New Roman"/>
          <w:sz w:val="22"/>
          <w:szCs w:val="22"/>
          <w:color w:val="1A1A1A"/>
        </w:rPr>
        <w:t>. A director of the Company who is present at a meeting of the Board of Directors at which action on any corporate matter is taken shall be deemed to have assented to the action taken unless (1) such director objects at the beginning of the meeting, or promptly upon arrival, to holding it or transacting business at the meeting, or (2) such director’s dissent or abstention from the action taken is entered in the minutes of the meeting, or (3) such director delivers written notice of dissent or abstention to the presiding officer of the meeting before its adjournment or to the Company immediately after adjournment of the meeting. The right of dissent or abstention is not available to a director who votes in favor of the action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3" w:name="page64"/>
    <w:bookmarkEnd w:id="63"/>
    <w:p>
      <w:pPr>
        <w:spacing w:after="0" w:line="5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12. </w:t>
      </w:r>
      <w:r>
        <w:rPr>
          <w:rFonts w:ascii="Times New Roman" w:cs="Times New Roman" w:eastAsia="Times New Roman" w:hAnsi="Times New Roman"/>
          <w:sz w:val="22"/>
          <w:szCs w:val="22"/>
          <w:u w:val="single" w:color="auto"/>
          <w:color w:val="1A1A1A"/>
        </w:rPr>
        <w:t>Action Taken Without Meeting</w:t>
      </w:r>
      <w:r>
        <w:rPr>
          <w:rFonts w:ascii="Times New Roman" w:cs="Times New Roman" w:eastAsia="Times New Roman" w:hAnsi="Times New Roman"/>
          <w:sz w:val="22"/>
          <w:szCs w:val="22"/>
          <w:color w:val="1A1A1A"/>
        </w:rPr>
        <w:t>. Any action which may be taken at a meeting of the directors or of a committee may be taken without a meeting if a consent in writing setting forth the actions so to be taken shall be signed before such action by all of the directors, or all of the members of the committee, as the case may be. Such consent shall have the same effect as a unanimous vote.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III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COMMITTEES</w:t>
      </w:r>
    </w:p>
    <w:p>
      <w:pPr>
        <w:ind w:firstLine="749"/>
        <w:spacing w:after="0" w:line="232"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Audit Committee</w:t>
      </w:r>
      <w:r>
        <w:rPr>
          <w:rFonts w:ascii="Times New Roman" w:cs="Times New Roman" w:eastAsia="Times New Roman" w:hAnsi="Times New Roman"/>
          <w:sz w:val="22"/>
          <w:szCs w:val="22"/>
          <w:color w:val="1A1A1A"/>
        </w:rPr>
        <w:t>. The Board of Directors shall appoint at least three of its Outside Directors to serve as an audit committee, all of whom shall have no relationship to the Company that may interfere with the exercise of their independence from management. The audit committee shall meet prior to and after each yearly audit with representatives of the independent accounting firm approved by the shareholders for the purpose of reviewing the audit of such firm of the Company’s financial condition and shall each year recommend to the Board an independent accounting firm to be appointed by the Board for the ratification by the shareholders and shall perform such other duties as assigned by the Board.</w:t>
      </w:r>
    </w:p>
    <w:p>
      <w:pPr>
        <w:spacing w:after="0" w:line="18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2. </w:t>
      </w:r>
      <w:r>
        <w:rPr>
          <w:rFonts w:ascii="Times New Roman" w:cs="Times New Roman" w:eastAsia="Times New Roman" w:hAnsi="Times New Roman"/>
          <w:sz w:val="22"/>
          <w:szCs w:val="22"/>
          <w:u w:val="single" w:color="auto"/>
          <w:color w:val="1A1A1A"/>
        </w:rPr>
        <w:t>Compensation Committee</w:t>
      </w:r>
      <w:r>
        <w:rPr>
          <w:rFonts w:ascii="Times New Roman" w:cs="Times New Roman" w:eastAsia="Times New Roman" w:hAnsi="Times New Roman"/>
          <w:sz w:val="22"/>
          <w:szCs w:val="22"/>
          <w:color w:val="1A1A1A"/>
        </w:rPr>
        <w:t>. The Board of Directors shall appoint at least three of its Outside Directors to serve as a compensation committee. The compensation committee (i) shall perform any function required by directors in the administration of all federal and state statutes relating to employment and compensation, (ii) shall approve or recommend to the Board the compensation for senior corporate officers, and (iii) shall consider and approve the executive compensation program, including the benefit program and stock ownership plans, of the Company.</w:t>
      </w:r>
    </w:p>
    <w:p>
      <w:pPr>
        <w:spacing w:after="0" w:line="177"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1"/>
          <w:szCs w:val="21"/>
          <w:color w:val="1A1A1A"/>
        </w:rPr>
        <w:t xml:space="preserve">Section 3. </w:t>
      </w:r>
      <w:r>
        <w:rPr>
          <w:rFonts w:ascii="Times New Roman" w:cs="Times New Roman" w:eastAsia="Times New Roman" w:hAnsi="Times New Roman"/>
          <w:sz w:val="21"/>
          <w:szCs w:val="21"/>
          <w:u w:val="single" w:color="auto"/>
          <w:color w:val="1A1A1A"/>
        </w:rPr>
        <w:t>Governance Committee</w:t>
      </w:r>
      <w:r>
        <w:rPr>
          <w:rFonts w:ascii="Times New Roman" w:cs="Times New Roman" w:eastAsia="Times New Roman" w:hAnsi="Times New Roman"/>
          <w:sz w:val="21"/>
          <w:szCs w:val="21"/>
          <w:color w:val="1A1A1A"/>
        </w:rPr>
        <w:t>. The Board of Directors shall appoint a Governance Committee to be composed of a minimum of three Outside Directors as determined by the Board of Directors. An Outside Director shall be appointed by the Board of Directors to serve as Chairperson of the Governance Committee. The Governance Committee shall provide action and oversight on the following matters: (i) to recruit and nominate individuals to serve as Directors of the Company; (ii) to consider candidates to fill new positions created by expansion and vacancies that occur by resignation, retirement or for any other reason;</w:t>
      </w:r>
    </w:p>
    <w:p>
      <w:pPr>
        <w:spacing w:after="0" w:line="1" w:lineRule="exact"/>
        <w:rPr>
          <w:sz w:val="20"/>
          <w:szCs w:val="20"/>
          <w:color w:val="auto"/>
        </w:rPr>
      </w:pPr>
    </w:p>
    <w:p>
      <w:pPr>
        <w:ind w:right="160" w:firstLine="8"/>
        <w:spacing w:after="0" w:line="232" w:lineRule="auto"/>
        <w:tabs>
          <w:tab w:leader="none" w:pos="378" w:val="left"/>
        </w:tabs>
        <w:numPr>
          <w:ilvl w:val="0"/>
          <w:numId w:val="81"/>
        </w:numPr>
        <w:rPr>
          <w:rFonts w:ascii="Times New Roman" w:cs="Times New Roman" w:eastAsia="Times New Roman" w:hAnsi="Times New Roman"/>
          <w:sz w:val="22"/>
          <w:szCs w:val="22"/>
          <w:color w:val="1A1A1A"/>
        </w:rPr>
      </w:pPr>
      <w:r>
        <w:rPr>
          <w:rFonts w:ascii="Times New Roman" w:cs="Times New Roman" w:eastAsia="Times New Roman" w:hAnsi="Times New Roman"/>
          <w:sz w:val="22"/>
          <w:szCs w:val="22"/>
          <w:color w:val="1A1A1A"/>
        </w:rPr>
        <w:t>to assess the size and other membership needs of the Board of Directors and establish selection criteria for Board Membership; (iv) to establish and regularly review guidelines for corporate governance; (v) to implement and administer an annual evaluation of the performance of the Board of Directors; (vi) to implement and administer the process for orienting new Directors both to the Company, and to their responsibilities as Board Members; (vii) to nominate on an annual basis an Outside Director to serve as Lead Director; (viii) to regularly review the independence of Board Members; (ix) to ensure that the Board or a Board Committee oversees the evaluation and succession planning of management, and (x) to perform such other duties assigned by the Board.</w:t>
      </w:r>
    </w:p>
    <w:p>
      <w:pPr>
        <w:spacing w:after="0" w:line="181" w:lineRule="exact"/>
        <w:rPr>
          <w:sz w:val="20"/>
          <w:szCs w:val="20"/>
          <w:color w:val="auto"/>
        </w:rPr>
      </w:pPr>
    </w:p>
    <w:p>
      <w:pPr>
        <w:jc w:val="both"/>
        <w:ind w:right="60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4. </w:t>
      </w:r>
      <w:r>
        <w:rPr>
          <w:rFonts w:ascii="Times New Roman" w:cs="Times New Roman" w:eastAsia="Times New Roman" w:hAnsi="Times New Roman"/>
          <w:sz w:val="22"/>
          <w:szCs w:val="22"/>
          <w:u w:val="single" w:color="auto"/>
          <w:color w:val="1A1A1A"/>
        </w:rPr>
        <w:t>Other Committees</w:t>
      </w:r>
      <w:r>
        <w:rPr>
          <w:rFonts w:ascii="Times New Roman" w:cs="Times New Roman" w:eastAsia="Times New Roman" w:hAnsi="Times New Roman"/>
          <w:sz w:val="22"/>
          <w:szCs w:val="22"/>
          <w:color w:val="1A1A1A"/>
        </w:rPr>
        <w:t>. The Board of Directors may also appoint from among its own members such other committees as the Board may determine and assign such powers and duties as shall from time to time be prescribed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spacing w:after="0" w:line="5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1"/>
          <w:szCs w:val="21"/>
          <w:color w:val="1A1A1A"/>
        </w:rPr>
        <w:t xml:space="preserve">Section 5. </w:t>
      </w:r>
      <w:r>
        <w:rPr>
          <w:rFonts w:ascii="Times New Roman" w:cs="Times New Roman" w:eastAsia="Times New Roman" w:hAnsi="Times New Roman"/>
          <w:sz w:val="21"/>
          <w:szCs w:val="21"/>
          <w:u w:val="single" w:color="auto"/>
          <w:color w:val="1A1A1A"/>
        </w:rPr>
        <w:t>Removal from Committees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A2A2A"/>
        </w:rPr>
        <w:t>and Rules of</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Procedure</w:t>
      </w:r>
      <w:r>
        <w:rPr>
          <w:rFonts w:ascii="Times New Roman" w:cs="Times New Roman" w:eastAsia="Times New Roman" w:hAnsi="Times New Roman"/>
          <w:sz w:val="21"/>
          <w:szCs w:val="21"/>
          <w:color w:val="1A1A1A"/>
        </w:rPr>
        <w:t>. Subject to these Bylaws directors may be removed from the committees and vacancies therein may be filled by a majority of the Board of Directors. A meeting of any committee may be called by any member of the committee. The provisions of these Bylaws concerning notice of meetings, compensation, manifestation of dissent and taking action without a meeting as they pertain to directors shall also pertain to committee meetings.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IV</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OFFICERS</w:t>
      </w:r>
    </w:p>
    <w:p>
      <w:pPr>
        <w:ind w:firstLine="749"/>
        <w:spacing w:after="0" w:line="233"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Officers</w:t>
      </w:r>
      <w:r>
        <w:rPr>
          <w:rFonts w:ascii="Times New Roman" w:cs="Times New Roman" w:eastAsia="Times New Roman" w:hAnsi="Times New Roman"/>
          <w:sz w:val="22"/>
          <w:szCs w:val="22"/>
          <w:color w:val="1A1A1A"/>
        </w:rPr>
        <w:t>. The Board of Directors shall elect as officers of the Company a Chief Executive Officer, a President, a Vice President, a Secretary, and a Treasurer. If deemed desirable or expedient, the Board of Directors may elect a Chairman of the Board, a Controller, and such other Vice Presidents and officers as the Board may determine is necessary for the conduct of the business of the Company. Officers may also be directors. Any two or more offices may be held by the same person.</w:t>
      </w:r>
    </w:p>
    <w:p>
      <w:pPr>
        <w:spacing w:after="0" w:line="17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21"/>
          <w:szCs w:val="21"/>
          <w:color w:val="1A1A1A"/>
        </w:rPr>
        <w:t xml:space="preserve">Section 2. </w:t>
      </w:r>
      <w:r>
        <w:rPr>
          <w:rFonts w:ascii="Times New Roman" w:cs="Times New Roman" w:eastAsia="Times New Roman" w:hAnsi="Times New Roman"/>
          <w:sz w:val="21"/>
          <w:szCs w:val="21"/>
          <w:u w:val="single" w:color="auto"/>
          <w:color w:val="1A1A1A"/>
        </w:rPr>
        <w:t>Term and Removal</w:t>
      </w:r>
      <w:r>
        <w:rPr>
          <w:rFonts w:ascii="Times New Roman" w:cs="Times New Roman" w:eastAsia="Times New Roman" w:hAnsi="Times New Roman"/>
          <w:sz w:val="21"/>
          <w:szCs w:val="21"/>
          <w:color w:val="1A1A1A"/>
        </w:rPr>
        <w:t>. All officers of the Company shall serve at the pleasure of the Board of Directors, and the Board at any regular or special meeting by the vote of a majority of the whole Board may remove an officer from an office.</w:t>
      </w:r>
    </w:p>
    <w:p>
      <w:pPr>
        <w:spacing w:after="0" w:line="135"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u w:val="single" w:color="auto"/>
          <w:color w:val="1A1A1A"/>
        </w:rPr>
        <w:t>Duties of the Chairman of the Board and the Chief Executive Officer</w:t>
      </w:r>
      <w:r>
        <w:rPr>
          <w:rFonts w:ascii="Times New Roman" w:cs="Times New Roman" w:eastAsia="Times New Roman" w:hAnsi="Times New Roman"/>
          <w:sz w:val="22"/>
          <w:szCs w:val="22"/>
          <w:color w:val="1A1A1A"/>
        </w:rPr>
        <w:t>. The Chairman of the Board and the Chief Executive Officer may, but need not be the same person. The Chief Executive Officer shall be the chief administrative officer of the Company. The Chief Executive Officer (i) shall exercise such duties as customarily pertain to the office of Chief Executive Officer, (ii) shall have general and active management authority and supervision over the property, business and affairs of the Company and over its officers and employees, (iii) may appoint employees, consultants and agents as deemed necessary for the proper conduct of the Company’s business, (iv) may sign, execute and deliver in the name of the Company powers of attorney, contracts, bonds and other obligations subject to direction of the Board as set forth in Article VII of these Bylaws, (v) shall recommend to the Board of Directors persons for appointment to offices and committees and for nomination of directors, and (vi) shall perform such other duties as may be prescribed from time to time by the Board of Directors. The Chairman of the Board, or in his or her absence, the Chief Executive Officer or other Board designee, shall preside at shareholder meetings and at meetings of the Board of Directors, and shall perform such other duties as may be prescribed from time to time by the Board of Directors.</w:t>
      </w:r>
    </w:p>
    <w:p>
      <w:pPr>
        <w:spacing w:after="0" w:line="185"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4. Duties </w:t>
      </w:r>
      <w:r>
        <w:rPr>
          <w:rFonts w:ascii="Times New Roman" w:cs="Times New Roman" w:eastAsia="Times New Roman" w:hAnsi="Times New Roman"/>
          <w:sz w:val="22"/>
          <w:szCs w:val="22"/>
          <w:color w:val="2A2A2A"/>
        </w:rPr>
        <w:t>of the President.</w:t>
      </w:r>
      <w:r>
        <w:rPr>
          <w:rFonts w:ascii="Times New Roman" w:cs="Times New Roman" w:eastAsia="Times New Roman" w:hAnsi="Times New Roman"/>
          <w:sz w:val="22"/>
          <w:szCs w:val="22"/>
          <w:color w:val="1A1A1A"/>
        </w:rPr>
        <w:t xml:space="preserve"> The President shall perform such duties as may be prescribed from time to time by the Board of Directors, the Chairman of the Board or the Chief Executive Officer. The President, in the absence or disability of the Chief Executive Officer, shall perform the duties and exercise the powers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-343535</wp:posOffset>
            </wp:positionV>
            <wp:extent cx="12534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53"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5. Duties of </w:t>
      </w:r>
      <w:r>
        <w:rPr>
          <w:rFonts w:ascii="Times New Roman" w:cs="Times New Roman" w:eastAsia="Times New Roman" w:hAnsi="Times New Roman"/>
          <w:sz w:val="22"/>
          <w:szCs w:val="22"/>
          <w:color w:val="2A2A2A"/>
        </w:rPr>
        <w:t>Vice Presidents.</w:t>
      </w:r>
      <w:r>
        <w:rPr>
          <w:rFonts w:ascii="Times New Roman" w:cs="Times New Roman" w:eastAsia="Times New Roman" w:hAnsi="Times New Roman"/>
          <w:sz w:val="22"/>
          <w:szCs w:val="22"/>
          <w:color w:val="1A1A1A"/>
        </w:rPr>
        <w:t xml:space="preserve"> The Vice Presidents shall have such powers and perform such duties as may be assigned to them by the Board of Directors, the Chairman of the Board, and the Chief Executive Officer. In the absence or disability of the Chairman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1062990</wp:posOffset>
            </wp:positionH>
            <wp:positionV relativeFrom="paragraph">
              <wp:posOffset>-343535</wp:posOffset>
            </wp:positionV>
            <wp:extent cx="1397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line="5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1A1A1A"/>
        </w:rPr>
        <w:t>Board, the Chief Executive Officer, and the President, the Vice Presidents in the order as designated by the Board, or if the Board so directs, by the Chairman of the Board and the Chief Executive Officer, shall perform the duties and exercise the powers of the Chairman of the Board and the Chief Executive Officer.</w:t>
      </w:r>
    </w:p>
    <w:p>
      <w:pPr>
        <w:spacing w:after="0" w:line="173"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6. </w:t>
      </w:r>
      <w:r>
        <w:rPr>
          <w:rFonts w:ascii="Times New Roman" w:cs="Times New Roman" w:eastAsia="Times New Roman" w:hAnsi="Times New Roman"/>
          <w:sz w:val="22"/>
          <w:szCs w:val="22"/>
          <w:u w:val="single" w:color="auto"/>
          <w:color w:val="2A2A2A"/>
        </w:rPr>
        <w:t>Duties of Secretary</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The Secretary shall attend all meetings of the Board and shareholders, record all votes and the minutes of all proceedings in books to be kept for such purposes and shall perform like duties for the committees when required. </w:t>
      </w:r>
      <w:r>
        <w:rPr>
          <w:rFonts w:ascii="Times New Roman" w:cs="Times New Roman" w:eastAsia="Times New Roman" w:hAnsi="Times New Roman"/>
          <w:sz w:val="22"/>
          <w:szCs w:val="22"/>
          <w:color w:val="2A2A2A"/>
        </w:rPr>
        <w:t>The</w:t>
      </w:r>
      <w:r>
        <w:rPr>
          <w:rFonts w:ascii="Times New Roman" w:cs="Times New Roman" w:eastAsia="Times New Roman" w:hAnsi="Times New Roman"/>
          <w:sz w:val="22"/>
          <w:szCs w:val="22"/>
          <w:color w:val="1A1A1A"/>
        </w:rPr>
        <w:t xml:space="preserve"> Secretary shall have the custody of the seal. The Secretary shall have the custody of the stock books and shall perform such other duties as may be prescribed by the Board of Directors or the Chairman of the Board and the Chief Executive Officer.</w:t>
      </w:r>
    </w:p>
    <w:p>
      <w:pPr>
        <w:spacing w:after="0" w:line="17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1A1A1A"/>
        </w:rPr>
        <w:t xml:space="preserve">Section 7. </w:t>
      </w:r>
      <w:r>
        <w:rPr>
          <w:rFonts w:ascii="Times New Roman" w:cs="Times New Roman" w:eastAsia="Times New Roman" w:hAnsi="Times New Roman"/>
          <w:sz w:val="22"/>
          <w:szCs w:val="22"/>
          <w:u w:val="single" w:color="auto"/>
          <w:color w:val="1A1A1A"/>
        </w:rPr>
        <w:t>Duties of Treasurer</w:t>
      </w:r>
      <w:r>
        <w:rPr>
          <w:rFonts w:ascii="Times New Roman" w:cs="Times New Roman" w:eastAsia="Times New Roman" w:hAnsi="Times New Roman"/>
          <w:sz w:val="22"/>
          <w:szCs w:val="22"/>
          <w:color w:val="1A1A1A"/>
        </w:rPr>
        <w:t xml:space="preserve">. The Treasurer shall have the custody of the corporate funds and securities and shall keep full and accurate accounts of receipts and disbursements in books of the Company and shall deposit all monies and other valuable effects in the name and to the credit of the Company in such depositories as may be designated by the Board of Directors. The Treasurer shall disburse the funds of the Company as may be ordered by the Board, taking proper vouchers for such disbursements and shall render to the Chairman of the Board, the Chief Executive Officer and to the Board of Directors at its regular meetings or </w:t>
      </w:r>
      <w:r>
        <w:rPr>
          <w:rFonts w:ascii="Times New Roman" w:cs="Times New Roman" w:eastAsia="Times New Roman" w:hAnsi="Times New Roman"/>
          <w:sz w:val="22"/>
          <w:szCs w:val="22"/>
          <w:color w:val="2A2A2A"/>
        </w:rPr>
        <w:t>whenever</w:t>
      </w:r>
      <w:r>
        <w:rPr>
          <w:rFonts w:ascii="Times New Roman" w:cs="Times New Roman" w:eastAsia="Times New Roman" w:hAnsi="Times New Roman"/>
          <w:sz w:val="22"/>
          <w:szCs w:val="22"/>
          <w:color w:val="1A1A1A"/>
        </w:rPr>
        <w:t xml:space="preserve"> they may require it, an account of all his or her transactions as Treasurer and of the financial condition of the Company.</w:t>
      </w:r>
    </w:p>
    <w:p>
      <w:pPr>
        <w:spacing w:after="0" w:line="183"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1A1A1A"/>
        </w:rPr>
        <w:t xml:space="preserve">Section 8. </w:t>
      </w:r>
      <w:r>
        <w:rPr>
          <w:rFonts w:ascii="Times New Roman" w:cs="Times New Roman" w:eastAsia="Times New Roman" w:hAnsi="Times New Roman"/>
          <w:sz w:val="22"/>
          <w:szCs w:val="22"/>
          <w:u w:val="single" w:color="auto"/>
          <w:color w:val="1A1A1A"/>
        </w:rPr>
        <w:t>Duties of Other Officers</w:t>
      </w:r>
      <w:r>
        <w:rPr>
          <w:rFonts w:ascii="Times New Roman" w:cs="Times New Roman" w:eastAsia="Times New Roman" w:hAnsi="Times New Roman"/>
          <w:sz w:val="22"/>
          <w:szCs w:val="22"/>
          <w:color w:val="1A1A1A"/>
        </w:rPr>
        <w:t>. All other officers of the Company shall have such duties as shall be prescribed by the Board of Directors, the Chairman of the Board, and the Chief Executive Officer.</w:t>
      </w:r>
    </w:p>
    <w:p>
      <w:pPr>
        <w:spacing w:after="0" w:line="158"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9. </w:t>
      </w:r>
      <w:r>
        <w:rPr>
          <w:rFonts w:ascii="Times New Roman" w:cs="Times New Roman" w:eastAsia="Times New Roman" w:hAnsi="Times New Roman"/>
          <w:sz w:val="22"/>
          <w:szCs w:val="22"/>
          <w:u w:val="single" w:color="auto"/>
          <w:color w:val="1A1A1A"/>
        </w:rPr>
        <w:t>Delegation</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A2A2A"/>
        </w:rPr>
        <w:t>of</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Duties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A2A2A"/>
        </w:rPr>
        <w:t>of</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Officers</w:t>
      </w:r>
      <w:r>
        <w:rPr>
          <w:rFonts w:ascii="Times New Roman" w:cs="Times New Roman" w:eastAsia="Times New Roman" w:hAnsi="Times New Roman"/>
          <w:sz w:val="22"/>
          <w:szCs w:val="22"/>
          <w:color w:val="1A1A1A"/>
        </w:rPr>
        <w:t>. In the case of the absence of any officer of the Company or for any other reason that the Board may deem sufficient, the Board may delegate the powers or duties of any officer to any other officer or to any director for such time as determined by the Board.</w:t>
      </w:r>
    </w:p>
    <w:p>
      <w:pPr>
        <w:spacing w:after="0" w:line="173"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10. </w:t>
      </w:r>
      <w:r>
        <w:rPr>
          <w:rFonts w:ascii="Times New Roman" w:cs="Times New Roman" w:eastAsia="Times New Roman" w:hAnsi="Times New Roman"/>
          <w:sz w:val="22"/>
          <w:szCs w:val="22"/>
          <w:color w:val="2F2F2F"/>
        </w:rPr>
        <w:t>Compensation of</w:t>
      </w:r>
      <w:r>
        <w:rPr>
          <w:rFonts w:ascii="Times New Roman" w:cs="Times New Roman" w:eastAsia="Times New Roman" w:hAnsi="Times New Roman"/>
          <w:sz w:val="22"/>
          <w:szCs w:val="22"/>
          <w:color w:val="1A1A1A"/>
        </w:rPr>
        <w:t xml:space="preserve"> Officers. The compensation of the Chairman of the Board and the Chief Executive Officer shall be determined by the Board of Directors. The compensation of each of the other corporate officers shall be recommended by the Chief Executive Officer and approved by the Board of Directors or Compensation Committee. No officer shall be prevented from receiving such salary by reason of the fact that he is also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-493395</wp:posOffset>
            </wp:positionV>
            <wp:extent cx="14243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142430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V</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INDEMNIFICATION</w:t>
      </w:r>
    </w:p>
    <w:p>
      <w:pPr>
        <w:ind w:right="20" w:firstLine="749"/>
        <w:spacing w:after="0" w:line="234"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Actions, Suits or Proceedings Other than by or in the Right of the Company</w:t>
      </w:r>
      <w:r>
        <w:rPr>
          <w:rFonts w:ascii="Times New Roman" w:cs="Times New Roman" w:eastAsia="Times New Roman" w:hAnsi="Times New Roman"/>
          <w:sz w:val="22"/>
          <w:szCs w:val="22"/>
          <w:color w:val="1A1A1A"/>
        </w:rPr>
        <w:t>. The Company shall indemnify any person (each, an “Indemnitee”) who was or is a party or is threatened to be made a party to any threatened, pending or completed action, suit or proceeding, whether civil, criminal, administrative or investigative, including all appeals, (other than an action by or in the right of the Company) by reason of the fact that such Indemnitee is or was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6" w:name="page67"/>
    <w:bookmarkEnd w:id="66"/>
    <w:p>
      <w:pPr>
        <w:ind w:right="100"/>
        <w:spacing w:after="0" w:line="244" w:lineRule="auto"/>
        <w:rPr>
          <w:sz w:val="20"/>
          <w:szCs w:val="20"/>
          <w:color w:val="auto"/>
        </w:rPr>
      </w:pPr>
      <w:r>
        <w:rPr>
          <w:rFonts w:ascii="Times New Roman" w:cs="Times New Roman" w:eastAsia="Times New Roman" w:hAnsi="Times New Roman"/>
          <w:sz w:val="21"/>
          <w:szCs w:val="21"/>
          <w:color w:val="1A1A1A"/>
        </w:rPr>
        <w:t>has agreed to become a director or officer of the Company, or is or was serving or had agreed to serve at the request of the Company as a director or officer of another entity (including a subsidiary of the Company and subsidiaries of subsidiaries), partnership, joint venture, trust or other enterprise, or by reason of any action alleged to have been taken or omitted in such capacity, against costs, charges, expenses (including attorneys’ fees), judgments, fines, penalties and amounts paid in settlement actually and reasonably incurred by such Indemnitee or on such Indemnitee’s behalf in connection with such action, suit or proceeding and any appeal therefrom, if (1) such Indemnitee acted in good faith, (2) such Indemnitee reasonably believed (a) in the case of conduct in an official capacity, such conduct was in the best interests of the Company or (b) in all other cases, such conduct was at least not opposed to the best interests of the Company, and (3) with respect to any criminal action or proceeding, such Indemnitee had no reasonable cause to believe such conduct was unlawful. The termination of any action, suit or proceeding by judgment, order, settlement, conviction, or upon a plea of nolo contendere or its equivalent, shall not, of itself, create a presumption that an Indemnitee did not act in good faith or did not reasonably believe such Indemnitee’s conduct was not in the best interests of, or at least not opposed to, as applicable, the best interest of the Company and, with respect to any criminal action or proceeding, did not have reasonable cause to believe that his conduct was unlawful.</w:t>
      </w:r>
    </w:p>
    <w:p>
      <w:pPr>
        <w:spacing w:after="0" w:line="18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1A1A1A"/>
        </w:rPr>
        <w:t xml:space="preserve">Section 2. </w:t>
      </w:r>
      <w:r>
        <w:rPr>
          <w:rFonts w:ascii="Times New Roman" w:cs="Times New Roman" w:eastAsia="Times New Roman" w:hAnsi="Times New Roman"/>
          <w:sz w:val="21"/>
          <w:szCs w:val="21"/>
          <w:u w:val="single" w:color="auto"/>
          <w:color w:val="2F2F2F"/>
        </w:rPr>
        <w:t>Actions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or</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F2F2F"/>
        </w:rPr>
        <w:t>Suits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by</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F2F2F"/>
        </w:rPr>
        <w:t>or</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in</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F2F2F"/>
        </w:rPr>
        <w:t>the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Right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F2F2F"/>
        </w:rPr>
        <w:t>of</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1A1A1A"/>
        </w:rPr>
        <w:t>the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2F2F2F"/>
        </w:rPr>
        <w:t>Company</w:t>
      </w:r>
      <w:r>
        <w:rPr>
          <w:rFonts w:ascii="Times New Roman" w:cs="Times New Roman" w:eastAsia="Times New Roman" w:hAnsi="Times New Roman"/>
          <w:sz w:val="21"/>
          <w:szCs w:val="21"/>
          <w:color w:val="2F2F2F"/>
        </w:rPr>
        <w:t>.</w:t>
      </w:r>
      <w:r>
        <w:rPr>
          <w:rFonts w:ascii="Times New Roman" w:cs="Times New Roman" w:eastAsia="Times New Roman" w:hAnsi="Times New Roman"/>
          <w:sz w:val="21"/>
          <w:szCs w:val="21"/>
          <w:color w:val="1A1A1A"/>
        </w:rPr>
        <w:t xml:space="preserve"> The Company shall indemnify any Indemnitee who was or is a party or is threatened to be made a party to any threatened, pending or completed action, suit or proceeding, including all appeals, by or in the right of the Company to procure a judgment in its favor by reason of the fact that such Indemnitee is or was or has agreed to become a director or officer of the Company or is or was serving or has agreed to serve at the request of the Company as a director or officer of another entity (including a subsidiary of the Company and subsidiaries of subsidiaries), partnership, joint venture, trust or other enterprise, or by reason of any action alleged to have been taken or omitted in such capacity, against costs, charges and expenses (including attorneys’ fees) actually and reasonably incurred by such Indemnitee or on such Indemnitee’s behalf in connection with the defense or settlement of such action or suit and any appeal therefrom, if (1) such Indemnitee acted in good faith and (2) such Indemnitee reasonably believed (a) in the case of conduct in an official capacity, such conduct was in the best interests of the Company or (b) in all other cases, such conduct was at least not opposed to the best interests of the Company, except that no indemnification shall be made in respect of any claim, issue or matter as to which such Indemnitee shall have been adjudged to be liable to the Company unless and only to the extent that the Courts of South Dakota or the court in which such action or suit was brought shall determine upon application that, despite the adjudication of such liability but in view of all the circumstances of the case, such Indemnitee is fairly and reasonably entitled to indemnity for such costs, charges and expenses which the Courts of South Dakota or such other court shall deem proper.</w:t>
      </w:r>
    </w:p>
    <w:p>
      <w:pPr>
        <w:spacing w:after="0" w:line="178"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u w:val="single" w:color="auto"/>
          <w:color w:val="1A1A1A"/>
        </w:rPr>
        <w:t>Indemnification for Costs,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333333"/>
        </w:rPr>
        <w:t>Charges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and</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333333"/>
        </w:rPr>
        <w:t>Expenses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of Successful Party</w:t>
      </w:r>
      <w:r>
        <w:rPr>
          <w:rFonts w:ascii="Times New Roman" w:cs="Times New Roman" w:eastAsia="Times New Roman" w:hAnsi="Times New Roman"/>
          <w:sz w:val="22"/>
          <w:szCs w:val="22"/>
          <w:color w:val="1A1A1A"/>
        </w:rPr>
        <w:t>. Notwithstanding the other provisions of this Article V, to the extent that an Indemnitee has been successful, on the merits or otherwise, including, without limitation, the dismissal of an action without prejudice, in defense of any action, suit or proceeding referred to in Sections 1 and 2 of this Article V, or in defense of any claim, issue or matter therein, such Indemnitee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67" w:name="page68"/>
    <w:bookmarkEnd w:id="67"/>
    <w:p>
      <w:pPr>
        <w:spacing w:after="0" w:line="50"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1A1A1A"/>
        </w:rPr>
        <w:t>indemnified against all costs, charges and expenses (including attorneys’ fees) actually and reasonably incurred by such Indemnitee or on such Indemnitee’s behalf in connection therewith.</w:t>
      </w:r>
    </w:p>
    <w:p>
      <w:pPr>
        <w:spacing w:after="0" w:line="15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1"/>
          <w:szCs w:val="21"/>
          <w:color w:val="1A1A1A"/>
        </w:rPr>
        <w:t xml:space="preserve">Section 4. </w:t>
      </w:r>
      <w:r>
        <w:rPr>
          <w:rFonts w:ascii="Times New Roman" w:cs="Times New Roman" w:eastAsia="Times New Roman" w:hAnsi="Times New Roman"/>
          <w:sz w:val="21"/>
          <w:szCs w:val="21"/>
          <w:u w:val="single" w:color="auto"/>
          <w:color w:val="1A1A1A"/>
        </w:rPr>
        <w:t>Determination of Right to Indemnification</w:t>
      </w:r>
      <w:r>
        <w:rPr>
          <w:rFonts w:ascii="Times New Roman" w:cs="Times New Roman" w:eastAsia="Times New Roman" w:hAnsi="Times New Roman"/>
          <w:sz w:val="21"/>
          <w:szCs w:val="21"/>
          <w:color w:val="1A1A1A"/>
        </w:rPr>
        <w:t>. Any indemnification under Sections 1 and 2 of this Article V (unless ordered by a court) shall not be paid by the Company unless a determination is made that indemnification is permissible because the applicable Indemnitee has met the relevant standard of conduct. Such determination shall be made: (a) if there are two or more disinterested directors, by the Board of Directors by a majority vote of all the disinterested directors, a majority of whom shall for such purpose constitute a quorum, or by a majority of the members of a committee of two or more disinterested directors appointed by such a vote, or (b) by special legal counsel (i) selected in the manner prescribed in clause (a) of this Section 4 or (ii) if there are fewer than two disinterested directors, selected by the Board of Directors, in which selection directors who do not qualify as disinterested directors may participate, or (c) by the shareholders, but shares owned by or voted under the control of a director who at the time does not qualify as a disinterested director may not be voted, on the determination.</w:t>
      </w:r>
    </w:p>
    <w:p>
      <w:pPr>
        <w:spacing w:after="0" w:line="17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1A1A1A"/>
        </w:rPr>
        <w:t xml:space="preserve">Section 5. Advance of </w:t>
      </w:r>
      <w:r>
        <w:rPr>
          <w:rFonts w:ascii="Times New Roman" w:cs="Times New Roman" w:eastAsia="Times New Roman" w:hAnsi="Times New Roman"/>
          <w:sz w:val="22"/>
          <w:szCs w:val="22"/>
          <w:color w:val="333333"/>
        </w:rPr>
        <w:t>Costs, Charges and Expenses.</w:t>
      </w:r>
      <w:r>
        <w:rPr>
          <w:rFonts w:ascii="Times New Roman" w:cs="Times New Roman" w:eastAsia="Times New Roman" w:hAnsi="Times New Roman"/>
          <w:sz w:val="22"/>
          <w:szCs w:val="22"/>
          <w:color w:val="1A1A1A"/>
        </w:rPr>
        <w:t xml:space="preserve"> Costs, charges and expenses (including attorneys’ fees) incurred by an Indemnitee in defending a civil or criminal action, suit or proceeding shall be paid by the Company in advance of the final disposition of such action, suit or proceeding; provided that (a) such costs, charges and expenses are incurred in such Indemnitee’s capacity as a director or officer (and not in any other capacity in which service was or is rendered by such person while a director or officer), (b) such Indemnitee provides a written affirmation of the Indemnitee’s good faith belief that he or she met the relevant standard of conduct set forth in Section 1 or 2 of this Article V or that the proceeding involves conduct for which liability has been eliminated under a provision of the Articles of Incorporation of the Company as authorized by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-944880</wp:posOffset>
            </wp:positionV>
            <wp:extent cx="2277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2277745" cy="8890"/>
                    </a:xfrm>
                    <a:prstGeom prst="rect">
                      <a:avLst/>
                    </a:prstGeom>
                    <a:noFill/>
                  </pic:spPr>
                </pic:pic>
              </a:graphicData>
            </a:graphic>
          </wp:anchor>
        </w:drawing>
      </w:r>
    </w:p>
    <w:p>
      <w:pPr>
        <w:ind w:right="100"/>
        <w:spacing w:after="0" w:line="231" w:lineRule="auto"/>
        <w:rPr>
          <w:sz w:val="20"/>
          <w:szCs w:val="20"/>
          <w:color w:val="auto"/>
        </w:rPr>
      </w:pPr>
      <w:r>
        <w:rPr>
          <w:rFonts w:ascii="Times New Roman" w:cs="Times New Roman" w:eastAsia="Times New Roman" w:hAnsi="Times New Roman"/>
          <w:sz w:val="22"/>
          <w:szCs w:val="22"/>
          <w:color w:val="1A1A1A"/>
        </w:rPr>
        <w:t>47-1A-202.1(4) or the South Dakota Business Corporation Act (the “Act”), and (c) such Indemnitee provides an undertaking to repay all amounts so advanced, without limitation, in the event that it shall ultimately be determined that such Indemnitee is not entitled to be indemnified by the Company as authorized in this Article V. No advance of such costs, charges and expenses (including attorneys’ fees) shall be made by the Company unless authorized: (i) by the Board of Directors (A) if there are two or more disinterested directors, by a majority vote of all the disinterested directors, a majority of whom shall for such purpose constitute a quorum, or by a majority of the members of a committee of two or more disinterested directors appointed by such a vote, or (B) if there are fewer than two disinterested directors, by the vote necessary for action by the Board of Directors in accordance with §47-1A-824 of the Act, in which authorization directors who do not qualify as disinterested directors may participate, or (C) by the shareholders, but shares owned by or voted under the control of a director who at the time does not qualify as a disinterested director may not be voted, on the authorization. Such costs, charges and expenses incurred by other employees and agents may be so paid upon such terms and conditions, if any, as the majority of the directors deems appropriate. The majority of the directors may, in the manner set forth above, and upon approval of such director or officer of the Company, authorize the Company’s counsel to represent such person, in any action, suit or proceeding, whether or not the Company is a party to such action, suit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5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1A1A1A"/>
        </w:rPr>
        <w:t xml:space="preserve">Section 6. </w:t>
      </w:r>
      <w:r>
        <w:rPr>
          <w:rFonts w:ascii="Times New Roman" w:cs="Times New Roman" w:eastAsia="Times New Roman" w:hAnsi="Times New Roman"/>
          <w:sz w:val="21"/>
          <w:szCs w:val="21"/>
          <w:u w:val="single" w:color="auto"/>
          <w:color w:val="1A1A1A"/>
        </w:rPr>
        <w:t>Procedure of Indemnification</w:t>
      </w:r>
      <w:r>
        <w:rPr>
          <w:rFonts w:ascii="Times New Roman" w:cs="Times New Roman" w:eastAsia="Times New Roman" w:hAnsi="Times New Roman"/>
          <w:sz w:val="21"/>
          <w:szCs w:val="21"/>
          <w:color w:val="1A1A1A"/>
        </w:rPr>
        <w:t>. Subject to Section 4 of this Article V, any indemnification under Sections 1, 2 and 3, or advance of costs, charges and expenses under Section 5 of this Article V shall be made promptly, and in any event within 60 days, upon the written request of the Indemnitee. The right to indemnification or advances as granted by this Article V shall be enforceable by the Indemnitee in any court of competent jurisdiction, if the Company denies such request, in whole or in part, or if no disposition thereof is made within 60 days. Such Indemnitee’s costs and expenses incurred in connection with successfully establishing his right to indemnification, in whole or in part, in any such action shall also be indemnified by the Company. It shall be a defense to any such action (other than an action brought to enforce a claim for the advance of costs, charges and expenses under Section 5 of this Article V where the required undertaking, if any, has been received by the Company) that the claimant has not met the standard of conduct set forth in Sections 1 or 2 of this Article V, but the burden of proving such defense shall be on the Company. Neither the failure of the Company (including its Board of Directors, its independent legal counsel and its shareholders) to have made a determination prior to the commencement of such action that indemnification of the claimant is proper in the circumstances because he has met the applicable standard of conduct set forth in Sections 1 or 2 of this Article V, nor the fact that there has been an actual determination by the Company (including its Board of Directors, its independent legal counsel and its shareholders) that the claimant has not met such applicable standard of conduct, shall be a defense to the action or create a presumption that the claimant has not met the applicable standards of conduct.</w:t>
      </w:r>
    </w:p>
    <w:p>
      <w:pPr>
        <w:spacing w:after="0" w:line="178"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1A1A1A"/>
        </w:rPr>
        <w:t xml:space="preserve">Section 7. </w:t>
      </w:r>
      <w:r>
        <w:rPr>
          <w:rFonts w:ascii="Times New Roman" w:cs="Times New Roman" w:eastAsia="Times New Roman" w:hAnsi="Times New Roman"/>
          <w:sz w:val="22"/>
          <w:szCs w:val="22"/>
          <w:u w:val="single" w:color="auto"/>
          <w:color w:val="2A2A2A"/>
        </w:rPr>
        <w:t>Settlement</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The Company shall not be obligated to reimburse the costs of any settlement to which it has not agreed. If in any action, suit or proceeding, including any appeal, within the scope of Sections 1 or 2 of this Article V, the person to be indemnified shall have unreasonably failed to enter into a settlement thereof offered or assented to by the opposing party or parties in such action, suit or proceeding, then, notwithstanding any other provision hereof, the indemnification obligation of the Company to such person in connection with such action, suit or proceeding shall not exceed the total of the amount at which settlement could have been made and the expenses incurred by such person prior to the time such settlement could reasonably have been effected.</w:t>
      </w:r>
    </w:p>
    <w:p>
      <w:pPr>
        <w:spacing w:after="0" w:line="183"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8. </w:t>
      </w:r>
      <w:r>
        <w:rPr>
          <w:rFonts w:ascii="Times New Roman" w:cs="Times New Roman" w:eastAsia="Times New Roman" w:hAnsi="Times New Roman"/>
          <w:sz w:val="22"/>
          <w:szCs w:val="22"/>
          <w:u w:val="single" w:color="auto"/>
          <w:color w:val="2A2A2A"/>
        </w:rPr>
        <w:t>Subsequent Amendment</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No amendment, termination or repeal of this Article V or of relevant provisions of the South Dakota corporation law or any other applicable laws shall affect or diminish in any way the rights of any director or officer of the Company to indemnification under the provisions hereof with respect to any action, suit or proceeding arising out of, or relating to, any actions, transactions or facts occurring prior to the final adoption of such amendment, termination or repeal.</w:t>
      </w:r>
    </w:p>
    <w:p>
      <w:pPr>
        <w:spacing w:after="0" w:line="177"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1"/>
          <w:szCs w:val="21"/>
          <w:color w:val="1A1A1A"/>
        </w:rPr>
        <w:t xml:space="preserve">Section 9. </w:t>
      </w:r>
      <w:r>
        <w:rPr>
          <w:rFonts w:ascii="Times New Roman" w:cs="Times New Roman" w:eastAsia="Times New Roman" w:hAnsi="Times New Roman"/>
          <w:sz w:val="21"/>
          <w:szCs w:val="21"/>
          <w:u w:val="single" w:color="auto"/>
          <w:color w:val="1A1A1A"/>
        </w:rPr>
        <w:t>Other Rights. Continuation of Right to Indemnification</w:t>
      </w:r>
      <w:r>
        <w:rPr>
          <w:rFonts w:ascii="Times New Roman" w:cs="Times New Roman" w:eastAsia="Times New Roman" w:hAnsi="Times New Roman"/>
          <w:sz w:val="21"/>
          <w:szCs w:val="21"/>
          <w:color w:val="1A1A1A"/>
        </w:rPr>
        <w:t>. The indemnification provided by this Article V shall not be deemed exclusive of any other rights to which a director, officer, employee or agent seeking indemnification may be entitled under any law (common or statutory), agreement, vote of shareholders or disinterested directors or otherwise, both as to action in his official capacity and as to action in any other capacity while holding office or while employed by or acting as agent for the Company, and shall continue as to a person who has ceased to be a director, officer, employee or agent, and shall inure to the benefit of the estate, heirs, executors and administrators of such person. Nothing contained in this Article V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9" w:name="page70"/>
    <w:bookmarkEnd w:id="69"/>
    <w:p>
      <w:pPr>
        <w:spacing w:after="0" w:line="3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1A1A1A"/>
        </w:rPr>
        <w:t>deemed to prohibit, and the Company is specifically authorized to enter into, agreements with officers and directors providing indemnification rights and procedures different from those set forth herein. All rights to indemnification under this Article V shall be deemed to be a contract between the Company and each director or officer of the Company who serves or served in such capacity at any time while this Article V is in effect. This Article V shall be binding upon any successor corporation to this Company, whether by way of acquisition, merger, consolidation or otherwise.</w:t>
      </w:r>
    </w:p>
    <w:p>
      <w:pPr>
        <w:spacing w:after="0" w:line="177"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For purposes of this Article V, references to “other enterprises” shall include, but are not limited to, employee benefit plans; references to “fines” shall include, but are not limited to, any excise taxes assessed on a person with respect to an employee benefit plan; references to “serving at the request of the Company” shall include, but are not limited to, any service as a director, officer, employee or agent of the Company which imposes duties on, or involves service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“in the best interest the Company” and “not opposed to the best interests of the Company.”</w:t>
      </w:r>
    </w:p>
    <w:p>
      <w:pPr>
        <w:spacing w:after="0" w:line="178"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1A1A1A"/>
        </w:rPr>
        <w:t xml:space="preserve">Section 10. </w:t>
      </w:r>
      <w:r>
        <w:rPr>
          <w:rFonts w:ascii="Times New Roman" w:cs="Times New Roman" w:eastAsia="Times New Roman" w:hAnsi="Times New Roman"/>
          <w:sz w:val="22"/>
          <w:szCs w:val="22"/>
          <w:u w:val="single" w:color="auto"/>
          <w:color w:val="1A1A1A"/>
        </w:rPr>
        <w:t>Savings Clause</w:t>
      </w:r>
      <w:r>
        <w:rPr>
          <w:rFonts w:ascii="Times New Roman" w:cs="Times New Roman" w:eastAsia="Times New Roman" w:hAnsi="Times New Roman"/>
          <w:sz w:val="22"/>
          <w:szCs w:val="22"/>
          <w:color w:val="1A1A1A"/>
        </w:rPr>
        <w:t>. If this Article V or any portion hereof shall be invalidated on any ground by any court of competent jurisdiction, then the Company shall nevertheless indemnify each director or officer of the Company as to any costs, charges, expenses (including attorneys’ fees), judgments, fines and amounts paid in settlement with respect to any action, suit or proceeding, whether civil, criminal, administrative or investigative, including an action by or in the right of the Company, to the full extent permitted by any applicable portion of this Article V that shall not have been invalidated and to the full extent permitted by applicable law.</w:t>
      </w:r>
    </w:p>
    <w:p>
      <w:pPr>
        <w:spacing w:after="0" w:line="181"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11. Subsequent </w:t>
      </w:r>
      <w:r>
        <w:rPr>
          <w:rFonts w:ascii="Times New Roman" w:cs="Times New Roman" w:eastAsia="Times New Roman" w:hAnsi="Times New Roman"/>
          <w:sz w:val="22"/>
          <w:szCs w:val="22"/>
          <w:color w:val="3B3B3B"/>
        </w:rPr>
        <w:t>Legislation.</w:t>
      </w:r>
      <w:r>
        <w:rPr>
          <w:rFonts w:ascii="Times New Roman" w:cs="Times New Roman" w:eastAsia="Times New Roman" w:hAnsi="Times New Roman"/>
          <w:sz w:val="22"/>
          <w:szCs w:val="22"/>
          <w:color w:val="1A1A1A"/>
        </w:rPr>
        <w:t xml:space="preserve"> If the South Dakota law is amended after the adoption of this Article V to further expand the indemnification permitted to directors and officers of the Company, then the Company shall indemnify such persons to the fullest extent permitted by the South Dakota law,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-343535</wp:posOffset>
            </wp:positionV>
            <wp:extent cx="12839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VI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CAPITAL STOCK</w:t>
      </w:r>
    </w:p>
    <w:p>
      <w:pPr>
        <w:ind w:right="20" w:firstLine="749"/>
        <w:spacing w:after="0" w:line="232"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Stock Certificates</w:t>
      </w:r>
      <w:r>
        <w:rPr>
          <w:rFonts w:ascii="Times New Roman" w:cs="Times New Roman" w:eastAsia="Times New Roman" w:hAnsi="Times New Roman"/>
          <w:sz w:val="22"/>
          <w:szCs w:val="22"/>
          <w:color w:val="1A1A1A"/>
        </w:rPr>
        <w:t>. Certificates for stock of the Company shall be in such form as the Board of Directors may from time to time prescribe and shall be signed by the President or a Vice President and by a Treasurer or an Assistant Treasurer or the Secretary or an Assistant Secretary. Shares do not need to be represented by certificates. If certificates are signed by a transfer agent, acting on behalf of the Company, or registered by a registrar, the signatures of the officers of the Company may be facsimile. The Company, through its officers, may cause certificates to be issued and delivered bearing facsimile signatures of persons even though at the time of the issuance and delivery of such certificates, any of such persons may no longer be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5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1A1A1A"/>
        </w:rPr>
        <w:t xml:space="preserve">Section 2. </w:t>
      </w:r>
      <w:r>
        <w:rPr>
          <w:rFonts w:ascii="Times New Roman" w:cs="Times New Roman" w:eastAsia="Times New Roman" w:hAnsi="Times New Roman"/>
          <w:sz w:val="21"/>
          <w:szCs w:val="21"/>
          <w:u w:val="single" w:color="auto"/>
          <w:color w:val="2A2A2A"/>
        </w:rPr>
        <w:t>Transfer Agent</w:t>
      </w:r>
      <w:r>
        <w:rPr>
          <w:rFonts w:ascii="Times New Roman" w:cs="Times New Roman" w:eastAsia="Times New Roman" w:hAnsi="Times New Roman"/>
          <w:sz w:val="21"/>
          <w:szCs w:val="21"/>
          <w:color w:val="2A2A2A"/>
        </w:rPr>
        <w:t>.</w:t>
      </w:r>
      <w:r>
        <w:rPr>
          <w:rFonts w:ascii="Times New Roman" w:cs="Times New Roman" w:eastAsia="Times New Roman" w:hAnsi="Times New Roman"/>
          <w:sz w:val="21"/>
          <w:szCs w:val="21"/>
          <w:color w:val="1A1A1A"/>
        </w:rPr>
        <w:t xml:space="preserve"> The Board of Directors shall have power to appoint one or more transfer agents and registrars for the transfer and registration of certificates of stock of any class and may require that stock certificates shall be countersigned and registered by one or more of such transfer agents and registrars. The transfer agent and registrar may be the same person.</w:t>
      </w:r>
    </w:p>
    <w:p>
      <w:pPr>
        <w:spacing w:after="0" w:line="157" w:lineRule="exact"/>
        <w:rPr>
          <w:sz w:val="20"/>
          <w:szCs w:val="20"/>
          <w:color w:val="auto"/>
        </w:rPr>
      </w:pPr>
    </w:p>
    <w:p>
      <w:pPr>
        <w:ind w:right="48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u w:val="single" w:color="auto"/>
          <w:color w:val="1A1A1A"/>
        </w:rPr>
        <w:t>Transfer of Stock</w:t>
      </w:r>
      <w:r>
        <w:rPr>
          <w:rFonts w:ascii="Times New Roman" w:cs="Times New Roman" w:eastAsia="Times New Roman" w:hAnsi="Times New Roman"/>
          <w:sz w:val="22"/>
          <w:szCs w:val="22"/>
          <w:color w:val="1A1A1A"/>
        </w:rPr>
        <w:t>. Shares of the capital stock of the Company shall be transferable on the books of the Company only by the holder of record thereof in person or by a duly authorized attorney upon surrender and cancellation of certificates for a like number of shares properly endorsed.</w:t>
      </w:r>
    </w:p>
    <w:p>
      <w:pPr>
        <w:spacing w:after="0" w:line="173"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4. </w:t>
      </w:r>
      <w:r>
        <w:rPr>
          <w:rFonts w:ascii="Times New Roman" w:cs="Times New Roman" w:eastAsia="Times New Roman" w:hAnsi="Times New Roman"/>
          <w:sz w:val="22"/>
          <w:szCs w:val="22"/>
          <w:u w:val="single" w:color="auto"/>
          <w:color w:val="2A2A2A"/>
        </w:rPr>
        <w:t>Lost Certificate</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In case any certificates of the capital stock of the Company shall be lost, stolen or destroyed, the Company may cause replacement certificates to be issued upon such proof of the fact and such indemnity to be given to it and to its transfer agent and registrar, if any, as shall be deemed necessary or advisable by it.</w:t>
      </w:r>
    </w:p>
    <w:p>
      <w:pPr>
        <w:spacing w:after="0" w:line="173"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5. </w:t>
      </w:r>
      <w:r>
        <w:rPr>
          <w:rFonts w:ascii="Times New Roman" w:cs="Times New Roman" w:eastAsia="Times New Roman" w:hAnsi="Times New Roman"/>
          <w:sz w:val="22"/>
          <w:szCs w:val="22"/>
          <w:u w:val="single" w:color="auto"/>
          <w:color w:val="2A2A2A"/>
        </w:rPr>
        <w:t>Holder</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of</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A2A2A"/>
        </w:rPr>
        <w:t>Record</w:t>
      </w: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color w:val="1A1A1A"/>
        </w:rPr>
        <w:t xml:space="preserve"> The Company shall be entitled to treat the holder of record of any share or shares of stock as the holder thereof in fact and shall not be bound to recognize any equitable or other claim to or interest in such shares on the part of any other person, whether or not it shall have express or other notice thereof, except as otherwise expressly provided by law. The expression “stockholder” or “shareholders” whenever used in these Bylaws shall be deemed to mean only the holder or holders of record of stock.</w:t>
      </w:r>
    </w:p>
    <w:p>
      <w:pPr>
        <w:spacing w:after="0" w:line="177"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21"/>
          <w:szCs w:val="21"/>
          <w:color w:val="1A1A1A"/>
        </w:rPr>
        <w:t xml:space="preserve">Section 6. </w:t>
      </w:r>
      <w:r>
        <w:rPr>
          <w:rFonts w:ascii="Times New Roman" w:cs="Times New Roman" w:eastAsia="Times New Roman" w:hAnsi="Times New Roman"/>
          <w:sz w:val="21"/>
          <w:szCs w:val="21"/>
          <w:u w:val="single" w:color="auto"/>
          <w:color w:val="2A2A2A"/>
        </w:rPr>
        <w:t>Closing of Transfer Books</w:t>
      </w:r>
      <w:r>
        <w:rPr>
          <w:rFonts w:ascii="Times New Roman" w:cs="Times New Roman" w:eastAsia="Times New Roman" w:hAnsi="Times New Roman"/>
          <w:sz w:val="21"/>
          <w:szCs w:val="21"/>
          <w:color w:val="2A2A2A"/>
        </w:rPr>
        <w:t>.</w:t>
      </w:r>
      <w:r>
        <w:rPr>
          <w:rFonts w:ascii="Times New Roman" w:cs="Times New Roman" w:eastAsia="Times New Roman" w:hAnsi="Times New Roman"/>
          <w:sz w:val="21"/>
          <w:szCs w:val="21"/>
          <w:color w:val="1A1A1A"/>
        </w:rPr>
        <w:t xml:space="preserve"> The Board of Directors shall have power to close the stock transfer books of the Company for a stated period but not to exceed, in any case, fifty days, and in case of a meeting of shareholders not less than ten days, preceding the date of any meeting of shareholders, or the date for payment of any dividend, or the date for the allotment of rights, or the date when any change or conversion or exchange of capital stock shall go into effect, or in order to make a determination of shareholders for any other proper purpose; provided, however, that in lieu of closing the stock transfer books, the Board of Directors may fix in advance a date as the record date for any such determination of shareholders, not less than ten days prior to the date on which the particular action, requiring such determination of shareholders, is to be taken; and in such case only such shareholders as shall be shareholders of record on the date so fixed shall be entitled to such notice of, and to vote at, such meeting, or to receive payment of such dividend, or to receive such allotment of rights, or to exercise such rights, as the case may be, notwithstanding any transfer of any stock on the books of the Company after any such record date fixed as aforesaid. When a determination of shareholders entitled to vote at any meeting of shareholders has been made as provided in this section, such determination shall apply to any adjournment thereof.</w:t>
      </w:r>
    </w:p>
    <w:p>
      <w:pPr>
        <w:spacing w:after="0" w:line="174"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1A1A1A"/>
        </w:rPr>
        <w:t xml:space="preserve">Section 7. Closing </w:t>
      </w:r>
      <w:r>
        <w:rPr>
          <w:rFonts w:ascii="Times New Roman" w:cs="Times New Roman" w:eastAsia="Times New Roman" w:hAnsi="Times New Roman"/>
          <w:sz w:val="22"/>
          <w:szCs w:val="22"/>
          <w:color w:val="2A2A2A"/>
        </w:rPr>
        <w:t>of Transfer Books to Authorize</w:t>
      </w:r>
      <w:r>
        <w:rPr>
          <w:rFonts w:ascii="Times New Roman" w:cs="Times New Roman" w:eastAsia="Times New Roman" w:hAnsi="Times New Roman"/>
          <w:sz w:val="22"/>
          <w:szCs w:val="22"/>
          <w:color w:val="1A1A1A"/>
        </w:rPr>
        <w:t xml:space="preserve"> Increase in Indebtedness </w:t>
      </w:r>
      <w:r>
        <w:rPr>
          <w:rFonts w:ascii="Times New Roman" w:cs="Times New Roman" w:eastAsia="Times New Roman" w:hAnsi="Times New Roman"/>
          <w:sz w:val="22"/>
          <w:szCs w:val="22"/>
          <w:color w:val="2A2A2A"/>
        </w:rPr>
        <w:t>and Capital</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Stock</w:t>
      </w:r>
      <w:r>
        <w:rPr>
          <w:rFonts w:ascii="Times New Roman" w:cs="Times New Roman" w:eastAsia="Times New Roman" w:hAnsi="Times New Roman"/>
          <w:sz w:val="22"/>
          <w:szCs w:val="22"/>
          <w:color w:val="1A1A1A"/>
        </w:rPr>
        <w:t>. Notwithstanding Section 6 of this Article and in order to comply with Section 8 of Article XVII of the South Dakota Constitution, the notice to be given shareholders for a meeting at which a proposal to increase the Company’s authorized indebtedness or capital stock is to be considered shall be given at least sixty days prior to the meeting and the record date for the determination of shareholders eligible to vote at such meeting may be set by the Board sixty or more days prior to the said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1062990</wp:posOffset>
            </wp:positionH>
            <wp:positionV relativeFrom="paragraph">
              <wp:posOffset>-649605</wp:posOffset>
            </wp:positionV>
            <wp:extent cx="42621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42621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2"/>
          <w:szCs w:val="22"/>
          <w:color w:val="1A1A1A"/>
        </w:rPr>
        <w:t>ARTICLE VII</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1A1A1A"/>
        </w:rPr>
        <w:t>CONTRACTS, LOANS, CHECKS AND DEPOSITS</w:t>
      </w:r>
    </w:p>
    <w:p>
      <w:pPr>
        <w:spacing w:after="0" w:line="182"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Contracts</w:t>
      </w:r>
      <w:r>
        <w:rPr>
          <w:rFonts w:ascii="Times New Roman" w:cs="Times New Roman" w:eastAsia="Times New Roman" w:hAnsi="Times New Roman"/>
          <w:sz w:val="22"/>
          <w:szCs w:val="22"/>
          <w:color w:val="1A1A1A"/>
        </w:rPr>
        <w:t>. The Board of Directors may authorize any officer or officers, agent or agents, to enter into any contract or execute and deliver any instrument in the name of and on behalf of the Company, and such authority may be general or confined to specific instances.</w:t>
      </w:r>
    </w:p>
    <w:p>
      <w:pPr>
        <w:spacing w:after="0" w:line="173" w:lineRule="exact"/>
        <w:rPr>
          <w:sz w:val="20"/>
          <w:szCs w:val="20"/>
          <w:color w:val="auto"/>
        </w:rPr>
      </w:pPr>
    </w:p>
    <w:p>
      <w:pPr>
        <w:jc w:val="both"/>
        <w:ind w:right="44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2. </w:t>
      </w:r>
      <w:r>
        <w:rPr>
          <w:rFonts w:ascii="Times New Roman" w:cs="Times New Roman" w:eastAsia="Times New Roman" w:hAnsi="Times New Roman"/>
          <w:sz w:val="22"/>
          <w:szCs w:val="22"/>
          <w:u w:val="single" w:color="auto"/>
          <w:color w:val="1A1A1A"/>
        </w:rPr>
        <w:t>Loans</w:t>
      </w:r>
      <w:r>
        <w:rPr>
          <w:rFonts w:ascii="Times New Roman" w:cs="Times New Roman" w:eastAsia="Times New Roman" w:hAnsi="Times New Roman"/>
          <w:sz w:val="22"/>
          <w:szCs w:val="22"/>
          <w:color w:val="1A1A1A"/>
        </w:rPr>
        <w:t>. No loans shall be contracted on behalf of the Company and no evidences of indebtedness shall be issued in its name unless authorized by a resolution of the Board of Directors. Such authority may be general or confined to specific instances.</w:t>
      </w:r>
    </w:p>
    <w:p>
      <w:pPr>
        <w:spacing w:after="0" w:line="173"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u w:val="single" w:color="auto"/>
          <w:color w:val="1A1A1A"/>
        </w:rPr>
        <w:t>Checks,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F2F2F"/>
        </w:rPr>
        <w:t>Drafts.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etc</w:t>
      </w:r>
      <w:r>
        <w:rPr>
          <w:rFonts w:ascii="Times New Roman" w:cs="Times New Roman" w:eastAsia="Times New Roman" w:hAnsi="Times New Roman"/>
          <w:sz w:val="22"/>
          <w:szCs w:val="22"/>
          <w:color w:val="1A1A1A"/>
        </w:rPr>
        <w:t>. All checks, drafts, or other orders for the payment of money, notes or other evidences of indebtedness issued in the name of the Company shall be signed by such officer or officers, agent or agents of the Company and in such manner as shall from time to time be determined by resolution of the Board of Directors.</w:t>
      </w:r>
    </w:p>
    <w:p>
      <w:pPr>
        <w:spacing w:after="0" w:line="17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4. </w:t>
      </w:r>
      <w:r>
        <w:rPr>
          <w:rFonts w:ascii="Times New Roman" w:cs="Times New Roman" w:eastAsia="Times New Roman" w:hAnsi="Times New Roman"/>
          <w:sz w:val="22"/>
          <w:szCs w:val="22"/>
          <w:u w:val="single" w:color="auto"/>
          <w:color w:val="1A1A1A"/>
        </w:rPr>
        <w:t>Deposits</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2F2F2F"/>
        </w:rPr>
        <w:t>and</w:t>
      </w:r>
      <w:r>
        <w:rPr>
          <w:rFonts w:ascii="Times New Roman" w:cs="Times New Roman" w:eastAsia="Times New Roman" w:hAnsi="Times New Roman"/>
          <w:sz w:val="22"/>
          <w:szCs w:val="22"/>
          <w:color w:val="1A1A1A"/>
        </w:rPr>
        <w:t xml:space="preserve"> </w:t>
      </w:r>
      <w:r>
        <w:rPr>
          <w:rFonts w:ascii="Times New Roman" w:cs="Times New Roman" w:eastAsia="Times New Roman" w:hAnsi="Times New Roman"/>
          <w:sz w:val="22"/>
          <w:szCs w:val="22"/>
          <w:u w:val="single" w:color="auto"/>
          <w:color w:val="1A1A1A"/>
        </w:rPr>
        <w:t>Investments</w:t>
      </w:r>
      <w:r>
        <w:rPr>
          <w:rFonts w:ascii="Times New Roman" w:cs="Times New Roman" w:eastAsia="Times New Roman" w:hAnsi="Times New Roman"/>
          <w:sz w:val="22"/>
          <w:szCs w:val="22"/>
          <w:color w:val="1A1A1A"/>
        </w:rPr>
        <w:t>. All funds of the Company not otherwise employed shall be deposited from time to time to the credit of the Company in such banks, trust companies or other depositories as the Board of Directors or officers of the Company designated by the Board of Directors may select; or be invested as authorized by the Board of Directors. Such authority may be general or confined to specific instances.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ARTICLE VIII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A1A1A"/>
        </w:rPr>
        <w:t>MISCELLANEOUS</w:t>
      </w:r>
    </w:p>
    <w:p>
      <w:pPr>
        <w:ind w:right="120" w:firstLine="749"/>
        <w:spacing w:after="0" w:line="235" w:lineRule="auto"/>
        <w:rPr>
          <w:sz w:val="20"/>
          <w:szCs w:val="20"/>
          <w:color w:val="auto"/>
        </w:rPr>
      </w:pPr>
      <w:r>
        <w:rPr>
          <w:rFonts w:ascii="Times New Roman" w:cs="Times New Roman" w:eastAsia="Times New Roman" w:hAnsi="Times New Roman"/>
          <w:sz w:val="22"/>
          <w:szCs w:val="22"/>
          <w:color w:val="1A1A1A"/>
        </w:rPr>
        <w:t xml:space="preserve">Section 1. </w:t>
      </w:r>
      <w:r>
        <w:rPr>
          <w:rFonts w:ascii="Times New Roman" w:cs="Times New Roman" w:eastAsia="Times New Roman" w:hAnsi="Times New Roman"/>
          <w:sz w:val="22"/>
          <w:szCs w:val="22"/>
          <w:u w:val="single" w:color="auto"/>
          <w:color w:val="1A1A1A"/>
        </w:rPr>
        <w:t>Offices</w:t>
      </w:r>
      <w:r>
        <w:rPr>
          <w:rFonts w:ascii="Times New Roman" w:cs="Times New Roman" w:eastAsia="Times New Roman" w:hAnsi="Times New Roman"/>
          <w:sz w:val="22"/>
          <w:szCs w:val="22"/>
          <w:color w:val="1A1A1A"/>
        </w:rPr>
        <w:t>. The principal office of the Company shall be in the City of Rapid City, County of Pennington, State of South Dakota. The Company may also have offices at such other places within or without the State of South Dakota as the Board of Directors may from time to time designate or as the business of the Company may require.</w:t>
      </w:r>
    </w:p>
    <w:p>
      <w:pPr>
        <w:spacing w:after="0" w:line="178"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1A1A1A"/>
        </w:rPr>
        <w:t xml:space="preserve">Section 2. </w:t>
      </w:r>
      <w:r>
        <w:rPr>
          <w:rFonts w:ascii="Times New Roman" w:cs="Times New Roman" w:eastAsia="Times New Roman" w:hAnsi="Times New Roman"/>
          <w:sz w:val="22"/>
          <w:szCs w:val="22"/>
          <w:u w:val="single" w:color="auto"/>
          <w:color w:val="1A1A1A"/>
        </w:rPr>
        <w:t>Seal</w:t>
      </w:r>
      <w:r>
        <w:rPr>
          <w:rFonts w:ascii="Times New Roman" w:cs="Times New Roman" w:eastAsia="Times New Roman" w:hAnsi="Times New Roman"/>
          <w:sz w:val="22"/>
          <w:szCs w:val="22"/>
          <w:color w:val="1A1A1A"/>
        </w:rPr>
        <w:t>. The corporate seal shall have inscribed thereon the name of the Company and the words “Corporate Seal—2000—South Dakota.”</w:t>
      </w:r>
    </w:p>
    <w:p>
      <w:pPr>
        <w:spacing w:after="0" w:line="158"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1A1A1A"/>
        </w:rPr>
        <w:t xml:space="preserve">Section 3. </w:t>
      </w:r>
      <w:r>
        <w:rPr>
          <w:rFonts w:ascii="Times New Roman" w:cs="Times New Roman" w:eastAsia="Times New Roman" w:hAnsi="Times New Roman"/>
          <w:sz w:val="22"/>
          <w:szCs w:val="22"/>
          <w:u w:val="single" w:color="auto"/>
          <w:color w:val="1A1A1A"/>
        </w:rPr>
        <w:t>Audit</w:t>
      </w:r>
      <w:r>
        <w:rPr>
          <w:rFonts w:ascii="Times New Roman" w:cs="Times New Roman" w:eastAsia="Times New Roman" w:hAnsi="Times New Roman"/>
          <w:sz w:val="22"/>
          <w:szCs w:val="22"/>
          <w:color w:val="1A1A1A"/>
        </w:rPr>
        <w:t>. The books of account of the Company shall be audited annually by an independent firm of public accountants who shall be appointed by the Board of Directors and ratified by the shareholders at each annual meeting. Such auditors shall submit to the Board of Directors each year certified financial statements of the Company for the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22"/>
          <w:szCs w:val="22"/>
          <w:color w:val="1A1A1A"/>
        </w:rPr>
        <w:t>ARTICLE IX</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1A1A1A"/>
        </w:rPr>
        <w:t>AMENDMENTS</w:t>
      </w:r>
    </w:p>
    <w:p>
      <w:pPr>
        <w:ind w:right="60" w:firstLine="749"/>
        <w:spacing w:after="0" w:line="235" w:lineRule="auto"/>
        <w:rPr>
          <w:sz w:val="20"/>
          <w:szCs w:val="20"/>
          <w:color w:val="auto"/>
        </w:rPr>
      </w:pPr>
      <w:r>
        <w:rPr>
          <w:rFonts w:ascii="Times New Roman" w:cs="Times New Roman" w:eastAsia="Times New Roman" w:hAnsi="Times New Roman"/>
          <w:sz w:val="22"/>
          <w:szCs w:val="22"/>
          <w:color w:val="1A1A1A"/>
        </w:rPr>
        <w:t>These Bylaws may be altered, amended or repealed at any meeting of the Board of Directors by the affirmative vote of a majority of the whole Board; provided, no alteration or amendment may be in conflict with any provision of the Articles of Incorporation.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EXCLUSIVE FORUM</w:t>
      </w:r>
    </w:p>
    <w:p>
      <w:pPr>
        <w:spacing w:after="0" w:line="23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Exclusive Forum</w:t>
      </w:r>
      <w:r>
        <w:rPr>
          <w:rFonts w:ascii="Times New Roman" w:cs="Times New Roman" w:eastAsia="Times New Roman" w:hAnsi="Times New Roman"/>
          <w:sz w:val="21"/>
          <w:szCs w:val="21"/>
          <w:color w:val="auto"/>
        </w:rPr>
        <w:t>. (a) Unless the Company consents in writing to the selection of an alternative forum, the state or federal courts in Pennington County, South Dakota shall be the sole and exclusive forums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South Dakota Business Corporation Act, the Articles of Incorporation, or these Bylaws (as any may be amended from time to time), or (iv) any action asserting a claim governed by the internal affairs doctrine, in each case subject to said courts having personal jurisdiction over the indispensable parties named as defendants therein; provided, that, if and only if the state or federal courts in Pennington County, South Dakota dismiss any such action for lack of subject matter jurisdiction, such action may be brought in another state court of the State of South Dakota. (b) Further, unless the Company consents in writing to the selection of an alternative forum, the United States District Courts shall be the sole and exclusive forum for the resolution of any complaint asserting a cause of action arising under the Securities Act of 1933.</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Foreign Actions</w:t>
      </w:r>
      <w:r>
        <w:rPr>
          <w:rFonts w:ascii="Times New Roman" w:cs="Times New Roman" w:eastAsia="Times New Roman" w:hAnsi="Times New Roman"/>
          <w:sz w:val="22"/>
          <w:szCs w:val="22"/>
          <w:color w:val="auto"/>
        </w:rPr>
        <w:t>. If any action the subject matter of which is within the scope of Section 1(a) of this Article Ten is filed in a court other than a state or federal court in the Pennington County, South Dakota (a “Foreign Action”) by any shareholder, such shareholder shall be deemed to have consented to: (a) the personal jurisdiction of any and all state or federal courts in the State of South Dakota in connection with any action brought in any such court to enforce this Article X; and (b) having service of process made upon such shareholder in any such action by service upon such shareholder’s counsel in the Foreign Action as agent for such shareholder.</w:t>
      </w:r>
    </w:p>
    <w:p>
      <w:pPr>
        <w:spacing w:after="0" w:line="20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Article X shall be held to be invalid, illegal or unenforceable as applied to any person or circumstance for any reason whatsoever, then, to the fullest extent permitted by law, the validity, legality and enforceability of such provision in any other circumstance and of the remaining provisions of this Article X (including, without limitation, each portion of any sentence of this Article X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1A1A1A"/>
        </w:rPr>
        <w:t>Dated this 18th day of August,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Todd L. Brink</w:t>
      </w:r>
    </w:p>
    <w:p>
      <w:pPr>
        <w:spacing w:after="0" w:line="14"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22"/>
          <w:szCs w:val="22"/>
          <w:color w:val="2D2B2B"/>
        </w:rPr>
        <w:t xml:space="preserve">Todd L. Brink, Interim </w:t>
      </w:r>
      <w:r>
        <w:rPr>
          <w:rFonts w:ascii="Times New Roman" w:cs="Times New Roman" w:eastAsia="Times New Roman" w:hAnsi="Times New Roman"/>
          <w:sz w:val="22"/>
          <w:szCs w:val="22"/>
          <w:color w:val="1A1A1A"/>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874395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8"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6, 2025</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6, 2025</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2025,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6, 2025</w:t>
      </w:r>
    </w:p>
    <w:p>
      <w:pPr>
        <w:spacing w:after="0" w:line="22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2025,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6, 2025</w:t>
      </w:r>
    </w:p>
    <w:p>
      <w:pPr>
        <w:spacing w:after="0" w:line="19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2025.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40" w:hanging="518"/>
        <w:spacing w:after="0" w:line="256" w:lineRule="auto"/>
        <w:tabs>
          <w:tab w:leader="none" w:pos="9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00" w:hanging="518"/>
        <w:spacing w:after="0" w:line="256" w:lineRule="auto"/>
        <w:tabs>
          <w:tab w:leader="none" w:pos="9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three months ended September 30, 2025, and legal actions pending before the Federal Mine Safety and Health Review Commission (FMSHRC), together with the Administrative Law Judges thereof, for Wyodak Mine, our only mining complex. All citations were abated within 24 hours of issue.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240" w:type="dxa"/>
            <w:vAlign w:val="bottom"/>
          </w:tcPr>
          <w:p>
            <w:pPr>
              <w:jc w:val="center"/>
              <w:ind w:left="16"/>
              <w:spacing w:after="0"/>
              <w:rPr>
                <w:sz w:val="20"/>
                <w:szCs w:val="20"/>
                <w:color w:val="auto"/>
              </w:rPr>
            </w:pPr>
            <w:r>
              <w:rPr>
                <w:rFonts w:ascii="Arial" w:cs="Arial" w:eastAsia="Arial" w:hAnsi="Arial"/>
                <w:sz w:val="13"/>
                <w:szCs w:val="13"/>
                <w:b w:val="1"/>
                <w:bCs w:val="1"/>
                <w:color w:val="auto"/>
                <w:w w:val="95"/>
              </w:rPr>
              <w:t>Mine Act Section</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4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5"/>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Mine Act</w:t>
            </w: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06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8"/>
              </w:rPr>
              <w:t>Mine/ MSHA</w:t>
            </w:r>
          </w:p>
        </w:tc>
        <w:tc>
          <w:tcPr>
            <w:tcW w:w="124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8"/>
              </w:rPr>
              <w:t>issued during</w:t>
            </w: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900" w:type="dxa"/>
            <w:vAlign w:val="bottom"/>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ind w:right="16"/>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1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Section 104(d) Section 110(b)</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12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5"/>
              </w:rPr>
              <w:t>ended September</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298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w w:val="98"/>
              </w:rPr>
              <w:t>(2) Violations Danger Orders of Proposed MSHA</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Period (#)</w:t>
            </w:r>
          </w:p>
        </w:tc>
        <w:tc>
          <w:tcPr>
            <w:tcW w:w="74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53"/>
        </w:trPr>
        <w:tc>
          <w:tcPr>
            <w:tcW w:w="11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Number</w:t>
            </w:r>
          </w:p>
        </w:tc>
        <w:tc>
          <w:tcPr>
            <w:tcW w:w="1240" w:type="dxa"/>
            <w:vAlign w:val="bottom"/>
          </w:tcPr>
          <w:p>
            <w:pPr>
              <w:jc w:val="center"/>
              <w:ind w:left="56"/>
              <w:spacing w:after="0"/>
              <w:rPr>
                <w:sz w:val="20"/>
                <w:szCs w:val="20"/>
                <w:color w:val="auto"/>
              </w:rPr>
            </w:pPr>
            <w:r>
              <w:rPr>
                <w:rFonts w:ascii="Arial" w:cs="Arial" w:eastAsia="Arial" w:hAnsi="Arial"/>
                <w:sz w:val="13"/>
                <w:szCs w:val="13"/>
                <w:b w:val="1"/>
                <w:bCs w:val="1"/>
                <w:color w:val="auto"/>
                <w:w w:val="94"/>
              </w:rPr>
              <w:t>30, 2025</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0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Wyodak Mine -</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4"/>
                <w:szCs w:val="14"/>
                <w:color w:val="auto"/>
              </w:rPr>
              <w:t>4800083</w:t>
            </w:r>
          </w:p>
        </w:tc>
        <w:tc>
          <w:tcPr>
            <w:tcW w:w="1240" w:type="dxa"/>
            <w:vAlign w:val="bottom"/>
          </w:tcPr>
          <w:p>
            <w:pPr>
              <w:jc w:val="right"/>
              <w:ind w:right="516"/>
              <w:spacing w:after="0"/>
              <w:rPr>
                <w:sz w:val="20"/>
                <w:szCs w:val="20"/>
                <w:color w:val="auto"/>
              </w:rPr>
            </w:pPr>
            <w:r>
              <w:rPr>
                <w:rFonts w:ascii="Arial" w:cs="Arial" w:eastAsia="Arial" w:hAnsi="Arial"/>
                <w:sz w:val="14"/>
                <w:szCs w:val="14"/>
                <w:color w:val="auto"/>
              </w:rPr>
              <w:t>0</w:t>
            </w: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453</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jc w:val="right"/>
              <w:ind w:right="376"/>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903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1" w:lineRule="exact"/>
        <w:rPr>
          <w:sz w:val="20"/>
          <w:szCs w:val="20"/>
          <w:color w:val="auto"/>
        </w:rPr>
      </w:pPr>
    </w:p>
    <w:p>
      <w:pPr>
        <w:ind w:left="520" w:right="80" w:hanging="512"/>
        <w:spacing w:after="0" w:line="262" w:lineRule="auto"/>
        <w:tabs>
          <w:tab w:leader="none" w:pos="520" w:val="left"/>
        </w:tabs>
        <w:numPr>
          <w:ilvl w:val="0"/>
          <w:numId w:val="87"/>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lowerLetter"/>
      <w:start w:val="1"/>
    </w:lvl>
  </w:abstractNum>
  <w:abstractNum w:abstractNumId="5">
    <w:nsid w:val="542289EC"/>
    <w:multiLevelType w:val="hybridMultilevel"/>
    <w:lvl w:ilvl="0">
      <w:lvlJc w:val="left"/>
      <w:lvlText w:val="(%1)"/>
      <w:numFmt w:val="decimal"/>
      <w:start w:val="3"/>
    </w:lvl>
  </w:abstractNum>
  <w:abstractNum w:abstractNumId="6">
    <w:nsid w:val="6DE91B18"/>
    <w:multiLevelType w:val="hybridMultilevel"/>
    <w:lvl w:ilvl="0">
      <w:lvlJc w:val="left"/>
      <w:lvlText w:val="(%1)"/>
      <w:numFmt w:val="decimal"/>
      <w:start w:val="4"/>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decimal"/>
      <w:start w:val="6"/>
    </w:lvl>
  </w:abstractNum>
  <w:abstractNum w:abstractNumId="9">
    <w:nsid w:val="32FFF902"/>
    <w:multiLevelType w:val="hybridMultilevel"/>
    <w:lvl w:ilvl="0">
      <w:lvlJc w:val="left"/>
      <w:lvlText w:val="(%1)"/>
      <w:numFmt w:val="decimal"/>
      <w:start w:val="7"/>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decimal"/>
      <w:start w:val="8"/>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1"/>
    </w:lvl>
  </w:abstractNum>
  <w:abstractNum w:abstractNumId="16">
    <w:nsid w:val="75C6C33A"/>
    <w:multiLevelType w:val="hybridMultilevel"/>
    <w:lvl w:ilvl="0">
      <w:lvlJc w:val="left"/>
      <w:lvlText w:val="(%1)"/>
      <w:numFmt w:val="decimal"/>
      <w:start w:val="9"/>
    </w:lvl>
  </w:abstractNum>
  <w:abstractNum w:abstractNumId="17">
    <w:nsid w:val="12E685FB"/>
    <w:multiLevelType w:val="hybridMultilevel"/>
    <w:lvl w:ilvl="0">
      <w:lvlJc w:val="left"/>
      <w:lvlText w:val="(%1)"/>
      <w:numFmt w:val="decimal"/>
      <w:start w:val="11"/>
    </w:lvl>
  </w:abstractNum>
  <w:abstractNum w:abstractNumId="18">
    <w:nsid w:val="70C6A529"/>
    <w:multiLevelType w:val="hybridMultilevel"/>
    <w:lvl w:ilvl="0">
      <w:lvlJc w:val="left"/>
      <w:lvlText w:val="(%1)"/>
      <w:numFmt w:val="decimal"/>
      <w:start w:val="12"/>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1"/>
    </w:lvl>
  </w:abstractNum>
  <w:abstractNum w:abstractNumId="21">
    <w:nsid w:val="4F4EF005"/>
    <w:multiLevelType w:val="hybridMultilevel"/>
    <w:lvl w:ilvl="0">
      <w:lvlJc w:val="left"/>
      <w:lvlText w:val="(%1)"/>
      <w:numFmt w:val="decimal"/>
      <w:start w:val="13"/>
    </w:lvl>
  </w:abstractNum>
  <w:abstractNum w:abstractNumId="22">
    <w:nsid w:val="23F9C13C"/>
    <w:multiLevelType w:val="hybridMultilevel"/>
    <w:lvl w:ilvl="0">
      <w:lvlJc w:val="left"/>
      <w:lvlText w:val="(%1)"/>
      <w:numFmt w:val="decimal"/>
      <w:start w:val="14"/>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decimal"/>
      <w:start w:val="15"/>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lvl w:ilvl="1">
      <w:lvlJc w:val="left"/>
      <w:lvlText w:val="o"/>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4">
    <w:nsid w:val="60B6DF7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5">
    <w:nsid w:val="6A5EE64"/>
    <w:multiLevelType w:val="hybridMultilevel"/>
    <w:lvl w:ilvl="0">
      <w:lvlJc w:val="left"/>
      <w:lvlText w:val="(%1)"/>
      <w:numFmt w:val="upperLetter"/>
      <w:start w:val="4"/>
    </w:lvl>
  </w:abstractNum>
  <w:abstractNum w:abstractNumId="76">
    <w:nsid w:val="14330624"/>
    <w:multiLevelType w:val="hybridMultilevel"/>
    <w:lvl w:ilvl="0">
      <w:lvlJc w:val="left"/>
      <w:lvlText w:val="%1"/>
      <w:numFmt w:val="upperLetter"/>
      <w:start w:val="1"/>
    </w:lvl>
    <w:lvl w:ilvl="1">
      <w:lvlJc w:val="left"/>
      <w:lvlText w:val="(%2)"/>
      <w:numFmt w:val="lowerRoman"/>
      <w:start w:val="3"/>
    </w:lvl>
  </w:abstractNum>
  <w:abstractNum w:abstractNumId="77">
    <w:nsid w:val="7FFFCA11"/>
    <w:multiLevelType w:val="hybridMultilevel"/>
    <w:lvl w:ilvl="0">
      <w:lvlJc w:val="left"/>
      <w:lvlText w:val="(%1)"/>
      <w:numFmt w:val="upperLetter"/>
      <w:start w:val="2"/>
    </w:lvl>
    <w:lvl w:ilvl="1">
      <w:lvlJc w:val="left"/>
      <w:lvlText w:val="%2"/>
      <w:numFmt w:val="lowerRoman"/>
      <w:start w:val="1"/>
    </w:lvl>
  </w:abstractNum>
  <w:abstractNum w:abstractNumId="78">
    <w:nsid w:val="1A27709E"/>
    <w:multiLevelType w:val="hybridMultilevel"/>
    <w:lvl w:ilvl="0">
      <w:lvlJc w:val="left"/>
      <w:lvlText w:val="(%1)"/>
      <w:numFmt w:val="lowerLetter"/>
      <w:start w:val="2"/>
    </w:lvl>
    <w:lvl w:ilvl="1">
      <w:lvlJc w:val="left"/>
      <w:lvlText w:val="(%2)"/>
      <w:numFmt w:val="lowerLetter"/>
      <w:start w:val="9"/>
    </w:lvl>
  </w:abstractNum>
  <w:abstractNum w:abstractNumId="79">
    <w:nsid w:val="71EA1109"/>
    <w:multiLevelType w:val="hybridMultilevel"/>
    <w:lvl w:ilvl="0">
      <w:lvlJc w:val="left"/>
      <w:lvlText w:val="(%1)"/>
      <w:numFmt w:val="lowerRoman"/>
      <w:start w:val="2"/>
    </w:lvl>
  </w:abstractNum>
  <w:abstractNum w:abstractNumId="80">
    <w:nsid w:val="100F59DC"/>
    <w:multiLevelType w:val="hybridMultilevel"/>
    <w:lvl w:ilvl="0">
      <w:lvlJc w:val="left"/>
      <w:lvlText w:val="(%1)"/>
      <w:numFmt w:val="lowerRoman"/>
      <w:start w:val="3"/>
    </w:lvl>
  </w:abstractNum>
  <w:abstractNum w:abstractNumId="81">
    <w:nsid w:val="7FB7E0AA"/>
    <w:multiLevelType w:val="hybridMultilevel"/>
    <w:lvl w:ilvl="0">
      <w:lvlJc w:val="left"/>
      <w:lvlText w:val="%1."/>
      <w:numFmt w:val="decimal"/>
      <w:start w:val="1"/>
    </w:lvl>
    <w:lvl w:ilvl="1">
      <w:lvlJc w:val="left"/>
      <w:lvlText w:val="%2)"/>
      <w:numFmt w:val="lowerLetter"/>
      <w:start w:val="1"/>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154" Type="http://schemas.openxmlformats.org/officeDocument/2006/relationships/hyperlink" Target="https://www.sec.gov/Archives/edgar/data/1130464/000110465925080276/tm2523729d1_ex2-1.htm" TargetMode="External"/><Relationship Id="rId155" Type="http://schemas.openxmlformats.org/officeDocument/2006/relationships/hyperlink" Target="https://www.sec.gov/Archives/edgar/data/1130464/000110465925096060/tm2527704d1_ex4-1.htm" TargetMode="External"/><Relationship Id="rId156" Type="http://schemas.openxmlformats.org/officeDocument/2006/relationships/hyperlink" Target="https://www.sec.gov/Archives/edgar/data/1130464/000110465925080276/tm2523729d1_ex10-1.htm" TargetMode="External"/><Relationship Id="rId157" Type="http://schemas.openxmlformats.org/officeDocument/2006/relationships/hyperlink" Target="https://www.sec.gov/Archives/edgar/data/1130464/000110465925080276/tm2523729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2025-11-06T11:08:26Z</dcterms:created>
  <dcterms:modified xsi:type="dcterms:W3CDTF">2025-11-06T11:08:26Z</dcterms:modified>
</cp:coreProperties>
</file>