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97" w:lineRule="exact"/>
        <w:rPr>
          <w:sz w:val="24"/>
          <w:szCs w:val="24"/>
          <w:color w:val="auto"/>
        </w:rPr>
      </w:pPr>
    </w:p>
    <w:p>
      <w:pPr>
        <w:ind w:left="1740" w:right="3120" w:hanging="399"/>
        <w:spacing w:after="0" w:line="224" w:lineRule="auto"/>
        <w:tabs>
          <w:tab w:leader="none" w:pos="1740" w:val="left"/>
        </w:tabs>
        <w:numPr>
          <w:ilvl w:val="0"/>
          <w:numId w:val="1"/>
        </w:numPr>
        <w:rPr>
          <w:rFonts w:ascii="Times New Roman" w:cs="Times New Roman" w:eastAsia="Times New Roman" w:hAnsi="Times New Roman"/>
          <w:sz w:val="29"/>
          <w:szCs w:val="29"/>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For the quarterly period ended September 30, 2018</w:t>
      </w:r>
    </w:p>
    <w:p>
      <w:pPr>
        <w:spacing w:after="0" w:line="8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6"/>
          <w:szCs w:val="16"/>
          <w:color w:val="auto"/>
        </w:rPr>
        <w:t>OR</w:t>
      </w:r>
    </w:p>
    <w:p>
      <w:pPr>
        <w:spacing w:after="0" w:line="190" w:lineRule="exact"/>
        <w:rPr>
          <w:sz w:val="24"/>
          <w:szCs w:val="24"/>
          <w:color w:val="auto"/>
        </w:rPr>
      </w:pPr>
    </w:p>
    <w:p>
      <w:pPr>
        <w:ind w:left="1740" w:right="3100" w:hanging="399"/>
        <w:spacing w:after="0" w:line="224" w:lineRule="auto"/>
        <w:tabs>
          <w:tab w:leader="none" w:pos="1740" w:val="left"/>
        </w:tabs>
        <w:numPr>
          <w:ilvl w:val="0"/>
          <w:numId w:val="2"/>
        </w:numPr>
        <w:rPr>
          <w:rFonts w:ascii="Times New Roman" w:cs="Times New Roman" w:eastAsia="Times New Roman" w:hAnsi="Times New Roman"/>
          <w:sz w:val="29"/>
          <w:szCs w:val="29"/>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5" w:lineRule="exact"/>
        <w:rPr>
          <w:rFonts w:ascii="Times New Roman" w:cs="Times New Roman" w:eastAsia="Times New Roman" w:hAnsi="Times New Roman"/>
          <w:sz w:val="29"/>
          <w:szCs w:val="29"/>
          <w:color w:val="auto"/>
        </w:rPr>
      </w:pPr>
    </w:p>
    <w:p>
      <w:pPr>
        <w:ind w:left="1740" w:right="5420"/>
        <w:spacing w:after="0" w:line="459" w:lineRule="auto"/>
        <w:rPr>
          <w:rFonts w:ascii="Times New Roman" w:cs="Times New Roman" w:eastAsia="Times New Roman" w:hAnsi="Times New Roman"/>
          <w:sz w:val="29"/>
          <w:szCs w:val="29"/>
          <w:color w:val="auto"/>
        </w:rPr>
      </w:pPr>
      <w:r>
        <w:rPr>
          <w:rFonts w:ascii="Times New Roman" w:cs="Times New Roman" w:eastAsia="Times New Roman" w:hAnsi="Times New Roman"/>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67"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18"/>
          <w:szCs w:val="18"/>
          <w:color w:val="auto"/>
        </w:rPr>
        <w:t>Incorporated in South Dakota</w:t>
      </w:r>
      <w:r>
        <w:rPr>
          <w:sz w:val="20"/>
          <w:szCs w:val="20"/>
          <w:color w:val="auto"/>
        </w:rPr>
        <w:tab/>
      </w:r>
      <w:r>
        <w:rPr>
          <w:rFonts w:ascii="Times New Roman" w:cs="Times New Roman" w:eastAsia="Times New Roman" w:hAnsi="Times New Roman"/>
          <w:sz w:val="18"/>
          <w:szCs w:val="18"/>
          <w:color w:val="auto"/>
        </w:rPr>
        <w:t>IRS Identification Number 46-0458824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7001 Mount Rushmore Road</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Rapid City, South Dakota 57702</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(605) 721-1700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4"/>
          <w:szCs w:val="24"/>
          <w:color w:val="auto"/>
        </w:rPr>
      </w:pPr>
    </w:p>
    <w:p>
      <w:pPr>
        <w:ind w:right="420"/>
        <w:spacing w:after="0" w:line="22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8" w:lineRule="exact"/>
        <w:rPr>
          <w:sz w:val="24"/>
          <w:szCs w:val="24"/>
          <w:color w:val="auto"/>
        </w:rPr>
      </w:pPr>
    </w:p>
    <w:p>
      <w:pPr>
        <w:ind w:left="4420"/>
        <w:spacing w:after="0"/>
        <w:tabs>
          <w:tab w:leader="none" w:pos="66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7"/>
          <w:szCs w:val="17"/>
          <w:color w:val="auto"/>
        </w:rPr>
        <w:t>No o</w:t>
      </w:r>
    </w:p>
    <w:p>
      <w:pPr>
        <w:spacing w:after="0" w:line="239" w:lineRule="exact"/>
        <w:rPr>
          <w:sz w:val="24"/>
          <w:szCs w:val="24"/>
          <w:color w:val="auto"/>
        </w:rPr>
      </w:pPr>
    </w:p>
    <w:p>
      <w:pPr>
        <w:ind w:right="48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18" w:lineRule="exact"/>
        <w:rPr>
          <w:sz w:val="24"/>
          <w:szCs w:val="24"/>
          <w:color w:val="auto"/>
        </w:rPr>
      </w:pPr>
    </w:p>
    <w:p>
      <w:pPr>
        <w:ind w:left="4420"/>
        <w:spacing w:after="0"/>
        <w:tabs>
          <w:tab w:leader="none" w:pos="66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7"/>
          <w:szCs w:val="17"/>
          <w:color w:val="auto"/>
        </w:rPr>
        <w:t>No o</w:t>
      </w:r>
    </w:p>
    <w:p>
      <w:pPr>
        <w:spacing w:after="0" w:line="25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sectPr>
      </w:pPr>
    </w:p>
    <w:p>
      <w:pPr>
        <w:spacing w:after="0" w:line="12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4" w:right="239" w:bottom="1440" w:gutter="0" w:footer="0" w:header="0"/>
          <w:type w:val="continuous"/>
        </w:sectPr>
      </w:pPr>
    </w:p>
    <w:p>
      <w:pPr>
        <w:spacing w:after="0" w:line="9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200" w:lineRule="exact"/>
        <w:rPr>
          <w:sz w:val="24"/>
          <w:szCs w:val="24"/>
          <w:color w:val="auto"/>
        </w:rPr>
      </w:pPr>
    </w:p>
    <w:p>
      <w:pPr>
        <w:sectPr>
          <w:pgSz w:w="11900" w:h="16838" w:orient="portrait"/>
          <w:cols w:equalWidth="0" w:num="2">
            <w:col w:w="5280" w:space="720"/>
            <w:col w:w="5420"/>
          </w:cols>
          <w:pgMar w:left="240" w:top="684" w:right="239" w:bottom="1440" w:gutter="0" w:footer="0" w:header="0"/>
          <w:type w:val="continuous"/>
        </w:sectPr>
      </w:pPr>
    </w:p>
    <w:p>
      <w:pPr>
        <w:spacing w:after="0" w:line="93" w:lineRule="exact"/>
        <w:rPr>
          <w:sz w:val="24"/>
          <w:szCs w:val="24"/>
          <w:color w:val="auto"/>
        </w:rPr>
      </w:pPr>
    </w:p>
    <w:p>
      <w:pPr>
        <w:ind w:left="600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8"/>
          <w:szCs w:val="18"/>
          <w:color w:val="auto"/>
        </w:rPr>
        <w:t>No 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4" w:right="239" w:bottom="1440" w:gutter="0" w:footer="0" w:header="0"/>
          <w:type w:val="continuous"/>
        </w:sectPr>
      </w:pPr>
    </w:p>
    <w:p>
      <w:pPr>
        <w:spacing w:after="0" w:line="171"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Outstanding at November 1, 2018</w:t>
      </w:r>
    </w:p>
    <w:p>
      <w:pPr>
        <w:spacing w:after="0" w:line="63" w:lineRule="exact"/>
        <w:rPr>
          <w:sz w:val="24"/>
          <w:szCs w:val="24"/>
          <w:color w:val="auto"/>
        </w:rPr>
      </w:pPr>
    </w:p>
    <w:p>
      <w:pPr>
        <w:sectPr>
          <w:pgSz w:w="11900" w:h="16838" w:orient="portrait"/>
          <w:cols w:equalWidth="0" w:num="2">
            <w:col w:w="5640" w:space="720"/>
            <w:col w:w="5060"/>
          </w:cols>
          <w:pgMar w:left="240" w:top="684"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59,974,620 shares</w:t>
      </w:r>
    </w:p>
    <w:p>
      <w:pPr>
        <w:sectPr>
          <w:pgSz w:w="11900" w:h="16838" w:orient="portrait"/>
          <w:cols w:equalWidth="0" w:num="2">
            <w:col w:w="5960" w:space="720"/>
            <w:col w:w="474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Glossary of Terms and Abbreviations</w:t>
            </w:r>
          </w:p>
        </w:tc>
        <w:tc>
          <w:tcPr>
            <w:tcW w:w="780" w:type="dxa"/>
            <w:vAlign w:val="bottom"/>
            <w:gridSpan w:val="3"/>
          </w:tcPr>
          <w:p>
            <w:pPr>
              <w:jc w:val="center"/>
              <w:ind w:left="61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Three and Nine Months Ended September 30, 2018 and 2017</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Three and Nine Months Ended September 30, 2018 and 2017</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September 30, 2018, December 31, 2017 and September 30, 2017</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2018 and 2017</w:t>
            </w:r>
          </w:p>
        </w:tc>
        <w:tc>
          <w:tcPr>
            <w:tcW w:w="780" w:type="dxa"/>
            <w:vAlign w:val="bottom"/>
            <w:gridSpan w:val="3"/>
          </w:tcPr>
          <w:p>
            <w:pPr>
              <w:jc w:val="center"/>
              <w:ind w:left="610"/>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9</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to Condensed Consolidated Financial Statements - unaudited</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10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Controls and Procedures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INFORMATION</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Proceedings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Mine Safety Disclosures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Information</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68</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Signatures</w:t>
            </w:r>
          </w:p>
        </w:tc>
        <w:tc>
          <w:tcPr>
            <w:tcW w:w="840" w:type="dxa"/>
            <w:vAlign w:val="bottom"/>
            <w:gridSpan w:val="4"/>
          </w:tcPr>
          <w:p>
            <w:pPr>
              <w:jc w:val="center"/>
              <w:ind w:left="570"/>
              <w:spacing w:after="0"/>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70</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4"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and abbreviations appear in the text of this report and have the definitions described below:</w:t>
      </w:r>
    </w:p>
    <w:p>
      <w:pPr>
        <w:spacing w:after="0" w:line="171"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AFUDC</w:t>
      </w:r>
      <w:r>
        <w:rPr>
          <w:sz w:val="20"/>
          <w:szCs w:val="20"/>
          <w:color w:val="auto"/>
        </w:rPr>
        <w:tab/>
      </w:r>
      <w:r>
        <w:rPr>
          <w:rFonts w:ascii="Times New Roman" w:cs="Times New Roman" w:eastAsia="Times New Roman" w:hAnsi="Times New Roman"/>
          <w:sz w:val="18"/>
          <w:szCs w:val="18"/>
          <w:color w:val="auto"/>
        </w:rPr>
        <w:t>Allowance for Funds Used During Construction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AOCI</w:t>
      </w:r>
      <w:r>
        <w:rPr>
          <w:sz w:val="20"/>
          <w:szCs w:val="20"/>
          <w:color w:val="auto"/>
        </w:rPr>
        <w:tab/>
      </w:r>
      <w:r>
        <w:rPr>
          <w:rFonts w:ascii="Times New Roman" w:cs="Times New Roman" w:eastAsia="Times New Roman" w:hAnsi="Times New Roman"/>
          <w:sz w:val="18"/>
          <w:szCs w:val="18"/>
          <w:color w:val="auto"/>
        </w:rPr>
        <w:t>Accumulated Other Comprehensive Income (Loss)</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APSC</w:t>
      </w:r>
      <w:r>
        <w:rPr>
          <w:sz w:val="20"/>
          <w:szCs w:val="20"/>
          <w:color w:val="auto"/>
        </w:rPr>
        <w:tab/>
      </w:r>
      <w:r>
        <w:rPr>
          <w:rFonts w:ascii="Times New Roman" w:cs="Times New Roman" w:eastAsia="Times New Roman" w:hAnsi="Times New Roman"/>
          <w:sz w:val="18"/>
          <w:szCs w:val="18"/>
          <w:color w:val="auto"/>
        </w:rPr>
        <w:t>Arkansas Public Service Commission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Arkansas Gas</w:t>
      </w:r>
      <w:r>
        <w:rPr>
          <w:sz w:val="20"/>
          <w:szCs w:val="20"/>
          <w:color w:val="auto"/>
        </w:rPr>
        <w:tab/>
      </w:r>
      <w:r>
        <w:rPr>
          <w:rFonts w:ascii="Times New Roman" w:cs="Times New Roman" w:eastAsia="Times New Roman" w:hAnsi="Times New Roman"/>
          <w:sz w:val="18"/>
          <w:szCs w:val="18"/>
          <w:color w:val="auto"/>
        </w:rPr>
        <w:t>Black Hills Energy Arkansas, Inc., a direct, wholly-owned subsidiary of Black Hills Gas Inc.</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ASC</w:t>
      </w:r>
      <w:r>
        <w:rPr>
          <w:sz w:val="20"/>
          <w:szCs w:val="20"/>
          <w:color w:val="auto"/>
        </w:rPr>
        <w:tab/>
      </w:r>
      <w:r>
        <w:rPr>
          <w:rFonts w:ascii="Times New Roman" w:cs="Times New Roman" w:eastAsia="Times New Roman" w:hAnsi="Times New Roman"/>
          <w:sz w:val="18"/>
          <w:szCs w:val="18"/>
          <w:color w:val="auto"/>
        </w:rPr>
        <w:t>Accounting Standards Codification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ASU</w:t>
      </w:r>
      <w:r>
        <w:rPr>
          <w:sz w:val="20"/>
          <w:szCs w:val="20"/>
          <w:color w:val="auto"/>
        </w:rPr>
        <w:tab/>
      </w:r>
      <w:r>
        <w:rPr>
          <w:rFonts w:ascii="Times New Roman" w:cs="Times New Roman" w:eastAsia="Times New Roman" w:hAnsi="Times New Roman"/>
          <w:sz w:val="18"/>
          <w:szCs w:val="18"/>
          <w:color w:val="auto"/>
        </w:rPr>
        <w:t>Accounting Standards Update issued by the FASB</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ATM</w:t>
      </w:r>
      <w:r>
        <w:rPr>
          <w:sz w:val="20"/>
          <w:szCs w:val="20"/>
          <w:color w:val="auto"/>
        </w:rPr>
        <w:tab/>
      </w:r>
      <w:r>
        <w:rPr>
          <w:rFonts w:ascii="Times New Roman" w:cs="Times New Roman" w:eastAsia="Times New Roman" w:hAnsi="Times New Roman"/>
          <w:sz w:val="18"/>
          <w:szCs w:val="18"/>
          <w:color w:val="auto"/>
        </w:rPr>
        <w:t>At-the-market equity offering program</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Availability</w:t>
      </w:r>
      <w:r>
        <w:rPr>
          <w:sz w:val="20"/>
          <w:szCs w:val="20"/>
          <w:color w:val="auto"/>
        </w:rPr>
        <w:tab/>
      </w:r>
      <w:r>
        <w:rPr>
          <w:rFonts w:ascii="Times New Roman" w:cs="Times New Roman" w:eastAsia="Times New Roman" w:hAnsi="Times New Roman"/>
          <w:sz w:val="18"/>
          <w:szCs w:val="18"/>
          <w:color w:val="auto"/>
        </w:rPr>
        <w:t>The availability factor of a power plant is the percentage of the time that it is available to provide energy.</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Bbl</w:t>
      </w:r>
      <w:r>
        <w:rPr>
          <w:sz w:val="20"/>
          <w:szCs w:val="20"/>
          <w:color w:val="auto"/>
        </w:rPr>
        <w:tab/>
      </w:r>
      <w:r>
        <w:rPr>
          <w:rFonts w:ascii="Times New Roman" w:cs="Times New Roman" w:eastAsia="Times New Roman" w:hAnsi="Times New Roman"/>
          <w:sz w:val="18"/>
          <w:szCs w:val="18"/>
          <w:color w:val="auto"/>
        </w:rPr>
        <w:t>Barrel</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BHC</w:t>
      </w:r>
      <w:r>
        <w:rPr>
          <w:sz w:val="20"/>
          <w:szCs w:val="20"/>
          <w:color w:val="auto"/>
        </w:rPr>
        <w:tab/>
      </w:r>
      <w:r>
        <w:rPr>
          <w:rFonts w:ascii="Times New Roman" w:cs="Times New Roman" w:eastAsia="Times New Roman" w:hAnsi="Times New Roman"/>
          <w:sz w:val="18"/>
          <w:szCs w:val="18"/>
          <w:color w:val="auto"/>
        </w:rPr>
        <w:t>Black Hills Corporation; the Company</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Black Hills Electric Generation</w:t>
      </w:r>
      <w:r>
        <w:rPr>
          <w:sz w:val="20"/>
          <w:szCs w:val="20"/>
          <w:color w:val="auto"/>
        </w:rPr>
        <w:tab/>
      </w:r>
      <w:r>
        <w:rPr>
          <w:rFonts w:ascii="Times New Roman" w:cs="Times New Roman" w:eastAsia="Times New Roman" w:hAnsi="Times New Roman"/>
          <w:sz w:val="18"/>
          <w:szCs w:val="18"/>
          <w:color w:val="auto"/>
        </w:rPr>
        <w:t>Black Hills Electric Generation, LLC, a direct, wholly-owned subsidiary of Black Hills Non-regulated</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Holdings</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Black Hills Energy</w:t>
      </w:r>
      <w:r>
        <w:rPr>
          <w:sz w:val="20"/>
          <w:szCs w:val="20"/>
          <w:color w:val="auto"/>
        </w:rPr>
        <w:tab/>
      </w:r>
      <w:r>
        <w:rPr>
          <w:rFonts w:ascii="Times New Roman" w:cs="Times New Roman" w:eastAsia="Times New Roman" w:hAnsi="Times New Roman"/>
          <w:sz w:val="17"/>
          <w:szCs w:val="17"/>
          <w:color w:val="auto"/>
        </w:rPr>
        <w:t>The name used to conduct the business of our utility companies</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Black Hills Power</w:t>
      </w:r>
      <w:r>
        <w:rPr>
          <w:sz w:val="20"/>
          <w:szCs w:val="20"/>
          <w:color w:val="auto"/>
        </w:rPr>
        <w:tab/>
      </w:r>
      <w:r>
        <w:rPr>
          <w:rFonts w:ascii="Times New Roman" w:cs="Times New Roman" w:eastAsia="Times New Roman" w:hAnsi="Times New Roman"/>
          <w:sz w:val="17"/>
          <w:szCs w:val="17"/>
          <w:color w:val="auto"/>
        </w:rPr>
        <w:t>Black Hills Power, Inc., a direct, wholly-owned subsidiary of Black Hills Corporation (doing business as Black</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Hills Energy)</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Black Hills Utility Holdings</w:t>
      </w:r>
      <w:r>
        <w:rPr>
          <w:sz w:val="20"/>
          <w:szCs w:val="20"/>
          <w:color w:val="auto"/>
        </w:rPr>
        <w:tab/>
      </w:r>
      <w:r>
        <w:rPr>
          <w:rFonts w:ascii="Times New Roman" w:cs="Times New Roman" w:eastAsia="Times New Roman" w:hAnsi="Times New Roman"/>
          <w:sz w:val="17"/>
          <w:szCs w:val="17"/>
          <w:color w:val="auto"/>
        </w:rPr>
        <w:t>Black Hills Utility Holdings, Inc., a direct, wholly-owned subsidiary of Black Hills Corporation (doing</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business as Black Hills Energy)</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Black Hills Wyoming</w:t>
      </w:r>
      <w:r>
        <w:rPr>
          <w:sz w:val="20"/>
          <w:szCs w:val="20"/>
          <w:color w:val="auto"/>
        </w:rPr>
        <w:tab/>
      </w:r>
      <w:r>
        <w:rPr>
          <w:rFonts w:ascii="Times New Roman" w:cs="Times New Roman" w:eastAsia="Times New Roman" w:hAnsi="Times New Roman"/>
          <w:sz w:val="17"/>
          <w:szCs w:val="17"/>
          <w:color w:val="auto"/>
        </w:rPr>
        <w:t>Black Hills Wyoming, LLC, a direct, wholly-owned subsidiary of Black Hills Electric Generation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Busch Ranch</w:t>
      </w:r>
      <w:r>
        <w:rPr>
          <w:sz w:val="20"/>
          <w:szCs w:val="20"/>
          <w:color w:val="auto"/>
        </w:rPr>
        <w:tab/>
      </w:r>
      <w:r>
        <w:rPr>
          <w:rFonts w:ascii="Times New Roman" w:cs="Times New Roman" w:eastAsia="Times New Roman" w:hAnsi="Times New Roman"/>
          <w:sz w:val="17"/>
          <w:szCs w:val="17"/>
          <w:color w:val="auto"/>
        </w:rPr>
        <w:t>Busch Ranch Wind Farm is a 29 MW wind farm near Pueblo, Colorado, jointly owned by Colorado Electric</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and AltaGas. Colorado Electric has a 50% ownership interest in the wind farm.</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Busch Ranch II</w:t>
      </w:r>
      <w:r>
        <w:rPr>
          <w:sz w:val="20"/>
          <w:szCs w:val="20"/>
          <w:color w:val="auto"/>
        </w:rPr>
        <w:tab/>
      </w:r>
      <w:r>
        <w:rPr>
          <w:rFonts w:ascii="Times New Roman" w:cs="Times New Roman" w:eastAsia="Times New Roman" w:hAnsi="Times New Roman"/>
          <w:sz w:val="18"/>
          <w:szCs w:val="18"/>
          <w:color w:val="auto"/>
        </w:rPr>
        <w:t>Busch Ranch II wind project will be a 60 MW wind farm near Pueblo, Colorado, built by Black Hills Electric</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Generation to provide wind energy to Colorado Electric through a 25-year power purchase agreement.</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CAPP</w:t>
      </w:r>
      <w:r>
        <w:rPr>
          <w:sz w:val="20"/>
          <w:szCs w:val="20"/>
          <w:color w:val="auto"/>
        </w:rPr>
        <w:tab/>
      </w:r>
      <w:r>
        <w:rPr>
          <w:rFonts w:ascii="Times New Roman" w:cs="Times New Roman" w:eastAsia="Times New Roman" w:hAnsi="Times New Roman"/>
          <w:sz w:val="18"/>
          <w:szCs w:val="18"/>
          <w:color w:val="auto"/>
        </w:rPr>
        <w:t>Customer Appliance Protection Plan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Cheyenne Light</w:t>
      </w:r>
      <w:r>
        <w:rPr>
          <w:sz w:val="20"/>
          <w:szCs w:val="20"/>
          <w:color w:val="auto"/>
        </w:rPr>
        <w:tab/>
      </w:r>
      <w:r>
        <w:rPr>
          <w:rFonts w:ascii="Times New Roman" w:cs="Times New Roman" w:eastAsia="Times New Roman" w:hAnsi="Times New Roman"/>
          <w:sz w:val="17"/>
          <w:szCs w:val="17"/>
          <w:color w:val="auto"/>
        </w:rPr>
        <w:t>Cheyenne Light, Fuel and Power Company, a direct, wholly-owned subsidiary of Black Hills Corporation</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(doing business as Black Hills Energy)</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Choice Gas Program</w:t>
      </w:r>
      <w:r>
        <w:rPr>
          <w:sz w:val="20"/>
          <w:szCs w:val="20"/>
          <w:color w:val="auto"/>
        </w:rPr>
        <w:tab/>
      </w:r>
      <w:r>
        <w:rPr>
          <w:rFonts w:ascii="Times New Roman" w:cs="Times New Roman" w:eastAsia="Times New Roman" w:hAnsi="Times New Roman"/>
          <w:sz w:val="18"/>
          <w:szCs w:val="18"/>
          <w:color w:val="auto"/>
        </w:rPr>
        <w:t>The unbundling of the natural gas service from the distribution component, which opens up the gas supply for</w:t>
      </w:r>
    </w:p>
    <w:p>
      <w:pPr>
        <w:spacing w:after="0" w:line="27" w:lineRule="exact"/>
        <w:rPr>
          <w:sz w:val="20"/>
          <w:szCs w:val="20"/>
          <w:color w:val="auto"/>
        </w:rPr>
      </w:pPr>
    </w:p>
    <w:p>
      <w:pPr>
        <w:ind w:left="3360" w:right="260"/>
        <w:spacing w:after="0" w:line="261" w:lineRule="auto"/>
        <w:rPr>
          <w:sz w:val="20"/>
          <w:szCs w:val="20"/>
          <w:color w:val="auto"/>
        </w:rPr>
      </w:pPr>
      <w:r>
        <w:rPr>
          <w:rFonts w:ascii="Times New Roman" w:cs="Times New Roman" w:eastAsia="Times New Roman" w:hAnsi="Times New Roman"/>
          <w:sz w:val="18"/>
          <w:szCs w:val="18"/>
          <w:color w:val="auto"/>
        </w:rPr>
        <w:t>competition allowing customers to choose from different natural gas suppliers. Black Hills Gas Distribution distributes the gas and Black Hills Energy Services is one of the Choice Gas suppliers.</w:t>
      </w:r>
    </w:p>
    <w:p>
      <w:pPr>
        <w:spacing w:after="0" w:line="18"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CIAC</w:t>
      </w:r>
      <w:r>
        <w:rPr>
          <w:sz w:val="20"/>
          <w:szCs w:val="20"/>
          <w:color w:val="auto"/>
        </w:rPr>
        <w:tab/>
      </w:r>
      <w:r>
        <w:rPr>
          <w:rFonts w:ascii="Times New Roman" w:cs="Times New Roman" w:eastAsia="Times New Roman" w:hAnsi="Times New Roman"/>
          <w:sz w:val="18"/>
          <w:szCs w:val="18"/>
          <w:color w:val="auto"/>
        </w:rPr>
        <w:t>Contribution In Aid of Construction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City of Gillette</w:t>
      </w:r>
      <w:r>
        <w:rPr>
          <w:sz w:val="20"/>
          <w:szCs w:val="20"/>
          <w:color w:val="auto"/>
        </w:rPr>
        <w:tab/>
      </w:r>
      <w:r>
        <w:rPr>
          <w:rFonts w:ascii="Times New Roman" w:cs="Times New Roman" w:eastAsia="Times New Roman" w:hAnsi="Times New Roman"/>
          <w:sz w:val="17"/>
          <w:szCs w:val="17"/>
          <w:color w:val="auto"/>
        </w:rPr>
        <w:t>Gillette, Wyoming</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Colorado Electric</w:t>
      </w:r>
      <w:r>
        <w:rPr>
          <w:sz w:val="20"/>
          <w:szCs w:val="20"/>
          <w:color w:val="auto"/>
        </w:rPr>
        <w:tab/>
      </w:r>
      <w:r>
        <w:rPr>
          <w:rFonts w:ascii="Times New Roman" w:cs="Times New Roman" w:eastAsia="Times New Roman" w:hAnsi="Times New Roman"/>
          <w:sz w:val="17"/>
          <w:szCs w:val="17"/>
          <w:color w:val="auto"/>
        </w:rPr>
        <w:t>Black Hills Colorado Electric, Inc., an indirect, wholly-owned subsidiary of Black Hills Utility Holdings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(doing business as Black Hills Energy)</w:t>
      </w:r>
    </w:p>
    <w:p>
      <w:pPr>
        <w:spacing w:after="0" w:line="4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Colorado IPP</w:t>
      </w:r>
      <w:r>
        <w:rPr>
          <w:sz w:val="20"/>
          <w:szCs w:val="20"/>
          <w:color w:val="auto"/>
        </w:rPr>
        <w:tab/>
      </w:r>
      <w:r>
        <w:rPr>
          <w:rFonts w:ascii="Times New Roman" w:cs="Times New Roman" w:eastAsia="Times New Roman" w:hAnsi="Times New Roman"/>
          <w:sz w:val="17"/>
          <w:szCs w:val="17"/>
          <w:color w:val="auto"/>
        </w:rPr>
        <w:t>Black Hills Colorado IPP, LLC a 50.1% owned subsidiary of Black Hills Electric Generation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Indebtedness to Capitalization  Any Indebtedness outstanding at such time, divided by Capital at such time. Capital being Consolidated Net-</w:t>
      </w:r>
    </w:p>
    <w:p>
      <w:pPr>
        <w:spacing w:after="0" w:line="27"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Ratio</w:t>
      </w:r>
      <w:r>
        <w:rPr>
          <w:sz w:val="20"/>
          <w:szCs w:val="20"/>
          <w:color w:val="auto"/>
        </w:rPr>
        <w:tab/>
      </w:r>
      <w:r>
        <w:rPr>
          <w:rFonts w:ascii="Times New Roman" w:cs="Times New Roman" w:eastAsia="Times New Roman" w:hAnsi="Times New Roman"/>
          <w:sz w:val="18"/>
          <w:szCs w:val="18"/>
          <w:color w:val="auto"/>
        </w:rPr>
        <w:t>Worth (excluding noncontrolling interest and including the aggregate outstanding amount of RSNs) plus</w:t>
      </w:r>
    </w:p>
    <w:p>
      <w:pPr>
        <w:spacing w:after="0" w:line="9" w:lineRule="exact"/>
        <w:rPr>
          <w:sz w:val="20"/>
          <w:szCs w:val="20"/>
          <w:color w:val="auto"/>
        </w:rPr>
      </w:pPr>
    </w:p>
    <w:p>
      <w:pPr>
        <w:ind w:left="3360" w:right="500"/>
        <w:spacing w:after="0" w:line="261" w:lineRule="auto"/>
        <w:rPr>
          <w:sz w:val="20"/>
          <w:szCs w:val="20"/>
          <w:color w:val="auto"/>
        </w:rPr>
      </w:pPr>
      <w:r>
        <w:rPr>
          <w:rFonts w:ascii="Times New Roman" w:cs="Times New Roman" w:eastAsia="Times New Roman" w:hAnsi="Times New Roman"/>
          <w:sz w:val="18"/>
          <w:szCs w:val="18"/>
          <w:color w:val="auto"/>
        </w:rPr>
        <w:t>Consolidated Indebtedness (including letters of credit, certain guarantees issued and excluding RSNs) as defined within the current Credit Agreement.</w:t>
      </w:r>
    </w:p>
    <w:p>
      <w:pPr>
        <w:spacing w:after="0" w:line="18"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CDD</w:t>
      </w:r>
      <w:r>
        <w:rPr>
          <w:sz w:val="20"/>
          <w:szCs w:val="20"/>
          <w:color w:val="auto"/>
        </w:rPr>
        <w:tab/>
      </w:r>
      <w:r>
        <w:rPr>
          <w:rFonts w:ascii="Times New Roman" w:cs="Times New Roman" w:eastAsia="Times New Roman" w:hAnsi="Times New Roman"/>
          <w:sz w:val="18"/>
          <w:szCs w:val="18"/>
          <w:color w:val="auto"/>
        </w:rPr>
        <w:t>A cooling degree day is equivalent to each degree that the average of the high and low temperature for a day is</w:t>
      </w:r>
    </w:p>
    <w:p>
      <w:pPr>
        <w:spacing w:after="0" w:line="27" w:lineRule="exact"/>
        <w:rPr>
          <w:sz w:val="20"/>
          <w:szCs w:val="20"/>
          <w:color w:val="auto"/>
        </w:rPr>
      </w:pPr>
    </w:p>
    <w:p>
      <w:pPr>
        <w:ind w:left="3360"/>
        <w:spacing w:after="0" w:line="254" w:lineRule="auto"/>
        <w:rPr>
          <w:sz w:val="20"/>
          <w:szCs w:val="20"/>
          <w:color w:val="auto"/>
        </w:rPr>
      </w:pPr>
      <w:r>
        <w:rPr>
          <w:rFonts w:ascii="Times New Roman" w:cs="Times New Roman" w:eastAsia="Times New Roman" w:hAnsi="Times New Roman"/>
          <w:sz w:val="18"/>
          <w:szCs w:val="18"/>
          <w:color w:val="auto"/>
        </w:rPr>
        <w:t>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 over a 30-year average.</w:t>
      </w:r>
    </w:p>
    <w:p>
      <w:pPr>
        <w:spacing w:after="0" w:line="24"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CPCN</w:t>
      </w:r>
      <w:r>
        <w:rPr>
          <w:sz w:val="20"/>
          <w:szCs w:val="20"/>
          <w:color w:val="auto"/>
        </w:rPr>
        <w:tab/>
      </w:r>
      <w:r>
        <w:rPr>
          <w:rFonts w:ascii="Times New Roman" w:cs="Times New Roman" w:eastAsia="Times New Roman" w:hAnsi="Times New Roman"/>
          <w:sz w:val="18"/>
          <w:szCs w:val="18"/>
          <w:color w:val="auto"/>
        </w:rPr>
        <w:t>Certificate of Public Convenience and Necessity</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CP Program</w:t>
      </w:r>
      <w:r>
        <w:rPr>
          <w:sz w:val="20"/>
          <w:szCs w:val="20"/>
          <w:color w:val="auto"/>
        </w:rPr>
        <w:tab/>
      </w:r>
      <w:r>
        <w:rPr>
          <w:rFonts w:ascii="Times New Roman" w:cs="Times New Roman" w:eastAsia="Times New Roman" w:hAnsi="Times New Roman"/>
          <w:sz w:val="17"/>
          <w:szCs w:val="17"/>
          <w:color w:val="auto"/>
        </w:rPr>
        <w:t>Commercial Paper Program</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CPUC</w:t>
      </w:r>
      <w:r>
        <w:rPr>
          <w:sz w:val="20"/>
          <w:szCs w:val="20"/>
          <w:color w:val="auto"/>
        </w:rPr>
        <w:tab/>
      </w:r>
      <w:r>
        <w:rPr>
          <w:rFonts w:ascii="Times New Roman" w:cs="Times New Roman" w:eastAsia="Times New Roman" w:hAnsi="Times New Roman"/>
          <w:sz w:val="18"/>
          <w:szCs w:val="18"/>
          <w:color w:val="auto"/>
        </w:rPr>
        <w:t>Colorado Public Utilities Commission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CVA</w:t>
      </w:r>
      <w:r>
        <w:rPr>
          <w:sz w:val="20"/>
          <w:szCs w:val="20"/>
          <w:color w:val="auto"/>
        </w:rPr>
        <w:tab/>
      </w:r>
      <w:r>
        <w:rPr>
          <w:rFonts w:ascii="Times New Roman" w:cs="Times New Roman" w:eastAsia="Times New Roman" w:hAnsi="Times New Roman"/>
          <w:sz w:val="18"/>
          <w:szCs w:val="18"/>
          <w:color w:val="auto"/>
        </w:rPr>
        <w:t>Credit Valuation Adjustment</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Dodd-Frank</w:t>
      </w:r>
      <w:r>
        <w:rPr>
          <w:sz w:val="20"/>
          <w:szCs w:val="20"/>
          <w:color w:val="auto"/>
        </w:rPr>
        <w:tab/>
      </w:r>
      <w:r>
        <w:rPr>
          <w:rFonts w:ascii="Times New Roman" w:cs="Times New Roman" w:eastAsia="Times New Roman" w:hAnsi="Times New Roman"/>
          <w:sz w:val="17"/>
          <w:szCs w:val="17"/>
          <w:color w:val="auto"/>
        </w:rPr>
        <w:t>Dodd-Frank Wall Street Reform and Consumer Protection Act</w:t>
      </w:r>
    </w:p>
    <w:p>
      <w:pPr>
        <w:spacing w:after="0" w:line="63"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18"/>
          <w:szCs w:val="18"/>
          <w:color w:val="auto"/>
        </w:rPr>
        <w:t>Dth</w:t>
      </w:r>
      <w:r>
        <w:rPr>
          <w:sz w:val="20"/>
          <w:szCs w:val="20"/>
          <w:color w:val="auto"/>
        </w:rPr>
        <w:tab/>
      </w:r>
      <w:r>
        <w:rPr>
          <w:rFonts w:ascii="Times New Roman" w:cs="Times New Roman" w:eastAsia="Times New Roman" w:hAnsi="Times New Roman"/>
          <w:sz w:val="18"/>
          <w:szCs w:val="18"/>
          <w:color w:val="auto"/>
        </w:rPr>
        <w:t>Dekatherm. A unit of energy equal to 10 therms or one million British thermal units (MMBtu)</w:t>
      </w:r>
    </w:p>
    <w:p>
      <w:pPr>
        <w:sectPr>
          <w:pgSz w:w="11900" w:h="16838" w:orient="portrait"/>
          <w:cols w:equalWidth="0" w:num="1">
            <w:col w:w="11380"/>
          </w:cols>
          <w:pgMar w:left="240" w:top="576" w:right="27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76" w:right="279" w:bottom="1440" w:gutter="0" w:footer="0" w:header="0"/>
          <w:type w:val="continuous"/>
        </w:sectPr>
      </w:pPr>
    </w:p>
    <w:bookmarkStart w:id="3" w:name="page4"/>
    <w:bookmarkEnd w:id="3"/>
    <w:p>
      <w:pPr>
        <w:spacing w:after="0"/>
        <w:tabs>
          <w:tab w:leader="none" w:pos="3300" w:val="left"/>
        </w:tabs>
        <w:rPr>
          <w:sz w:val="20"/>
          <w:szCs w:val="20"/>
          <w:color w:val="auto"/>
        </w:rPr>
      </w:pPr>
      <w:r>
        <w:rPr>
          <w:rFonts w:ascii="Times New Roman" w:cs="Times New Roman" w:eastAsia="Times New Roman" w:hAnsi="Times New Roman"/>
          <w:sz w:val="18"/>
          <w:szCs w:val="18"/>
          <w:color w:val="auto"/>
        </w:rPr>
        <w:t>Equity Unit</w:t>
      </w:r>
      <w:r>
        <w:rPr>
          <w:sz w:val="20"/>
          <w:szCs w:val="20"/>
          <w:color w:val="auto"/>
        </w:rPr>
        <w:tab/>
      </w:r>
      <w:r>
        <w:rPr>
          <w:rFonts w:ascii="Times New Roman" w:cs="Times New Roman" w:eastAsia="Times New Roman" w:hAnsi="Times New Roman"/>
          <w:sz w:val="18"/>
          <w:szCs w:val="18"/>
          <w:color w:val="auto"/>
        </w:rPr>
        <w:t>Each Equity Unit has a stated amount of $50, consisting of a purchase contract issued by BHC to purchase</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shares of BHC common stock and a 1/20, or 5% undivided beneficial ownership interest in $1,000 principal</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amount of BHC RSNs that were formerly due 2028 prior to the successful remarketing on August 17, 2018.</w:t>
      </w:r>
    </w:p>
    <w:p>
      <w:pPr>
        <w:spacing w:after="0" w:line="45"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FASB</w:t>
      </w:r>
      <w:r>
        <w:rPr>
          <w:sz w:val="20"/>
          <w:szCs w:val="20"/>
          <w:color w:val="auto"/>
        </w:rPr>
        <w:tab/>
      </w:r>
      <w:r>
        <w:rPr>
          <w:rFonts w:ascii="Times New Roman" w:cs="Times New Roman" w:eastAsia="Times New Roman" w:hAnsi="Times New Roman"/>
          <w:sz w:val="18"/>
          <w:szCs w:val="18"/>
          <w:color w:val="auto"/>
        </w:rPr>
        <w:t>Financial Accounting Standards Board</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FERC</w:t>
      </w:r>
      <w:r>
        <w:rPr>
          <w:sz w:val="20"/>
          <w:szCs w:val="20"/>
          <w:color w:val="auto"/>
        </w:rPr>
        <w:tab/>
      </w:r>
      <w:r>
        <w:rPr>
          <w:rFonts w:ascii="Times New Roman" w:cs="Times New Roman" w:eastAsia="Times New Roman" w:hAnsi="Times New Roman"/>
          <w:sz w:val="18"/>
          <w:szCs w:val="18"/>
          <w:color w:val="auto"/>
        </w:rPr>
        <w:t>United States Federal Energy Regulatory Commission</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Fitch</w:t>
      </w:r>
      <w:r>
        <w:rPr>
          <w:sz w:val="20"/>
          <w:szCs w:val="20"/>
          <w:color w:val="auto"/>
        </w:rPr>
        <w:tab/>
      </w:r>
      <w:r>
        <w:rPr>
          <w:rFonts w:ascii="Times New Roman" w:cs="Times New Roman" w:eastAsia="Times New Roman" w:hAnsi="Times New Roman"/>
          <w:sz w:val="18"/>
          <w:szCs w:val="18"/>
          <w:color w:val="auto"/>
        </w:rPr>
        <w:t>Fitch Ratings</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GAAP</w:t>
      </w:r>
      <w:r>
        <w:rPr>
          <w:sz w:val="20"/>
          <w:szCs w:val="20"/>
          <w:color w:val="auto"/>
        </w:rPr>
        <w:tab/>
      </w:r>
      <w:r>
        <w:rPr>
          <w:rFonts w:ascii="Times New Roman" w:cs="Times New Roman" w:eastAsia="Times New Roman" w:hAnsi="Times New Roman"/>
          <w:sz w:val="18"/>
          <w:szCs w:val="18"/>
          <w:color w:val="auto"/>
        </w:rPr>
        <w:t>Accounting principles generally accepted in the United States of America</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HDD</w:t>
      </w:r>
      <w:r>
        <w:rPr>
          <w:sz w:val="20"/>
          <w:szCs w:val="20"/>
          <w:color w:val="auto"/>
        </w:rPr>
        <w:tab/>
      </w:r>
      <w:r>
        <w:rPr>
          <w:rFonts w:ascii="Times New Roman" w:cs="Times New Roman" w:eastAsia="Times New Roman" w:hAnsi="Times New Roman"/>
          <w:sz w:val="18"/>
          <w:szCs w:val="18"/>
          <w:color w:val="auto"/>
        </w:rPr>
        <w:t>A heating degree day is equivalent to each degree that the average of the high and the low temperatures for a</w:t>
      </w:r>
    </w:p>
    <w:p>
      <w:pPr>
        <w:spacing w:after="0" w:line="27" w:lineRule="exact"/>
        <w:rPr>
          <w:sz w:val="20"/>
          <w:szCs w:val="20"/>
          <w:color w:val="auto"/>
        </w:rPr>
      </w:pPr>
    </w:p>
    <w:p>
      <w:pPr>
        <w:ind w:left="3320"/>
        <w:spacing w:after="0" w:line="254" w:lineRule="auto"/>
        <w:rPr>
          <w:sz w:val="20"/>
          <w:szCs w:val="20"/>
          <w:color w:val="auto"/>
        </w:rPr>
      </w:pPr>
      <w:r>
        <w:rPr>
          <w:rFonts w:ascii="Times New Roman" w:cs="Times New Roman" w:eastAsia="Times New Roman" w:hAnsi="Times New Roman"/>
          <w:sz w:val="18"/>
          <w:szCs w:val="18"/>
          <w:color w:val="auto"/>
        </w:rPr>
        <w:t>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24"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Horizon Point</w:t>
      </w:r>
      <w:r>
        <w:rPr>
          <w:sz w:val="20"/>
          <w:szCs w:val="20"/>
          <w:color w:val="auto"/>
        </w:rPr>
        <w:tab/>
      </w:r>
      <w:r>
        <w:rPr>
          <w:rFonts w:ascii="Times New Roman" w:cs="Times New Roman" w:eastAsia="Times New Roman" w:hAnsi="Times New Roman"/>
          <w:sz w:val="17"/>
          <w:szCs w:val="17"/>
          <w:color w:val="auto"/>
        </w:rPr>
        <w:t>Corporate headquarters building in Rapid City, South Dakota, which was completed in 2017.</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IPP</w:t>
      </w:r>
      <w:r>
        <w:rPr>
          <w:sz w:val="20"/>
          <w:szCs w:val="20"/>
          <w:color w:val="auto"/>
        </w:rPr>
        <w:tab/>
      </w:r>
      <w:r>
        <w:rPr>
          <w:rFonts w:ascii="Times New Roman" w:cs="Times New Roman" w:eastAsia="Times New Roman" w:hAnsi="Times New Roman"/>
          <w:sz w:val="18"/>
          <w:szCs w:val="18"/>
          <w:color w:val="auto"/>
        </w:rPr>
        <w:t>Independent power producer</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IRS</w:t>
      </w:r>
      <w:r>
        <w:rPr>
          <w:sz w:val="20"/>
          <w:szCs w:val="20"/>
          <w:color w:val="auto"/>
        </w:rPr>
        <w:tab/>
      </w:r>
      <w:r>
        <w:rPr>
          <w:rFonts w:ascii="Times New Roman" w:cs="Times New Roman" w:eastAsia="Times New Roman" w:hAnsi="Times New Roman"/>
          <w:sz w:val="18"/>
          <w:szCs w:val="18"/>
          <w:color w:val="auto"/>
        </w:rPr>
        <w:t>United States Internal Revenue Service</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Kansas Gas</w:t>
      </w:r>
      <w:r>
        <w:rPr>
          <w:sz w:val="20"/>
          <w:szCs w:val="20"/>
          <w:color w:val="auto"/>
        </w:rPr>
        <w:tab/>
      </w:r>
      <w:r>
        <w:rPr>
          <w:rFonts w:ascii="Times New Roman" w:cs="Times New Roman" w:eastAsia="Times New Roman" w:hAnsi="Times New Roman"/>
          <w:sz w:val="17"/>
          <w:szCs w:val="17"/>
          <w:color w:val="auto"/>
        </w:rPr>
        <w:t>Black Hills Kansas Gas Utility Company, LLC, a direct, wholly-owned subsidiary of Black Hills Utility</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Holdings (doing business as Black Hills Energy)</w:t>
      </w:r>
    </w:p>
    <w:p>
      <w:pPr>
        <w:spacing w:after="0" w:line="45"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LIBOR</w:t>
      </w:r>
      <w:r>
        <w:rPr>
          <w:sz w:val="20"/>
          <w:szCs w:val="20"/>
          <w:color w:val="auto"/>
        </w:rPr>
        <w:tab/>
      </w:r>
      <w:r>
        <w:rPr>
          <w:rFonts w:ascii="Times New Roman" w:cs="Times New Roman" w:eastAsia="Times New Roman" w:hAnsi="Times New Roman"/>
          <w:sz w:val="18"/>
          <w:szCs w:val="18"/>
          <w:color w:val="auto"/>
        </w:rPr>
        <w:t>London Interbank Offered Rate</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MMBtu</w:t>
      </w:r>
      <w:r>
        <w:rPr>
          <w:sz w:val="20"/>
          <w:szCs w:val="20"/>
          <w:color w:val="auto"/>
        </w:rPr>
        <w:tab/>
      </w:r>
      <w:r>
        <w:rPr>
          <w:rFonts w:ascii="Times New Roman" w:cs="Times New Roman" w:eastAsia="Times New Roman" w:hAnsi="Times New Roman"/>
          <w:sz w:val="18"/>
          <w:szCs w:val="18"/>
          <w:color w:val="auto"/>
        </w:rPr>
        <w:t>Million British thermal units</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Moody’s</w:t>
      </w:r>
      <w:r>
        <w:rPr>
          <w:sz w:val="20"/>
          <w:szCs w:val="20"/>
          <w:color w:val="auto"/>
        </w:rPr>
        <w:tab/>
      </w:r>
      <w:r>
        <w:rPr>
          <w:rFonts w:ascii="Times New Roman" w:cs="Times New Roman" w:eastAsia="Times New Roman" w:hAnsi="Times New Roman"/>
          <w:sz w:val="18"/>
          <w:szCs w:val="18"/>
          <w:color w:val="auto"/>
        </w:rPr>
        <w:t>Moody’s Investors Service, Inc.</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MWh</w:t>
      </w:r>
      <w:r>
        <w:rPr>
          <w:sz w:val="20"/>
          <w:szCs w:val="20"/>
          <w:color w:val="auto"/>
        </w:rPr>
        <w:tab/>
      </w:r>
      <w:r>
        <w:rPr>
          <w:rFonts w:ascii="Times New Roman" w:cs="Times New Roman" w:eastAsia="Times New Roman" w:hAnsi="Times New Roman"/>
          <w:sz w:val="18"/>
          <w:szCs w:val="18"/>
          <w:color w:val="auto"/>
        </w:rPr>
        <w:t>Megawatt-hours</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Nebraska Gas</w:t>
      </w:r>
      <w:r>
        <w:rPr>
          <w:sz w:val="20"/>
          <w:szCs w:val="20"/>
          <w:color w:val="auto"/>
        </w:rPr>
        <w:tab/>
      </w:r>
      <w:r>
        <w:rPr>
          <w:rFonts w:ascii="Times New Roman" w:cs="Times New Roman" w:eastAsia="Times New Roman" w:hAnsi="Times New Roman"/>
          <w:sz w:val="17"/>
          <w:szCs w:val="17"/>
          <w:color w:val="auto"/>
        </w:rPr>
        <w:t>Black Hills Nebraska Gas Utility Company, LLC, a direct, wholly-owned subsidiary of Black Hills Utility</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Holdings (doing business as Black Hills Energy)</w:t>
      </w:r>
    </w:p>
    <w:p>
      <w:pPr>
        <w:spacing w:after="0" w:line="45"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OCA</w:t>
      </w:r>
      <w:r>
        <w:rPr>
          <w:sz w:val="20"/>
          <w:szCs w:val="20"/>
          <w:color w:val="auto"/>
        </w:rPr>
        <w:tab/>
      </w:r>
      <w:r>
        <w:rPr>
          <w:rFonts w:ascii="Times New Roman" w:cs="Times New Roman" w:eastAsia="Times New Roman" w:hAnsi="Times New Roman"/>
          <w:sz w:val="18"/>
          <w:szCs w:val="18"/>
          <w:color w:val="auto"/>
        </w:rPr>
        <w:t>Office of Consumer Advocate</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Peak View Wind Project</w:t>
      </w:r>
      <w:r>
        <w:rPr>
          <w:sz w:val="20"/>
          <w:szCs w:val="20"/>
          <w:color w:val="auto"/>
        </w:rPr>
        <w:tab/>
      </w:r>
      <w:r>
        <w:rPr>
          <w:rFonts w:ascii="Times New Roman" w:cs="Times New Roman" w:eastAsia="Times New Roman" w:hAnsi="Times New Roman"/>
          <w:sz w:val="18"/>
          <w:szCs w:val="18"/>
          <w:color w:val="auto"/>
        </w:rPr>
        <w:t>$109 million 60 MW wind generating project for Colorado Electric, adjacent to Busch Ranch wind farm</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PCA</w:t>
      </w:r>
      <w:r>
        <w:rPr>
          <w:sz w:val="20"/>
          <w:szCs w:val="20"/>
          <w:color w:val="auto"/>
        </w:rPr>
        <w:tab/>
      </w:r>
      <w:r>
        <w:rPr>
          <w:rFonts w:ascii="Times New Roman" w:cs="Times New Roman" w:eastAsia="Times New Roman" w:hAnsi="Times New Roman"/>
          <w:sz w:val="18"/>
          <w:szCs w:val="18"/>
          <w:color w:val="auto"/>
        </w:rPr>
        <w:t>Power Cost Adjustment</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PPA</w:t>
      </w:r>
      <w:r>
        <w:rPr>
          <w:sz w:val="20"/>
          <w:szCs w:val="20"/>
          <w:color w:val="auto"/>
        </w:rPr>
        <w:tab/>
      </w:r>
      <w:r>
        <w:rPr>
          <w:rFonts w:ascii="Times New Roman" w:cs="Times New Roman" w:eastAsia="Times New Roman" w:hAnsi="Times New Roman"/>
          <w:sz w:val="18"/>
          <w:szCs w:val="18"/>
          <w:color w:val="auto"/>
        </w:rPr>
        <w:t>Power Purchase Agreement</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Revolving Credit Facility</w:t>
      </w:r>
      <w:r>
        <w:rPr>
          <w:sz w:val="20"/>
          <w:szCs w:val="20"/>
          <w:color w:val="auto"/>
        </w:rPr>
        <w:tab/>
      </w:r>
      <w:r>
        <w:rPr>
          <w:rFonts w:ascii="Times New Roman" w:cs="Times New Roman" w:eastAsia="Times New Roman" w:hAnsi="Times New Roman"/>
          <w:sz w:val="17"/>
          <w:szCs w:val="17"/>
          <w:color w:val="auto"/>
        </w:rPr>
        <w:t>Our $750 million credit facility used to fund working capital needs, letters of credit and other corporate</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purposes, which was amended and restated on July 30, 2018 and now terminates on July 30, 2023.</w:t>
      </w:r>
    </w:p>
    <w:p>
      <w:pPr>
        <w:spacing w:after="0" w:line="45"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RMNG</w:t>
      </w:r>
      <w:r>
        <w:rPr>
          <w:sz w:val="20"/>
          <w:szCs w:val="20"/>
          <w:color w:val="auto"/>
        </w:rPr>
        <w:tab/>
      </w:r>
      <w:r>
        <w:rPr>
          <w:rFonts w:ascii="Times New Roman" w:cs="Times New Roman" w:eastAsia="Times New Roman" w:hAnsi="Times New Roman"/>
          <w:sz w:val="18"/>
          <w:szCs w:val="18"/>
          <w:color w:val="auto"/>
        </w:rPr>
        <w:t>Rocky Mountain Natural Gas, a regulated gas utility acquired in the SourceGas Acquisition that provides</w:t>
      </w:r>
    </w:p>
    <w:p>
      <w:pPr>
        <w:spacing w:after="0" w:line="27" w:lineRule="exact"/>
        <w:rPr>
          <w:sz w:val="20"/>
          <w:szCs w:val="20"/>
          <w:color w:val="auto"/>
        </w:rPr>
      </w:pPr>
    </w:p>
    <w:p>
      <w:pPr>
        <w:ind w:left="3320" w:right="540"/>
        <w:spacing w:after="0" w:line="261" w:lineRule="auto"/>
        <w:rPr>
          <w:sz w:val="20"/>
          <w:szCs w:val="20"/>
          <w:color w:val="auto"/>
        </w:rPr>
      </w:pPr>
      <w:r>
        <w:rPr>
          <w:rFonts w:ascii="Times New Roman" w:cs="Times New Roman" w:eastAsia="Times New Roman" w:hAnsi="Times New Roman"/>
          <w:sz w:val="18"/>
          <w:szCs w:val="18"/>
          <w:color w:val="auto"/>
        </w:rPr>
        <w:t>regulated transmission and wholesale natural gas service to Black Hills Gas in western Colorado (doing business as Black Hills Energy)</w:t>
      </w:r>
    </w:p>
    <w:p>
      <w:pPr>
        <w:spacing w:after="0" w:line="1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RSNs</w:t>
      </w:r>
      <w:r>
        <w:rPr>
          <w:sz w:val="20"/>
          <w:szCs w:val="20"/>
          <w:color w:val="auto"/>
        </w:rPr>
        <w:tab/>
      </w:r>
      <w:r>
        <w:rPr>
          <w:rFonts w:ascii="Times New Roman" w:cs="Times New Roman" w:eastAsia="Times New Roman" w:hAnsi="Times New Roman"/>
          <w:sz w:val="18"/>
          <w:szCs w:val="18"/>
          <w:color w:val="auto"/>
        </w:rPr>
        <w:t>Remarketable junior subordinated notes, issued on November 23, 2015</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SEC</w:t>
      </w:r>
      <w:r>
        <w:rPr>
          <w:sz w:val="20"/>
          <w:szCs w:val="20"/>
          <w:color w:val="auto"/>
        </w:rPr>
        <w:tab/>
      </w:r>
      <w:r>
        <w:rPr>
          <w:rFonts w:ascii="Times New Roman" w:cs="Times New Roman" w:eastAsia="Times New Roman" w:hAnsi="Times New Roman"/>
          <w:sz w:val="18"/>
          <w:szCs w:val="18"/>
          <w:color w:val="auto"/>
        </w:rPr>
        <w:t>U. S. Securities and Exchange Commission</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SourceGas</w:t>
      </w:r>
      <w:r>
        <w:rPr>
          <w:sz w:val="20"/>
          <w:szCs w:val="20"/>
          <w:color w:val="auto"/>
        </w:rPr>
        <w:tab/>
      </w:r>
      <w:r>
        <w:rPr>
          <w:rFonts w:ascii="Times New Roman" w:cs="Times New Roman" w:eastAsia="Times New Roman" w:hAnsi="Times New Roman"/>
          <w:sz w:val="18"/>
          <w:szCs w:val="18"/>
          <w:color w:val="auto"/>
        </w:rPr>
        <w:t>SourceGas Holdings LLC and its subsidiaries, a gas utility owned by funds managed by Alinda Capital</w:t>
      </w:r>
    </w:p>
    <w:p>
      <w:pPr>
        <w:spacing w:after="0" w:line="27" w:lineRule="exact"/>
        <w:rPr>
          <w:sz w:val="20"/>
          <w:szCs w:val="20"/>
          <w:color w:val="auto"/>
        </w:rPr>
      </w:pPr>
    </w:p>
    <w:p>
      <w:pPr>
        <w:ind w:left="3320" w:right="120"/>
        <w:spacing w:after="0" w:line="287" w:lineRule="auto"/>
        <w:rPr>
          <w:sz w:val="20"/>
          <w:szCs w:val="20"/>
          <w:color w:val="auto"/>
        </w:rPr>
      </w:pPr>
      <w:r>
        <w:rPr>
          <w:rFonts w:ascii="Times New Roman" w:cs="Times New Roman" w:eastAsia="Times New Roman" w:hAnsi="Times New Roman"/>
          <w:sz w:val="17"/>
          <w:szCs w:val="17"/>
          <w:color w:val="auto"/>
        </w:rPr>
        <w:t>Partners and GE Energy Financial Services, a unit of General Electric Co. (NYSE:GE) that was acquired on February 12, 2016, and is now named Black Hills Gas Holdings, LLC (doing business as Black Hills Energy)</w:t>
      </w: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SourceGas Acquisition</w:t>
      </w:r>
      <w:r>
        <w:rPr>
          <w:sz w:val="20"/>
          <w:szCs w:val="20"/>
          <w:color w:val="auto"/>
        </w:rPr>
        <w:tab/>
      </w:r>
      <w:r>
        <w:rPr>
          <w:rFonts w:ascii="Times New Roman" w:cs="Times New Roman" w:eastAsia="Times New Roman" w:hAnsi="Times New Roman"/>
          <w:sz w:val="18"/>
          <w:szCs w:val="18"/>
          <w:color w:val="auto"/>
        </w:rPr>
        <w:t>The acquisition of SourceGas Holdings, LLC by Black Hills Utility Holdings</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S&amp;P</w:t>
      </w:r>
      <w:r>
        <w:rPr>
          <w:sz w:val="20"/>
          <w:szCs w:val="20"/>
          <w:color w:val="auto"/>
        </w:rPr>
        <w:tab/>
      </w:r>
      <w:r>
        <w:rPr>
          <w:rFonts w:ascii="Times New Roman" w:cs="Times New Roman" w:eastAsia="Times New Roman" w:hAnsi="Times New Roman"/>
          <w:sz w:val="18"/>
          <w:szCs w:val="18"/>
          <w:color w:val="auto"/>
        </w:rPr>
        <w:t>Standard and Poor’s, a division of The McGraw-Hill Companies, Inc.</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South Dakota Electric</w:t>
      </w:r>
      <w:r>
        <w:rPr>
          <w:sz w:val="20"/>
          <w:szCs w:val="20"/>
          <w:color w:val="auto"/>
        </w:rPr>
        <w:tab/>
      </w:r>
      <w:r>
        <w:rPr>
          <w:rFonts w:ascii="Times New Roman" w:cs="Times New Roman" w:eastAsia="Times New Roman" w:hAnsi="Times New Roman"/>
          <w:sz w:val="17"/>
          <w:szCs w:val="17"/>
          <w:color w:val="auto"/>
        </w:rPr>
        <w:t>Includes Black Hills Power operations in South Dakota, Wyoming and Montana</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SSIR</w:t>
      </w:r>
      <w:r>
        <w:rPr>
          <w:sz w:val="20"/>
          <w:szCs w:val="20"/>
          <w:color w:val="auto"/>
        </w:rPr>
        <w:tab/>
      </w:r>
      <w:r>
        <w:rPr>
          <w:rFonts w:ascii="Times New Roman" w:cs="Times New Roman" w:eastAsia="Times New Roman" w:hAnsi="Times New Roman"/>
          <w:sz w:val="18"/>
          <w:szCs w:val="18"/>
          <w:color w:val="auto"/>
        </w:rPr>
        <w:t>System Safety and Integrity Rider</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TCJA</w:t>
      </w:r>
      <w:r>
        <w:rPr>
          <w:sz w:val="20"/>
          <w:szCs w:val="20"/>
          <w:color w:val="auto"/>
        </w:rPr>
        <w:tab/>
      </w:r>
      <w:r>
        <w:rPr>
          <w:rFonts w:ascii="Times New Roman" w:cs="Times New Roman" w:eastAsia="Times New Roman" w:hAnsi="Times New Roman"/>
          <w:sz w:val="18"/>
          <w:szCs w:val="18"/>
          <w:color w:val="auto"/>
        </w:rPr>
        <w:t>Tax Cuts and Jobs Act enacted on December 22, 2017</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Tech Services</w:t>
      </w:r>
      <w:r>
        <w:rPr>
          <w:sz w:val="20"/>
          <w:szCs w:val="20"/>
          <w:color w:val="auto"/>
        </w:rPr>
        <w:tab/>
      </w:r>
      <w:r>
        <w:rPr>
          <w:rFonts w:ascii="Times New Roman" w:cs="Times New Roman" w:eastAsia="Times New Roman" w:hAnsi="Times New Roman"/>
          <w:sz w:val="17"/>
          <w:szCs w:val="17"/>
          <w:color w:val="auto"/>
        </w:rPr>
        <w:t>Non-regulated product lines within Black Hills Corporation that 1) provide electrical system construction</w:t>
      </w:r>
    </w:p>
    <w:p>
      <w:pPr>
        <w:spacing w:after="0" w:line="27" w:lineRule="exact"/>
        <w:rPr>
          <w:sz w:val="20"/>
          <w:szCs w:val="20"/>
          <w:color w:val="auto"/>
        </w:rPr>
      </w:pPr>
    </w:p>
    <w:p>
      <w:pPr>
        <w:ind w:left="3320" w:right="220"/>
        <w:spacing w:after="0" w:line="255" w:lineRule="auto"/>
        <w:rPr>
          <w:sz w:val="20"/>
          <w:szCs w:val="20"/>
          <w:color w:val="auto"/>
        </w:rPr>
      </w:pPr>
      <w:r>
        <w:rPr>
          <w:rFonts w:ascii="Times New Roman" w:cs="Times New Roman" w:eastAsia="Times New Roman" w:hAnsi="Times New Roman"/>
          <w:sz w:val="18"/>
          <w:szCs w:val="18"/>
          <w:color w:val="auto"/>
        </w:rPr>
        <w:t>services to large industrial customers of our electric utilities, and 2) serve gas transportation customers throughout its service territory by constructing and maintaining customer-owner gas infrastructure facilities, typically through one-time contracts.</w:t>
      </w:r>
    </w:p>
    <w:p>
      <w:pPr>
        <w:spacing w:after="0" w:line="24"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WPSC</w:t>
      </w:r>
      <w:r>
        <w:rPr>
          <w:sz w:val="20"/>
          <w:szCs w:val="20"/>
          <w:color w:val="auto"/>
        </w:rPr>
        <w:tab/>
      </w:r>
      <w:r>
        <w:rPr>
          <w:rFonts w:ascii="Times New Roman" w:cs="Times New Roman" w:eastAsia="Times New Roman" w:hAnsi="Times New Roman"/>
          <w:sz w:val="18"/>
          <w:szCs w:val="18"/>
          <w:color w:val="auto"/>
        </w:rPr>
        <w:t>Wyoming Public Service Commission</w:t>
      </w:r>
    </w:p>
    <w:p>
      <w:pPr>
        <w:spacing w:after="0" w:line="6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Wyodak Plant</w:t>
      </w:r>
      <w:r>
        <w:rPr>
          <w:sz w:val="20"/>
          <w:szCs w:val="20"/>
          <w:color w:val="auto"/>
        </w:rPr>
        <w:tab/>
      </w:r>
      <w:r>
        <w:rPr>
          <w:rFonts w:ascii="Times New Roman" w:cs="Times New Roman" w:eastAsia="Times New Roman" w:hAnsi="Times New Roman"/>
          <w:sz w:val="17"/>
          <w:szCs w:val="17"/>
          <w:color w:val="auto"/>
        </w:rPr>
        <w:t>Wyodak, a 362 MW mine-mouth coal-fired plant in Gillette, Wyoming, owned 80% by Pacificorp and 20% by</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Black Hills Energy South Dakota. Our WRDC mine supplies all of the fuel for the plant.</w:t>
      </w:r>
    </w:p>
    <w:p>
      <w:pPr>
        <w:spacing w:after="0" w:line="45"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Wyoming Electric</w:t>
      </w:r>
      <w:r>
        <w:rPr>
          <w:sz w:val="20"/>
          <w:szCs w:val="20"/>
          <w:color w:val="auto"/>
        </w:rPr>
        <w:tab/>
      </w:r>
      <w:r>
        <w:rPr>
          <w:rFonts w:ascii="Times New Roman" w:cs="Times New Roman" w:eastAsia="Times New Roman" w:hAnsi="Times New Roman"/>
          <w:sz w:val="17"/>
          <w:szCs w:val="17"/>
          <w:color w:val="auto"/>
        </w:rPr>
        <w:t>Includes Cheyenne Light’s electric utility operations</w:t>
      </w:r>
    </w:p>
    <w:p>
      <w:pPr>
        <w:sectPr>
          <w:pgSz w:w="11900" w:h="16838" w:orient="portrait"/>
          <w:cols w:equalWidth="0" w:num="1">
            <w:col w:w="11320"/>
          </w:cols>
          <w:pgMar w:left="280" w:top="742" w:right="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80" w:top="742" w:right="29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BLACK HILLS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(unaudited)</w:t>
            </w:r>
          </w:p>
        </w:tc>
        <w:tc>
          <w:tcPr>
            <w:tcW w:w="280" w:type="dxa"/>
            <w:vAlign w:val="bottom"/>
          </w:tcPr>
          <w:p>
            <w:pPr>
              <w:spacing w:after="0"/>
              <w:rPr>
                <w:sz w:val="18"/>
                <w:szCs w:val="18"/>
                <w:color w:val="auto"/>
              </w:rPr>
            </w:pPr>
          </w:p>
        </w:tc>
        <w:tc>
          <w:tcPr>
            <w:tcW w:w="29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80" w:type="dxa"/>
            <w:vAlign w:val="bottom"/>
          </w:tcPr>
          <w:p>
            <w:pPr>
              <w:spacing w:after="0"/>
              <w:rPr>
                <w:sz w:val="18"/>
                <w:szCs w:val="18"/>
                <w:color w:val="auto"/>
              </w:rPr>
            </w:pPr>
          </w:p>
        </w:tc>
        <w:tc>
          <w:tcPr>
            <w:tcW w:w="288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70"/>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2018</w:t>
            </w:r>
          </w:p>
        </w:tc>
        <w:tc>
          <w:tcPr>
            <w:tcW w:w="200" w:type="dxa"/>
            <w:vAlign w:val="bottom"/>
          </w:tcPr>
          <w:p>
            <w:pPr>
              <w:spacing w:after="0"/>
              <w:rPr>
                <w:sz w:val="23"/>
                <w:szCs w:val="23"/>
                <w:color w:val="auto"/>
              </w:rPr>
            </w:pPr>
          </w:p>
        </w:tc>
        <w:tc>
          <w:tcPr>
            <w:tcW w:w="14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2017</w:t>
            </w:r>
          </w:p>
        </w:tc>
        <w:tc>
          <w:tcPr>
            <w:tcW w:w="280" w:type="dxa"/>
            <w:vAlign w:val="bottom"/>
          </w:tcPr>
          <w:p>
            <w:pPr>
              <w:spacing w:after="0"/>
              <w:rPr>
                <w:sz w:val="23"/>
                <w:szCs w:val="23"/>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2018</w:t>
            </w:r>
          </w:p>
        </w:tc>
        <w:tc>
          <w:tcPr>
            <w:tcW w:w="380" w:type="dxa"/>
            <w:vAlign w:val="bottom"/>
          </w:tcPr>
          <w:p>
            <w:pPr>
              <w:spacing w:after="0"/>
              <w:rPr>
                <w:sz w:val="23"/>
                <w:szCs w:val="23"/>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321,979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335,611</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1,253,072</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1,224,968</w:t>
            </w:r>
          </w:p>
        </w:tc>
      </w:tr>
      <w:tr>
        <w:trPr>
          <w:trHeight w:val="156"/>
        </w:trPr>
        <w:tc>
          <w:tcPr>
            <w:tcW w:w="5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purchased power and cost of natural gas sold</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80,244</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86,281</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432,544</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404,222</w:t>
            </w: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115,477</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109,258</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350,099</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335,707</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49,046</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47,109</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146,345</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140,636</w:t>
            </w: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Taxes - property, production and severance</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11,905</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12,408</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39,181</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38,866</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996</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1,993</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5,996</w:t>
            </w:r>
          </w:p>
        </w:tc>
      </w:tr>
      <w:tr>
        <w:trPr>
          <w:trHeight w:val="33"/>
        </w:trPr>
        <w:tc>
          <w:tcPr>
            <w:tcW w:w="50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256,894</w:t>
            </w: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256,052</w:t>
            </w:r>
          </w:p>
        </w:tc>
        <w:tc>
          <w:tcPr>
            <w:tcW w:w="2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970,162</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925,427</w:t>
            </w:r>
          </w:p>
        </w:tc>
      </w:tr>
      <w:tr>
        <w:trPr>
          <w:trHeight w:val="156"/>
        </w:trPr>
        <w:tc>
          <w:tcPr>
            <w:tcW w:w="5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65,085</w:t>
            </w:r>
          </w:p>
        </w:tc>
        <w:tc>
          <w:tcPr>
            <w:tcW w:w="20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79,559</w:t>
            </w:r>
          </w:p>
        </w:tc>
        <w:tc>
          <w:tcPr>
            <w:tcW w:w="2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282,910</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299,541</w:t>
            </w:r>
          </w:p>
        </w:tc>
      </w:tr>
      <w:tr>
        <w:trPr>
          <w:trHeight w:val="183"/>
        </w:trPr>
        <w:tc>
          <w:tcPr>
            <w:tcW w:w="50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charges -</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020" w:type="dxa"/>
            <w:vAlign w:val="bottom"/>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Interest expense incurred (including amortization of debt issuance costs,</w:t>
            </w:r>
          </w:p>
        </w:tc>
        <w:tc>
          <w:tcPr>
            <w:tcW w:w="28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r>
      <w:tr>
        <w:trPr>
          <w:trHeight w:val="223"/>
        </w:trPr>
        <w:tc>
          <w:tcPr>
            <w:tcW w:w="502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premiums and discounts)</w:t>
            </w:r>
          </w:p>
        </w:tc>
        <w:tc>
          <w:tcPr>
            <w:tcW w:w="280" w:type="dxa"/>
            <w:vAlign w:val="bottom"/>
            <w:tcBorders>
              <w:bottom w:val="single" w:sz="8" w:color="CEFFE7"/>
            </w:tcBorders>
            <w:shd w:val="clear" w:color="auto" w:fill="CEFFE7"/>
          </w:tcPr>
          <w:p>
            <w:pPr>
              <w:spacing w:after="0"/>
              <w:rPr>
                <w:sz w:val="19"/>
                <w:szCs w:val="19"/>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(36,480)</w:t>
            </w:r>
          </w:p>
        </w:tc>
        <w:tc>
          <w:tcPr>
            <w:tcW w:w="200" w:type="dxa"/>
            <w:vAlign w:val="bottom"/>
            <w:tcBorders>
              <w:bottom w:val="single" w:sz="8" w:color="CEFFE7"/>
            </w:tcBorders>
            <w:shd w:val="clear" w:color="auto" w:fill="CEFFE7"/>
          </w:tcPr>
          <w:p>
            <w:pPr>
              <w:spacing w:after="0"/>
              <w:rPr>
                <w:sz w:val="19"/>
                <w:szCs w:val="19"/>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(35,287)</w:t>
            </w:r>
          </w:p>
        </w:tc>
        <w:tc>
          <w:tcPr>
            <w:tcW w:w="28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(107,360)</w:t>
            </w:r>
          </w:p>
        </w:tc>
        <w:tc>
          <w:tcPr>
            <w:tcW w:w="38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(105,417)</w:t>
            </w:r>
          </w:p>
        </w:tc>
      </w:tr>
      <w:tr>
        <w:trPr>
          <w:trHeight w:val="224"/>
        </w:trPr>
        <w:tc>
          <w:tcPr>
            <w:tcW w:w="5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Allowance for funds used during construction - borrowed</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701</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753</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1,345</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2,061</w:t>
            </w: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Capitalized interest</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Allowance for funds used during construction - equity</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696</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1,982</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0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4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(35,807)</w:t>
            </w: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(33,183)</w:t>
            </w:r>
          </w:p>
        </w:tc>
        <w:tc>
          <w:tcPr>
            <w:tcW w:w="2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(106,749)</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(100,483)</w:t>
            </w:r>
          </w:p>
        </w:tc>
      </w:tr>
      <w:tr>
        <w:trPr>
          <w:trHeight w:val="156"/>
        </w:trPr>
        <w:tc>
          <w:tcPr>
            <w:tcW w:w="5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29,278</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46,376</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176,161</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199,058</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(13,478)</w:t>
            </w:r>
          </w:p>
        </w:tc>
        <w:tc>
          <w:tcPr>
            <w:tcW w:w="2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11,784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(58,518)</w:t>
            </w:r>
          </w:p>
        </w:tc>
      </w:tr>
      <w:tr>
        <w:trPr>
          <w:trHeight w:val="33"/>
        </w:trPr>
        <w:tc>
          <w:tcPr>
            <w:tcW w:w="50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21,801</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32,898</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187,945</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140,540</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w:t>
            </w:r>
          </w:p>
        </w:tc>
      </w:tr>
      <w:tr>
        <w:trPr>
          <w:trHeight w:val="33"/>
        </w:trPr>
        <w:tc>
          <w:tcPr>
            <w:tcW w:w="50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20,944</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31,598</w:t>
            </w:r>
          </w:p>
        </w:tc>
        <w:tc>
          <w:tcPr>
            <w:tcW w:w="280" w:type="dxa"/>
            <w:vAlign w:val="bottom"/>
            <w:tcBorders>
              <w:bottom w:val="single" w:sz="8" w:color="CEFFE7"/>
            </w:tcBorders>
            <w:shd w:val="clear" w:color="auto" w:fill="CEFFE7"/>
          </w:tcPr>
          <w:p>
            <w:pPr>
              <w:spacing w:after="0"/>
              <w:rPr>
                <w:sz w:val="20"/>
                <w:szCs w:val="20"/>
                <w:color w:val="auto"/>
              </w:rPr>
            </w:pPr>
          </w:p>
        </w:tc>
        <w:tc>
          <w:tcPr>
            <w:tcW w:w="13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182,318</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137,055</w:t>
            </w:r>
          </w:p>
        </w:tc>
      </w:tr>
      <w:tr>
        <w:trPr>
          <w:trHeight w:val="22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(10,674)</w:t>
            </w:r>
          </w:p>
        </w:tc>
      </w:tr>
      <w:tr>
        <w:trPr>
          <w:trHeight w:val="33"/>
        </w:trPr>
        <w:tc>
          <w:tcPr>
            <w:tcW w:w="50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16,950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27,663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171,871</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126,381</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9"/>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Amounts attributable to common shareholders:</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24"/>
        </w:trPr>
        <w:tc>
          <w:tcPr>
            <w:tcW w:w="5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28,963</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177,498</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129,866</w:t>
            </w: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502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0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(3,485)</w:t>
            </w:r>
          </w:p>
        </w:tc>
      </w:tr>
      <w:tr>
        <w:trPr>
          <w:trHeight w:val="284"/>
        </w:trPr>
        <w:tc>
          <w:tcPr>
            <w:tcW w:w="5020" w:type="dxa"/>
            <w:vAlign w:val="bottom"/>
            <w:tcBorders>
              <w:bottom w:val="single" w:sz="8" w:color="CEFFE7"/>
            </w:tcBorders>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16,950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27,663</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171,871</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126,381</w:t>
            </w:r>
          </w:p>
        </w:tc>
      </w:tr>
      <w:tr>
        <w:trPr>
          <w:trHeight w:val="257"/>
        </w:trPr>
        <w:tc>
          <w:tcPr>
            <w:tcW w:w="5020" w:type="dxa"/>
            <w:vAlign w:val="bottom"/>
            <w:shd w:val="clear" w:color="auto" w:fill="CEFFE7"/>
          </w:tcPr>
          <w:p>
            <w:pPr>
              <w:spacing w:after="0"/>
              <w:rPr>
                <w:sz w:val="22"/>
                <w:szCs w:val="22"/>
                <w:color w:val="auto"/>
              </w:rPr>
            </w:pPr>
          </w:p>
        </w:tc>
        <w:tc>
          <w:tcPr>
            <w:tcW w:w="280" w:type="dxa"/>
            <w:vAlign w:val="bottom"/>
            <w:shd w:val="clear" w:color="auto" w:fill="CEFFE7"/>
          </w:tcPr>
          <w:p>
            <w:pPr>
              <w:spacing w:after="0"/>
              <w:rPr>
                <w:sz w:val="22"/>
                <w:szCs w:val="22"/>
                <w:color w:val="auto"/>
              </w:rPr>
            </w:pPr>
          </w:p>
        </w:tc>
        <w:tc>
          <w:tcPr>
            <w:tcW w:w="132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400" w:type="dxa"/>
            <w:vAlign w:val="bottom"/>
            <w:shd w:val="clear" w:color="auto" w:fill="CEFFE7"/>
          </w:tcPr>
          <w:p>
            <w:pPr>
              <w:spacing w:after="0"/>
              <w:rPr>
                <w:sz w:val="22"/>
                <w:szCs w:val="22"/>
                <w:color w:val="auto"/>
              </w:rPr>
            </w:pPr>
          </w:p>
        </w:tc>
        <w:tc>
          <w:tcPr>
            <w:tcW w:w="280" w:type="dxa"/>
            <w:vAlign w:val="bottom"/>
            <w:shd w:val="clear" w:color="auto" w:fill="CEFFE7"/>
          </w:tcPr>
          <w:p>
            <w:pPr>
              <w:spacing w:after="0"/>
              <w:rPr>
                <w:sz w:val="22"/>
                <w:szCs w:val="22"/>
                <w:color w:val="auto"/>
              </w:rPr>
            </w:pPr>
          </w:p>
        </w:tc>
        <w:tc>
          <w:tcPr>
            <w:tcW w:w="1300" w:type="dxa"/>
            <w:vAlign w:val="bottom"/>
            <w:shd w:val="clear" w:color="auto" w:fill="CEFFE7"/>
          </w:tcPr>
          <w:p>
            <w:pPr>
              <w:spacing w:after="0"/>
              <w:rPr>
                <w:sz w:val="22"/>
                <w:szCs w:val="22"/>
                <w:color w:val="auto"/>
              </w:rPr>
            </w:pPr>
          </w:p>
        </w:tc>
        <w:tc>
          <w:tcPr>
            <w:tcW w:w="380" w:type="dxa"/>
            <w:vAlign w:val="bottom"/>
            <w:shd w:val="clear" w:color="auto" w:fill="CEFFE7"/>
          </w:tcPr>
          <w:p>
            <w:pPr>
              <w:spacing w:after="0"/>
              <w:rPr>
                <w:sz w:val="22"/>
                <w:szCs w:val="22"/>
                <w:color w:val="auto"/>
              </w:rPr>
            </w:pPr>
          </w:p>
        </w:tc>
        <w:tc>
          <w:tcPr>
            <w:tcW w:w="1200" w:type="dxa"/>
            <w:vAlign w:val="bottom"/>
            <w:shd w:val="clear" w:color="auto" w:fill="CEFFE7"/>
          </w:tcPr>
          <w:p>
            <w:pPr>
              <w:spacing w:after="0"/>
              <w:rPr>
                <w:sz w:val="22"/>
                <w:szCs w:val="22"/>
                <w:color w:val="auto"/>
              </w:rPr>
            </w:pPr>
          </w:p>
        </w:tc>
      </w:tr>
    </w:tbl>
    <w:p>
      <w:pPr>
        <w:spacing w:after="0" w:line="27" w:lineRule="exact"/>
        <w:rPr>
          <w:sz w:val="20"/>
          <w:szCs w:val="20"/>
          <w:color w:val="auto"/>
        </w:rPr>
      </w:pPr>
    </w:p>
    <w:p>
      <w:pPr>
        <w:sectPr>
          <w:pgSz w:w="11900" w:h="16838" w:orient="portrait"/>
          <w:cols w:equalWidth="0" w:num="1">
            <w:col w:w="11400"/>
          </w:cols>
          <w:pgMar w:left="240" w:top="610" w:right="259" w:bottom="9" w:gutter="0" w:footer="0" w:header="0"/>
        </w:sectPr>
      </w:pPr>
    </w:p>
    <w:p>
      <w:pPr>
        <w:ind w:left="40"/>
        <w:spacing w:after="0"/>
        <w:rPr>
          <w:sz w:val="20"/>
          <w:szCs w:val="20"/>
          <w:color w:val="auto"/>
        </w:rPr>
      </w:pPr>
      <w:r>
        <w:rPr>
          <w:rFonts w:ascii="Times New Roman" w:cs="Times New Roman" w:eastAsia="Times New Roman" w:hAnsi="Times New Roman"/>
          <w:sz w:val="16"/>
          <w:szCs w:val="16"/>
          <w:color w:val="auto"/>
        </w:rPr>
        <w:t>Earnings per share of common stock:</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Earnings (loss) per share, Basic -</w:t>
      </w:r>
    </w:p>
    <w:p>
      <w:pPr>
        <w:spacing w:after="0" w:line="73" w:lineRule="exact"/>
        <w:rPr>
          <w:sz w:val="20"/>
          <w:szCs w:val="20"/>
          <w:color w:val="auto"/>
        </w:rPr>
      </w:pPr>
    </w:p>
    <w:p>
      <w:pPr>
        <w:ind w:left="300" w:right="1000"/>
        <w:spacing w:after="0" w:line="352" w:lineRule="auto"/>
        <w:rPr>
          <w:sz w:val="20"/>
          <w:szCs w:val="20"/>
          <w:color w:val="auto"/>
        </w:rPr>
      </w:pPr>
      <w:r>
        <w:rPr>
          <w:rFonts w:ascii="Times New Roman" w:cs="Times New Roman" w:eastAsia="Times New Roman" w:hAnsi="Times New Roman"/>
          <w:sz w:val="16"/>
          <w:szCs w:val="16"/>
          <w:color w:val="auto"/>
        </w:rPr>
        <w:t>Income from continuing operations, per share (Loss) from discontinued operations, per share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xml:space="preserve">Earnings per share, Basic </w:t>
      </w:r>
      <w:r>
        <w:rPr>
          <w:rFonts w:ascii="Times New Roman" w:cs="Times New Roman" w:eastAsia="Times New Roman" w:hAnsi="Times New Roman"/>
          <w:sz w:val="21"/>
          <w:szCs w:val="21"/>
          <w:color w:val="auto"/>
          <w:vertAlign w:val="superscript"/>
        </w:rPr>
        <w:t>(a)</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Earnings (loss) per share, Diluted -</w:t>
      </w:r>
    </w:p>
    <w:p>
      <w:pPr>
        <w:spacing w:after="0" w:line="73" w:lineRule="exact"/>
        <w:rPr>
          <w:sz w:val="20"/>
          <w:szCs w:val="20"/>
          <w:color w:val="auto"/>
        </w:rPr>
      </w:pPr>
    </w:p>
    <w:p>
      <w:pPr>
        <w:ind w:left="300" w:right="1000"/>
        <w:spacing w:after="0" w:line="352" w:lineRule="auto"/>
        <w:rPr>
          <w:sz w:val="20"/>
          <w:szCs w:val="20"/>
          <w:color w:val="auto"/>
        </w:rPr>
      </w:pPr>
      <w:r>
        <w:rPr>
          <w:rFonts w:ascii="Times New Roman" w:cs="Times New Roman" w:eastAsia="Times New Roman" w:hAnsi="Times New Roman"/>
          <w:sz w:val="16"/>
          <w:szCs w:val="16"/>
          <w:color w:val="auto"/>
        </w:rPr>
        <w:t>Income from continuing operations, per share (Loss) from discontinued operations, per share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xml:space="preserve">Earnings per share, Diluted </w:t>
      </w:r>
      <w:r>
        <w:rPr>
          <w:rFonts w:ascii="Times New Roman" w:cs="Times New Roman" w:eastAsia="Times New Roman" w:hAnsi="Times New Roman"/>
          <w:sz w:val="21"/>
          <w:szCs w:val="21"/>
          <w:color w:val="auto"/>
          <w:vertAlign w:val="superscript"/>
        </w:rPr>
        <w:t>(a)</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0.33</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r>
      <w:tr>
        <w:trPr>
          <w:trHeight w:val="257"/>
        </w:trPr>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0.32</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0.52</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3"/>
        </w:trPr>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0.32</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0.52</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w:t>
            </w:r>
          </w:p>
        </w:tc>
      </w:tr>
      <w:tr>
        <w:trPr>
          <w:trHeight w:val="257"/>
        </w:trPr>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0.31</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0.50</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6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-1508760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-1174115</wp:posOffset>
            </wp:positionV>
            <wp:extent cx="7229475"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-831215</wp:posOffset>
            </wp:positionV>
            <wp:extent cx="722947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-522605</wp:posOffset>
            </wp:positionV>
            <wp:extent cx="7229475"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-196850</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320" w:space="720"/>
            <w:col w:w="6360"/>
          </w:cols>
          <w:pgMar w:left="240" w:top="610" w:right="259" w:bottom="9"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50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580" w:type="dxa"/>
            <w:vAlign w:val="bottom"/>
            <w:tcBorders>
              <w:bottom w:val="single" w:sz="8" w:color="auto"/>
            </w:tcBorders>
            <w:shd w:val="clear" w:color="auto" w:fill="CEFFE7"/>
          </w:tcPr>
          <w:p>
            <w:pPr>
              <w:spacing w:after="0"/>
              <w:rPr>
                <w:sz w:val="21"/>
                <w:szCs w:val="21"/>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53,364</w:t>
            </w:r>
          </w:p>
        </w:tc>
        <w:tc>
          <w:tcPr>
            <w:tcW w:w="620" w:type="dxa"/>
            <w:vAlign w:val="bottom"/>
            <w:tcBorders>
              <w:bottom w:val="single" w:sz="8" w:color="auto"/>
            </w:tcBorders>
            <w:shd w:val="clear" w:color="auto" w:fill="CEFFE7"/>
          </w:tcPr>
          <w:p>
            <w:pPr>
              <w:spacing w:after="0"/>
              <w:rPr>
                <w:sz w:val="21"/>
                <w:szCs w:val="21"/>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53,243</w:t>
            </w:r>
          </w:p>
        </w:tc>
        <w:tc>
          <w:tcPr>
            <w:tcW w:w="620" w:type="dxa"/>
            <w:vAlign w:val="bottom"/>
            <w:tcBorders>
              <w:bottom w:val="single" w:sz="8" w:color="auto"/>
            </w:tcBorders>
            <w:shd w:val="clear" w:color="auto" w:fill="CEFFE7"/>
          </w:tcPr>
          <w:p>
            <w:pPr>
              <w:spacing w:after="0"/>
              <w:rPr>
                <w:sz w:val="21"/>
                <w:szCs w:val="21"/>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53,346</w:t>
            </w:r>
          </w:p>
        </w:tc>
        <w:tc>
          <w:tcPr>
            <w:tcW w:w="620" w:type="dxa"/>
            <w:vAlign w:val="bottom"/>
            <w:tcBorders>
              <w:bottom w:val="single" w:sz="8" w:color="auto"/>
            </w:tcBorders>
            <w:shd w:val="clear" w:color="auto" w:fill="CEFFE7"/>
          </w:tcPr>
          <w:p>
            <w:pPr>
              <w:spacing w:after="0"/>
              <w:rPr>
                <w:sz w:val="21"/>
                <w:szCs w:val="21"/>
                <w:color w:val="auto"/>
              </w:rPr>
            </w:pPr>
          </w:p>
        </w:tc>
        <w:tc>
          <w:tcPr>
            <w:tcW w:w="10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53,208</w:t>
            </w:r>
          </w:p>
        </w:tc>
      </w:tr>
      <w:tr>
        <w:trPr>
          <w:trHeight w:val="20"/>
        </w:trPr>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7"/>
        </w:trPr>
        <w:tc>
          <w:tcPr>
            <w:tcW w:w="5020" w:type="dxa"/>
            <w:vAlign w:val="bottom"/>
            <w:tcBorders>
              <w:bottom w:val="single" w:sz="8" w:color="CEFFE7"/>
            </w:tcBorders>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54,819</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55,432</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54,508</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55,254</w:t>
            </w:r>
          </w:p>
        </w:tc>
      </w:tr>
      <w:tr>
        <w:trPr>
          <w:trHeight w:val="163"/>
        </w:trPr>
        <w:tc>
          <w:tcPr>
            <w:tcW w:w="5020" w:type="dxa"/>
            <w:vAlign w:val="bottom"/>
            <w:shd w:val="clear" w:color="auto" w:fill="CEFFE7"/>
          </w:tcPr>
          <w:p>
            <w:pPr>
              <w:spacing w:after="0"/>
              <w:rPr>
                <w:sz w:val="14"/>
                <w:szCs w:val="14"/>
                <w:color w:val="auto"/>
              </w:rPr>
            </w:pPr>
          </w:p>
        </w:tc>
        <w:tc>
          <w:tcPr>
            <w:tcW w:w="58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 declared per share of common stock</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0.475</w:t>
            </w:r>
          </w:p>
        </w:tc>
        <w:tc>
          <w:tcPr>
            <w:tcW w:w="6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0.445</w:t>
            </w:r>
          </w:p>
        </w:tc>
        <w:tc>
          <w:tcPr>
            <w:tcW w:w="6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6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1.335</w:t>
            </w:r>
          </w:p>
        </w:tc>
      </w:tr>
      <w:tr>
        <w:trPr>
          <w:trHeight w:val="20"/>
        </w:trPr>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EPS may not sum due to rounding.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400"/>
          </w:cols>
          <w:pgMar w:left="240" w:top="610" w:right="259" w:bottom="9" w:gutter="0" w:footer="0" w:header="0"/>
          <w:type w:val="continuous"/>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10" w:right="259" w:bottom="9"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17"/>
                <w:szCs w:val="17"/>
                <w:color w:val="auto"/>
              </w:rPr>
            </w:pPr>
          </w:p>
        </w:tc>
        <w:tc>
          <w:tcPr>
            <w:tcW w:w="218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color w:val="auto"/>
              </w:rPr>
              <w:t>Three Months Ended</w:t>
            </w:r>
          </w:p>
        </w:tc>
        <w:tc>
          <w:tcPr>
            <w:tcW w:w="340" w:type="dxa"/>
            <w:vAlign w:val="bottom"/>
          </w:tcPr>
          <w:p>
            <w:pPr>
              <w:spacing w:after="0"/>
              <w:rPr>
                <w:sz w:val="17"/>
                <w:szCs w:val="17"/>
                <w:color w:val="auto"/>
              </w:rPr>
            </w:pPr>
          </w:p>
        </w:tc>
        <w:tc>
          <w:tcPr>
            <w:tcW w:w="2220" w:type="dxa"/>
            <w:vAlign w:val="bottom"/>
            <w:gridSpan w:val="3"/>
          </w:tcPr>
          <w:p>
            <w:pPr>
              <w:jc w:val="center"/>
              <w:ind w:right="17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6"/>
        </w:trPr>
        <w:tc>
          <w:tcPr>
            <w:tcW w:w="6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color w:val="auto"/>
              </w:rPr>
              <w:t>September 30,</w:t>
            </w:r>
          </w:p>
        </w:tc>
        <w:tc>
          <w:tcPr>
            <w:tcW w:w="340" w:type="dxa"/>
            <w:vAlign w:val="bottom"/>
          </w:tcPr>
          <w:p>
            <w:pPr>
              <w:spacing w:after="0"/>
              <w:rPr>
                <w:sz w:val="18"/>
                <w:szCs w:val="18"/>
                <w:color w:val="auto"/>
              </w:rPr>
            </w:pPr>
          </w:p>
        </w:tc>
        <w:tc>
          <w:tcPr>
            <w:tcW w:w="222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3"/>
                <w:szCs w:val="23"/>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80" w:type="dxa"/>
            <w:vAlign w:val="bottom"/>
            <w:gridSpan w:val="3"/>
          </w:tcPr>
          <w:p>
            <w:pPr>
              <w:jc w:val="right"/>
              <w:ind w:right="594"/>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EFFE7"/>
            </w:tcBorders>
            <w:shd w:val="clear" w:color="auto" w:fill="CEFFE7"/>
          </w:tcPr>
          <w:p>
            <w:pPr>
              <w:jc w:val="right"/>
              <w:ind w:right="94"/>
              <w:spacing w:after="0"/>
              <w:rPr>
                <w:sz w:val="20"/>
                <w:szCs w:val="20"/>
                <w:color w:val="auto"/>
              </w:rPr>
            </w:pPr>
            <w:r>
              <w:rPr>
                <w:rFonts w:ascii="Times New Roman" w:cs="Times New Roman" w:eastAsia="Times New Roman" w:hAnsi="Times New Roman"/>
                <w:sz w:val="18"/>
                <w:szCs w:val="18"/>
                <w:color w:val="auto"/>
              </w:rPr>
              <w:t>20,944  $</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182,318</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137,055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63"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8"/>
          <w:szCs w:val="18"/>
          <w:color w:val="auto"/>
        </w:rPr>
        <w:t>Reclassification adjustments of benefit plan liability - prior service cost (net of tax (expense) benefit of $10 and $17 for the three months ended September 30, 2018 and 2017 and $29 and $52 for the nine months ended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ind w:left="380" w:right="80"/>
        <w:spacing w:after="0" w:line="261" w:lineRule="auto"/>
        <w:rPr>
          <w:sz w:val="20"/>
          <w:szCs w:val="20"/>
          <w:color w:val="auto"/>
        </w:rPr>
      </w:pPr>
      <w:r>
        <w:rPr>
          <w:rFonts w:ascii="Times New Roman" w:cs="Times New Roman" w:eastAsia="Times New Roman" w:hAnsi="Times New Roman"/>
          <w:sz w:val="18"/>
          <w:szCs w:val="18"/>
          <w:color w:val="auto"/>
        </w:rPr>
        <w:t>Reclassification adjustments of benefit plan liability - net gain (loss) (net of tax (expense) benefit of $(138) and $(145) for the three months ended September 30, 2018 and 2017 and $(409) and $(445) for the nine months ended September 30, 2018 and 2017, respectively)</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Derivative instruments designated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ind w:left="380" w:right="200"/>
        <w:spacing w:after="0" w:line="261" w:lineRule="auto"/>
        <w:rPr>
          <w:sz w:val="20"/>
          <w:szCs w:val="20"/>
          <w:color w:val="auto"/>
        </w:rPr>
      </w:pPr>
      <w:r>
        <w:rPr>
          <w:rFonts w:ascii="Times New Roman" w:cs="Times New Roman" w:eastAsia="Times New Roman" w:hAnsi="Times New Roman"/>
          <w:sz w:val="18"/>
          <w:szCs w:val="18"/>
          <w:color w:val="auto"/>
        </w:rPr>
        <w:t>Reclassification of net realized (gains) losses on settled/amortized interest rate swaps (net of tax (expense) benefit of $(152) and $(249) for the three months ended September 30, 2018 and 2017 and $(456) and $(779) for the nine months ended September 30, 2018 and 2017, respectively)</w:t>
      </w:r>
    </w:p>
    <w:p>
      <w:pPr>
        <w:spacing w:after="0" w:line="18" w:lineRule="exact"/>
        <w:rPr>
          <w:sz w:val="20"/>
          <w:szCs w:val="20"/>
          <w:color w:val="auto"/>
        </w:rPr>
      </w:pPr>
    </w:p>
    <w:p>
      <w:pPr>
        <w:ind w:left="380" w:right="220"/>
        <w:spacing w:after="0" w:line="261" w:lineRule="auto"/>
        <w:rPr>
          <w:sz w:val="20"/>
          <w:szCs w:val="20"/>
          <w:color w:val="auto"/>
        </w:rPr>
      </w:pPr>
      <w:r>
        <w:rPr>
          <w:rFonts w:ascii="Times New Roman" w:cs="Times New Roman" w:eastAsia="Times New Roman" w:hAnsi="Times New Roman"/>
          <w:sz w:val="18"/>
          <w:szCs w:val="18"/>
          <w:color w:val="auto"/>
        </w:rPr>
        <w:t>Net unrealized gains (losses) on commodity derivatives (net of tax (expense) benefit of $0 and $94 for the three months ended September 30, 2018 and 2017 and $51 and $(442) for the nine months ended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ind w:left="380" w:right="40"/>
        <w:spacing w:after="0" w:line="261" w:lineRule="auto"/>
        <w:rPr>
          <w:sz w:val="20"/>
          <w:szCs w:val="20"/>
          <w:color w:val="auto"/>
        </w:rPr>
      </w:pPr>
      <w:r>
        <w:rPr>
          <w:rFonts w:ascii="Times New Roman" w:cs="Times New Roman" w:eastAsia="Times New Roman" w:hAnsi="Times New Roman"/>
          <w:sz w:val="18"/>
          <w:szCs w:val="18"/>
          <w:color w:val="auto"/>
        </w:rPr>
        <w:t>Reclassification of net realized (gains) losses on settled commodity derivatives (net of tax (expense) benefit of $3 and $95 for the three months ended September 30, 2018 and 2017 and $(187) and $344 for the nine months ended September 30, 2018 and 2017, respectively)</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918"/>
        </w:trPr>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483</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269</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1,456</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w:t>
            </w:r>
          </w:p>
        </w:tc>
      </w:tr>
      <w:tr>
        <w:trPr>
          <w:trHeight w:val="1188"/>
        </w:trPr>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560</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464</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1,682</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w:t>
            </w:r>
          </w:p>
        </w:tc>
      </w:tr>
      <w:tr>
        <w:trPr>
          <w:trHeight w:val="918"/>
        </w:trPr>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(168)</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r>
      <w:tr>
        <w:trPr>
          <w:trHeight w:val="918"/>
        </w:trPr>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
        </w:trPr>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1,060</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375</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3,481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r>
      <w:tr>
        <w:trPr>
          <w:trHeight w:val="27"/>
        </w:trPr>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20" w:space="80"/>
            <w:col w:w="5020"/>
          </w:cols>
          <w:pgMar w:left="240" w:top="792" w:right="239" w:bottom="1440" w:gutter="0" w:footer="0" w:header="0"/>
          <w:type w:val="continuous"/>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22,004</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31,973</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185,799</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139,372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8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4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3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3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(10,674)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available for common stock</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18,010</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28,038</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175,352</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128,698</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 14 for additional disclosures.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92"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(unaudited)</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As of</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4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2017</w:t>
            </w:r>
          </w:p>
        </w:tc>
        <w:tc>
          <w:tcPr>
            <w:tcW w:w="30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tcBorders>
              <w:bottom w:val="single" w:sz="8" w:color="CEFFE7"/>
            </w:tcBorders>
            <w:gridSpan w:val="2"/>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10,001</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15,420</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13,449</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2,820</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152,796</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248,330</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150,325</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Materials, supplies and fuel</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122,618</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113,283</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122,866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receivable, net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11,025</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Regulatory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48,302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81,016</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61,023</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32,691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25,367</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25,586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2,854</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84,242</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8,653</w:t>
            </w:r>
          </w:p>
        </w:tc>
      </w:tr>
      <w:tr>
        <w:trPr>
          <w:trHeight w:val="237"/>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384,920</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570,782</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385,018</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41,202</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13,090</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12,947</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5,819,000</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5,567,518</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5,499,557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(1,118,783)</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(1,026,088)</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(1,000,875)</w:t>
            </w:r>
          </w:p>
        </w:tc>
      </w:tr>
      <w:tr>
        <w:trPr>
          <w:trHeight w:val="237"/>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4,700,217</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4,541,430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4,498,682</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1,299,454</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1,299,454</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6,954</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7,559</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7,765</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212,048</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216,438</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239,571</w:t>
            </w:r>
          </w:p>
        </w:tc>
      </w:tr>
      <w:tr>
        <w:trPr>
          <w:trHeight w:val="243"/>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17,143</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10,149</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108,685</w:t>
            </w:r>
          </w:p>
        </w:tc>
      </w:tr>
      <w:tr>
        <w:trPr>
          <w:trHeight w:val="237"/>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assets, non-current</w:t>
            </w:r>
          </w:p>
        </w:tc>
        <w:tc>
          <w:tcPr>
            <w:tcW w:w="1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1,535,599</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1,533,600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1,667,101</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4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6,661,938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6,658,902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6,563,748</w:t>
            </w:r>
          </w:p>
        </w:tc>
      </w:tr>
      <w:tr>
        <w:trPr>
          <w:trHeight w:val="20"/>
        </w:trPr>
        <w:tc>
          <w:tcPr>
            <w:tcW w:w="6400" w:type="dxa"/>
            <w:vAlign w:val="bottom"/>
            <w:gridSpan w:val="2"/>
          </w:tcPr>
          <w:p>
            <w:pPr>
              <w:spacing w:after="0" w:line="20" w:lineRule="exact"/>
              <w:rPr>
                <w:sz w:val="1"/>
                <w:szCs w:val="1"/>
                <w:color w:val="auto"/>
              </w:rPr>
            </w:pPr>
          </w:p>
        </w:tc>
        <w:tc>
          <w:tcPr>
            <w:tcW w:w="3660" w:type="dxa"/>
            <w:vAlign w:val="bottom"/>
            <w:tcBorders>
              <w:bottom w:val="single" w:sz="8" w:color="auto"/>
            </w:tcBorders>
            <w:gridSpan w:val="5"/>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69"/>
        </w:trPr>
        <w:tc>
          <w:tcPr>
            <w:tcW w:w="10060" w:type="dxa"/>
            <w:vAlign w:val="bottom"/>
            <w:gridSpan w:val="7"/>
          </w:tcPr>
          <w:p>
            <w:pPr>
              <w:jc w:val="center"/>
              <w:ind w:left="1291"/>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Condensed Consolidated Financial Statements.</w:t>
            </w:r>
          </w:p>
        </w:tc>
        <w:tc>
          <w:tcPr>
            <w:tcW w:w="1360" w:type="dxa"/>
            <w:vAlign w:val="bottom"/>
          </w:tcPr>
          <w:p>
            <w:pPr>
              <w:spacing w:after="0"/>
              <w:rPr>
                <w:sz w:val="24"/>
                <w:szCs w:val="24"/>
                <w:color w:val="auto"/>
              </w:rPr>
            </w:pPr>
          </w:p>
        </w:tc>
      </w:tr>
      <w:tr>
        <w:trPr>
          <w:trHeight w:val="456"/>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As of</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6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September 30,</w:t>
            </w:r>
          </w:p>
        </w:tc>
      </w:t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2018</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2017</w:t>
            </w:r>
          </w:p>
        </w:tc>
        <w:tc>
          <w:tcPr>
            <w:tcW w:w="3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gridSpan w:val="5"/>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r>
      <w:tr>
        <w:trPr>
          <w:trHeight w:val="270"/>
        </w:trPr>
        <w:tc>
          <w:tcPr>
            <w:tcW w:w="63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TOTAL EQUITY</w:t>
            </w: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115,900</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160,887</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94,790</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201,353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219,462</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206,779</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Derivative liabilities, 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1,154</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2,081</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1,458</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income taxes, net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5,587</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Regulatory liabilities, 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41,442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6,832</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7,042</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112,100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211,300</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225,170</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255,743</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5,743</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5,743</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2,538</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41,774</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7,701</w:t>
            </w: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EFFE7"/>
            </w:tcBorders>
            <w:shd w:val="clear" w:color="auto" w:fill="CEFFE7"/>
          </w:tcPr>
          <w:p>
            <w:pPr>
              <w:spacing w:after="0"/>
              <w:rPr>
                <w:sz w:val="22"/>
                <w:szCs w:val="22"/>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730,230</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649,101</w:t>
            </w:r>
          </w:p>
        </w:tc>
        <w:tc>
          <w:tcPr>
            <w:tcW w:w="32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554,270</w:t>
            </w:r>
          </w:p>
        </w:tc>
      </w:tr>
      <w:tr>
        <w:trPr>
          <w:trHeight w:val="291"/>
        </w:trPr>
        <w:tc>
          <w:tcPr>
            <w:tcW w:w="6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70"/>
        </w:trPr>
        <w:tc>
          <w:tcPr>
            <w:tcW w:w="6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2,951,389</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3,109,400</w:t>
            </w:r>
          </w:p>
        </w:tc>
        <w:tc>
          <w:tcPr>
            <w:tcW w:w="32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3,109,864</w:t>
            </w:r>
          </w:p>
        </w:tc>
      </w:tr>
      <w:tr>
        <w:trPr>
          <w:trHeight w:val="291"/>
        </w:trPr>
        <w:tc>
          <w:tcPr>
            <w:tcW w:w="6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Deferred credits and other liabilities:</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292,753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336,520</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618,315</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Regulatory liabilities, non-current</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508,846</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478,294</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198,189</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plan liabilities</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151,613</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159,646</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149,803</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Other deferred credits and other liabilities</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105,928</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105,735</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113,996</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23,329</w:t>
            </w: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180" w:type="dxa"/>
            <w:vAlign w:val="bottom"/>
            <w:tcBorders>
              <w:bottom w:val="single" w:sz="8" w:color="CEFFE7"/>
            </w:tcBorders>
            <w:shd w:val="clear" w:color="auto" w:fill="CEFFE7"/>
          </w:tcPr>
          <w:p>
            <w:pPr>
              <w:spacing w:after="0"/>
              <w:rPr>
                <w:sz w:val="22"/>
                <w:szCs w:val="22"/>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1,059,140</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1,080,195</w:t>
            </w:r>
          </w:p>
        </w:tc>
        <w:tc>
          <w:tcPr>
            <w:tcW w:w="32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1,103,632</w:t>
            </w:r>
          </w:p>
        </w:tc>
      </w:tr>
      <w:tr>
        <w:trPr>
          <w:trHeight w:val="291"/>
        </w:trPr>
        <w:tc>
          <w:tcPr>
            <w:tcW w:w="6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Notes 9, 11, 16, 17)</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97"/>
        </w:trPr>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equity —</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6360" w:type="dxa"/>
            <w:vAlign w:val="bottom"/>
            <w:shd w:val="clear" w:color="auto" w:fill="CEFFE7"/>
          </w:tcPr>
          <w:p>
            <w:pPr>
              <w:ind w:left="260"/>
              <w:spacing w:after="0"/>
              <w:rPr>
                <w:sz w:val="20"/>
                <w:szCs w:val="20"/>
                <w:color w:val="auto"/>
              </w:rPr>
            </w:pPr>
            <w:r>
              <w:rPr>
                <w:rFonts w:ascii="Times New Roman" w:cs="Times New Roman" w:eastAsia="Times New Roman" w:hAnsi="Times New Roman"/>
                <w:sz w:val="18"/>
                <w:szCs w:val="18"/>
                <w:color w:val="auto"/>
              </w:rPr>
              <w:t>Common stock $1 par value; 100,000,000 shares authorized; issued 53,661,863;</w:t>
            </w:r>
          </w:p>
        </w:tc>
        <w:tc>
          <w:tcPr>
            <w:tcW w:w="180" w:type="dxa"/>
            <w:vAlign w:val="bottom"/>
            <w:shd w:val="clear" w:color="auto" w:fill="CEFFE7"/>
          </w:tcPr>
          <w:p>
            <w:pPr>
              <w:spacing w:after="0"/>
              <w:rPr>
                <w:sz w:val="19"/>
                <w:szCs w:val="19"/>
                <w:color w:val="auto"/>
              </w:rPr>
            </w:pPr>
          </w:p>
        </w:tc>
        <w:tc>
          <w:tcPr>
            <w:tcW w:w="148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241"/>
        </w:trPr>
        <w:tc>
          <w:tcPr>
            <w:tcW w:w="6360" w:type="dxa"/>
            <w:vAlign w:val="bottom"/>
            <w:tcBorders>
              <w:bottom w:val="single" w:sz="8" w:color="CEFFE7"/>
            </w:tcBorders>
            <w:shd w:val="clear" w:color="auto" w:fill="CEFFE7"/>
          </w:tcPr>
          <w:p>
            <w:pPr>
              <w:ind w:left="260"/>
              <w:spacing w:after="0"/>
              <w:rPr>
                <w:sz w:val="20"/>
                <w:szCs w:val="20"/>
                <w:color w:val="auto"/>
              </w:rPr>
            </w:pPr>
            <w:r>
              <w:rPr>
                <w:rFonts w:ascii="Times New Roman" w:cs="Times New Roman" w:eastAsia="Times New Roman" w:hAnsi="Times New Roman"/>
                <w:sz w:val="18"/>
                <w:szCs w:val="18"/>
                <w:color w:val="auto"/>
              </w:rPr>
              <w:t>53,579,986; and 53,524,529 shares, respectively</w:t>
            </w:r>
          </w:p>
        </w:tc>
        <w:tc>
          <w:tcPr>
            <w:tcW w:w="180" w:type="dxa"/>
            <w:vAlign w:val="bottom"/>
            <w:tcBorders>
              <w:bottom w:val="single" w:sz="8" w:color="CEFFE7"/>
            </w:tcBorders>
            <w:shd w:val="clear" w:color="auto" w:fill="CEFFE7"/>
          </w:tcPr>
          <w:p>
            <w:pPr>
              <w:spacing w:after="0"/>
              <w:rPr>
                <w:sz w:val="20"/>
                <w:szCs w:val="20"/>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53,662</w:t>
            </w:r>
          </w:p>
        </w:tc>
        <w:tc>
          <w:tcPr>
            <w:tcW w:w="420" w:type="dxa"/>
            <w:vAlign w:val="bottom"/>
            <w:tcBorders>
              <w:bottom w:val="single" w:sz="8" w:color="CEFFE7"/>
            </w:tcBorders>
            <w:shd w:val="clear" w:color="auto" w:fill="CEFFE7"/>
          </w:tcPr>
          <w:p>
            <w:pPr>
              <w:spacing w:after="0"/>
              <w:rPr>
                <w:sz w:val="20"/>
                <w:szCs w:val="20"/>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53,580</w:t>
            </w:r>
          </w:p>
        </w:tc>
        <w:tc>
          <w:tcPr>
            <w:tcW w:w="32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53,525</w:t>
            </w: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1,157,214</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1,150,285</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1,147,922</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644,154</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548,617</w:t>
            </w:r>
          </w:p>
        </w:tc>
        <w:tc>
          <w:tcPr>
            <w:tcW w:w="3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516,371</w:t>
            </w: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 72,915; 39,064; and 41,457 shares, respectively</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(4,072)</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(37,703)</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(41,202)</w:t>
            </w:r>
          </w:p>
        </w:tc>
        <w:tc>
          <w:tcPr>
            <w:tcW w:w="32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(32,566)</w:t>
            </w:r>
          </w:p>
        </w:tc>
      </w:tr>
      <w:tr>
        <w:trPr>
          <w:trHeight w:val="237"/>
        </w:trPr>
        <w:tc>
          <w:tcPr>
            <w:tcW w:w="6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1,813,255</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1,708,974</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1,682,804</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107,924</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111,232</w:t>
            </w:r>
          </w:p>
        </w:tc>
        <w:tc>
          <w:tcPr>
            <w:tcW w:w="32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113,178</w:t>
            </w:r>
          </w:p>
        </w:tc>
      </w:tr>
      <w:tr>
        <w:trPr>
          <w:trHeight w:val="237"/>
        </w:trPr>
        <w:tc>
          <w:tcPr>
            <w:tcW w:w="6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1,921,179</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1,820,206</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1,795,982</w:t>
            </w:r>
          </w:p>
        </w:tc>
      </w:tr>
      <w:tr>
        <w:trPr>
          <w:trHeight w:val="27"/>
        </w:trPr>
        <w:tc>
          <w:tcPr>
            <w:tcW w:w="6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TOTAL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6,661,938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6,658,902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6,563,748</w:t>
            </w:r>
          </w:p>
        </w:tc>
      </w:tr>
      <w:tr>
        <w:trPr>
          <w:trHeight w:val="20"/>
        </w:trPr>
        <w:tc>
          <w:tcPr>
            <w:tcW w:w="6360" w:type="dxa"/>
            <w:vAlign w:val="bottom"/>
          </w:tcPr>
          <w:p>
            <w:pPr>
              <w:spacing w:after="0" w:line="20" w:lineRule="exact"/>
              <w:rPr>
                <w:sz w:val="1"/>
                <w:szCs w:val="1"/>
                <w:color w:val="auto"/>
              </w:rPr>
            </w:pPr>
          </w:p>
        </w:tc>
        <w:tc>
          <w:tcPr>
            <w:tcW w:w="3660" w:type="dxa"/>
            <w:vAlign w:val="bottom"/>
            <w:tcBorders>
              <w:bottom w:val="single" w:sz="8" w:color="auto"/>
            </w:tcBorders>
            <w:gridSpan w:val="5"/>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9"/>
        </w:trPr>
        <w:tc>
          <w:tcPr>
            <w:tcW w:w="10020" w:type="dxa"/>
            <w:vAlign w:val="bottom"/>
            <w:gridSpan w:val="6"/>
          </w:tcPr>
          <w:p>
            <w:pPr>
              <w:ind w:left="1340"/>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Condensed Consolidated Financial Statements.</w:t>
            </w:r>
          </w:p>
        </w:tc>
        <w:tc>
          <w:tcPr>
            <w:tcW w:w="1340" w:type="dxa"/>
            <w:vAlign w:val="bottom"/>
          </w:tcPr>
          <w:p>
            <w:pPr>
              <w:spacing w:after="0"/>
              <w:rPr>
                <w:sz w:val="24"/>
                <w:szCs w:val="24"/>
                <w:color w:val="auto"/>
              </w:rPr>
            </w:pPr>
          </w:p>
        </w:tc>
      </w:tr>
      <w:tr>
        <w:trPr>
          <w:trHeight w:val="456"/>
        </w:trPr>
        <w:tc>
          <w:tcPr>
            <w:tcW w:w="63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60"/>
          </w:cols>
          <w:pgMar w:left="280" w:top="576" w:right="2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BLACK HILLS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(unaudited)</w:t>
            </w:r>
          </w:p>
        </w:tc>
        <w:tc>
          <w:tcPr>
            <w:tcW w:w="300" w:type="dxa"/>
            <w:vAlign w:val="bottom"/>
          </w:tcPr>
          <w:p>
            <w:pPr>
              <w:spacing w:after="0"/>
              <w:rPr>
                <w:sz w:val="16"/>
                <w:szCs w:val="16"/>
                <w:color w:val="auto"/>
              </w:rPr>
            </w:pPr>
          </w:p>
        </w:tc>
        <w:tc>
          <w:tcPr>
            <w:tcW w:w="266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274"/>
        </w:trPr>
        <w:tc>
          <w:tcPr>
            <w:tcW w:w="8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2018</w:t>
            </w: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2017</w:t>
            </w:r>
          </w:p>
        </w:tc>
      </w:tr>
      <w:tr>
        <w:trPr>
          <w:trHeight w:val="198"/>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tcPr>
          <w:p>
            <w:pPr>
              <w:spacing w:after="0"/>
              <w:rPr>
                <w:sz w:val="17"/>
                <w:szCs w:val="17"/>
                <w:color w:val="auto"/>
              </w:rPr>
            </w:pPr>
          </w:p>
        </w:tc>
        <w:tc>
          <w:tcPr>
            <w:tcW w:w="170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7"/>
                <w:szCs w:val="17"/>
                <w:color w:val="auto"/>
              </w:rPr>
            </w:pPr>
          </w:p>
        </w:tc>
      </w:tr>
      <w:tr>
        <w:trPr>
          <w:trHeight w:val="221"/>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EFFE7"/>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182,318</w:t>
            </w:r>
          </w:p>
        </w:tc>
        <w:tc>
          <w:tcPr>
            <w:tcW w:w="520" w:type="dxa"/>
            <w:vAlign w:val="bottom"/>
            <w:shd w:val="clear" w:color="auto" w:fill="CEFFE7"/>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137,055</w:t>
            </w:r>
          </w:p>
        </w:tc>
      </w:tr>
      <w:tr>
        <w:trPr>
          <w:trHeight w:val="211"/>
        </w:trPr>
        <w:tc>
          <w:tcPr>
            <w:tcW w:w="8460" w:type="dxa"/>
            <w:vAlign w:val="bottom"/>
            <w:tcBorders>
              <w:bottom w:val="single" w:sz="8" w:color="CEFFE7"/>
            </w:tcBorders>
          </w:tcPr>
          <w:p>
            <w:pPr>
              <w:ind w:left="4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5,627</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3,485</w:t>
            </w:r>
          </w:p>
        </w:tc>
      </w:tr>
      <w:tr>
        <w:trPr>
          <w:trHeight w:val="215"/>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187,945</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140,540</w:t>
            </w:r>
          </w:p>
        </w:tc>
      </w:tr>
      <w:tr>
        <w:trPr>
          <w:trHeight w:val="265"/>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1"/>
        </w:trPr>
        <w:tc>
          <w:tcPr>
            <w:tcW w:w="84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146,345</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140,636</w:t>
            </w:r>
          </w:p>
        </w:tc>
      </w:tr>
      <w:tr>
        <w:trPr>
          <w:trHeight w:val="211"/>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financing cost amortization</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5,682</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6,212</w:t>
            </w:r>
          </w:p>
        </w:tc>
      </w:tr>
      <w:tr>
        <w:trPr>
          <w:trHeight w:val="221"/>
        </w:trPr>
        <w:tc>
          <w:tcPr>
            <w:tcW w:w="84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4"/>
                <w:szCs w:val="14"/>
                <w:color w:val="auto"/>
              </w:rPr>
              <w:t>Stock compensation</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7,544</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7,594</w:t>
            </w:r>
          </w:p>
        </w:tc>
      </w:tr>
      <w:tr>
        <w:trPr>
          <w:trHeight w:val="211"/>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(14,396)</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65,536</w:t>
            </w:r>
          </w:p>
        </w:tc>
      </w:tr>
      <w:tr>
        <w:trPr>
          <w:trHeight w:val="221"/>
        </w:trPr>
        <w:tc>
          <w:tcPr>
            <w:tcW w:w="84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4"/>
                <w:szCs w:val="14"/>
                <w:color w:val="auto"/>
              </w:rPr>
              <w:t>Employee benefit plans</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10,641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8,470</w:t>
            </w:r>
          </w:p>
        </w:tc>
      </w:tr>
      <w:tr>
        <w:trPr>
          <w:trHeight w:val="211"/>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adjustments, net</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7,668</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w:t>
            </w:r>
          </w:p>
        </w:tc>
      </w:tr>
      <w:tr>
        <w:trPr>
          <w:trHeight w:val="275"/>
        </w:trPr>
        <w:tc>
          <w:tcPr>
            <w:tcW w:w="8460" w:type="dxa"/>
            <w:vAlign w:val="bottom"/>
            <w:shd w:val="clear" w:color="auto" w:fill="CEFFE7"/>
          </w:tcPr>
          <w:p>
            <w:pPr>
              <w:ind w:left="240"/>
              <w:spacing w:after="0"/>
              <w:rPr>
                <w:sz w:val="20"/>
                <w:szCs w:val="20"/>
                <w:color w:val="auto"/>
              </w:rPr>
            </w:pPr>
            <w:r>
              <w:rPr>
                <w:rFonts w:ascii="Times New Roman" w:cs="Times New Roman" w:eastAsia="Times New Roman" w:hAnsi="Times New Roman"/>
                <w:sz w:val="14"/>
                <w:szCs w:val="14"/>
                <w:color w:val="auto"/>
              </w:rPr>
              <w:t>Changes in certain operating assets and liabilities:</w:t>
            </w: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r>
        <w:trPr>
          <w:trHeight w:val="198"/>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Materials, supplies and fuel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(19,511)</w:t>
            </w:r>
          </w:p>
        </w:tc>
      </w:tr>
      <w:tr>
        <w:trPr>
          <w:trHeight w:val="221"/>
        </w:trPr>
        <w:tc>
          <w:tcPr>
            <w:tcW w:w="84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4"/>
                <w:szCs w:val="14"/>
                <w:color w:val="auto"/>
              </w:rPr>
              <w:t>Accounts receivable, unbilled revenues and other operating assets</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72,061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103,963</w:t>
            </w:r>
          </w:p>
        </w:tc>
      </w:tr>
      <w:tr>
        <w:trPr>
          <w:trHeight w:val="198"/>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other operating liabilities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(86,604)</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(112,288)</w:t>
            </w:r>
          </w:p>
        </w:tc>
      </w:tr>
      <w:tr>
        <w:trPr>
          <w:trHeight w:val="221"/>
        </w:trPr>
        <w:tc>
          <w:tcPr>
            <w:tcW w:w="8460" w:type="dxa"/>
            <w:vAlign w:val="bottom"/>
            <w:shd w:val="clear" w:color="auto" w:fill="CEFFE7"/>
          </w:tcPr>
          <w:p>
            <w:pPr>
              <w:ind w:left="380"/>
              <w:spacing w:after="0"/>
              <w:rPr>
                <w:sz w:val="20"/>
                <w:szCs w:val="20"/>
                <w:color w:val="auto"/>
              </w:rPr>
            </w:pPr>
            <w:r>
              <w:rPr>
                <w:rFonts w:ascii="Times New Roman" w:cs="Times New Roman" w:eastAsia="Times New Roman" w:hAnsi="Times New Roman"/>
                <w:sz w:val="14"/>
                <w:szCs w:val="14"/>
                <w:color w:val="auto"/>
              </w:rPr>
              <w:t>Regulatory assets - current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41,655</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1,287</w:t>
            </w:r>
          </w:p>
        </w:tc>
      </w:tr>
      <w:tr>
        <w:trPr>
          <w:trHeight w:val="211"/>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Regulatory liabilities - current</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21,416</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r>
      <w:tr>
        <w:trPr>
          <w:trHeight w:val="208"/>
        </w:trPr>
        <w:tc>
          <w:tcPr>
            <w:tcW w:w="8460" w:type="dxa"/>
            <w:vAlign w:val="bottom"/>
            <w:shd w:val="clear" w:color="auto" w:fill="CEFFE7"/>
          </w:tcPr>
          <w:p>
            <w:pPr>
              <w:ind w:left="280"/>
              <w:spacing w:after="0"/>
              <w:rPr>
                <w:sz w:val="20"/>
                <w:szCs w:val="20"/>
                <w:color w:val="auto"/>
              </w:rPr>
            </w:pPr>
            <w:r>
              <w:rPr>
                <w:rFonts w:ascii="Times New Roman" w:cs="Times New Roman" w:eastAsia="Times New Roman" w:hAnsi="Times New Roman"/>
                <w:sz w:val="14"/>
                <w:szCs w:val="14"/>
                <w:color w:val="auto"/>
              </w:rPr>
              <w:t>Contributions to defined benefit pension plans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(12,700)</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(27,700)</w:t>
            </w:r>
          </w:p>
        </w:tc>
      </w:tr>
      <w:tr>
        <w:trPr>
          <w:trHeight w:val="211"/>
        </w:trPr>
        <w:tc>
          <w:tcPr>
            <w:tcW w:w="8460" w:type="dxa"/>
            <w:vAlign w:val="bottom"/>
            <w:tcBorders>
              <w:bottom w:val="single" w:sz="8" w:color="CEFFE7"/>
            </w:tcBorders>
          </w:tcPr>
          <w:p>
            <w:pPr>
              <w:ind w:left="280"/>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2,007</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w:t>
            </w:r>
          </w:p>
        </w:tc>
      </w:tr>
      <w:tr>
        <w:trPr>
          <w:trHeight w:val="215"/>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380,884</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305,452</w:t>
            </w:r>
          </w:p>
        </w:tc>
      </w:tr>
      <w:tr>
        <w:trPr>
          <w:trHeight w:val="211"/>
        </w:trPr>
        <w:tc>
          <w:tcPr>
            <w:tcW w:w="8460" w:type="dxa"/>
            <w:vAlign w:val="bottom"/>
            <w:tcBorders>
              <w:bottom w:val="single" w:sz="8" w:color="CEFFE7"/>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operating activities of discontinued operations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13,978</w:t>
            </w:r>
          </w:p>
        </w:tc>
      </w:tr>
      <w:tr>
        <w:trPr>
          <w:trHeight w:val="210"/>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378,722</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319,430</w:t>
            </w:r>
          </w:p>
        </w:tc>
      </w:tr>
      <w:tr>
        <w:trPr>
          <w:trHeight w:val="174"/>
        </w:trPr>
        <w:tc>
          <w:tcPr>
            <w:tcW w:w="8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r>
        <w:trPr>
          <w:trHeight w:val="198"/>
        </w:trPr>
        <w:tc>
          <w:tcPr>
            <w:tcW w:w="8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(278,132)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(238,840)</w:t>
            </w:r>
          </w:p>
        </w:tc>
      </w:tr>
      <w:tr>
        <w:trPr>
          <w:trHeight w:val="221"/>
        </w:trPr>
        <w:tc>
          <w:tcPr>
            <w:tcW w:w="8460" w:type="dxa"/>
            <w:vAlign w:val="bottom"/>
            <w:shd w:val="clear" w:color="auto" w:fill="CEFFE7"/>
          </w:tcPr>
          <w:p>
            <w:pPr>
              <w:ind w:left="240"/>
              <w:spacing w:after="0"/>
              <w:rPr>
                <w:sz w:val="20"/>
                <w:szCs w:val="20"/>
                <w:color w:val="auto"/>
              </w:rPr>
            </w:pPr>
            <w:r>
              <w:rPr>
                <w:rFonts w:ascii="Times New Roman" w:cs="Times New Roman" w:eastAsia="Times New Roman" w:hAnsi="Times New Roman"/>
                <w:sz w:val="14"/>
                <w:szCs w:val="14"/>
                <w:color w:val="auto"/>
              </w:rPr>
              <w:t>Purchase of investment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(24,429)</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8460" w:type="dxa"/>
            <w:vAlign w:val="bottom"/>
            <w:tcBorders>
              <w:bottom w:val="single" w:sz="8" w:color="CEFFE7"/>
            </w:tcBorders>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2,766</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r>
      <w:tr>
        <w:trPr>
          <w:trHeight w:val="201"/>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 of continuing operations</w:t>
            </w:r>
          </w:p>
        </w:tc>
        <w:tc>
          <w:tcPr>
            <w:tcW w:w="300" w:type="dxa"/>
            <w:vAlign w:val="bottom"/>
            <w:shd w:val="clear" w:color="auto" w:fill="CEFFE7"/>
          </w:tcPr>
          <w:p>
            <w:pPr>
              <w:spacing w:after="0"/>
              <w:rPr>
                <w:sz w:val="17"/>
                <w:szCs w:val="17"/>
                <w:color w:val="auto"/>
              </w:rPr>
            </w:pP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(299,795)</w:t>
            </w:r>
          </w:p>
        </w:tc>
        <w:tc>
          <w:tcPr>
            <w:tcW w:w="520" w:type="dxa"/>
            <w:vAlign w:val="bottom"/>
            <w:shd w:val="clear" w:color="auto" w:fill="CEFFE7"/>
          </w:tcPr>
          <w:p>
            <w:pPr>
              <w:spacing w:after="0"/>
              <w:rPr>
                <w:sz w:val="17"/>
                <w:szCs w:val="17"/>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(238,680)</w:t>
            </w:r>
          </w:p>
        </w:tc>
      </w:tr>
      <w:tr>
        <w:trPr>
          <w:trHeight w:val="211"/>
        </w:trPr>
        <w:tc>
          <w:tcPr>
            <w:tcW w:w="8460" w:type="dxa"/>
            <w:vAlign w:val="bottom"/>
            <w:tcBorders>
              <w:bottom w:val="single" w:sz="8" w:color="CEFFE7"/>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 of discontinued operations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18,024</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(17,298)</w:t>
            </w:r>
          </w:p>
        </w:tc>
      </w:tr>
      <w:tr>
        <w:trPr>
          <w:trHeight w:val="196"/>
        </w:trPr>
        <w:tc>
          <w:tcPr>
            <w:tcW w:w="846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00" w:type="dxa"/>
            <w:vAlign w:val="bottom"/>
            <w:tcBorders>
              <w:bottom w:val="single" w:sz="8" w:color="auto"/>
            </w:tcBorders>
            <w:shd w:val="clear" w:color="auto" w:fill="CEFFE7"/>
          </w:tcPr>
          <w:p>
            <w:pPr>
              <w:spacing w:after="0"/>
              <w:rPr>
                <w:sz w:val="17"/>
                <w:szCs w:val="17"/>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(281,771)</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(255,978)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Financing activities:</w:t>
      </w:r>
    </w:p>
    <w:p>
      <w:pPr>
        <w:spacing w:after="0" w:line="42" w:lineRule="exact"/>
        <w:rPr>
          <w:sz w:val="20"/>
          <w:szCs w:val="20"/>
          <w:color w:val="auto"/>
        </w:rPr>
      </w:pPr>
    </w:p>
    <w:p>
      <w:pPr>
        <w:ind w:left="280" w:right="1540"/>
        <w:spacing w:after="0" w:line="322" w:lineRule="auto"/>
        <w:rPr>
          <w:sz w:val="20"/>
          <w:szCs w:val="20"/>
          <w:color w:val="auto"/>
        </w:rPr>
      </w:pPr>
      <w:r>
        <w:rPr>
          <w:rFonts w:ascii="Times New Roman" w:cs="Times New Roman" w:eastAsia="Times New Roman" w:hAnsi="Times New Roman"/>
          <w:sz w:val="14"/>
          <w:szCs w:val="14"/>
          <w:color w:val="auto"/>
        </w:rPr>
        <w:t>Dividends paid on common stock Common stock issued</w:t>
      </w:r>
    </w:p>
    <w:p>
      <w:pPr>
        <w:ind w:left="280" w:right="820"/>
        <w:spacing w:after="0" w:line="312" w:lineRule="auto"/>
        <w:rPr>
          <w:sz w:val="20"/>
          <w:szCs w:val="20"/>
          <w:color w:val="auto"/>
        </w:rPr>
      </w:pPr>
      <w:r>
        <w:rPr>
          <w:rFonts w:ascii="Times New Roman" w:cs="Times New Roman" w:eastAsia="Times New Roman" w:hAnsi="Times New Roman"/>
          <w:sz w:val="14"/>
          <w:szCs w:val="14"/>
          <w:color w:val="auto"/>
        </w:rPr>
        <w:t>Net (payments) borrowings of short-term debt Long-term debt - issuances</w:t>
      </w:r>
    </w:p>
    <w:p>
      <w:pPr>
        <w:ind w:left="280"/>
        <w:spacing w:after="0"/>
        <w:rPr>
          <w:sz w:val="20"/>
          <w:szCs w:val="20"/>
          <w:color w:val="auto"/>
        </w:rPr>
      </w:pPr>
      <w:r>
        <w:rPr>
          <w:rFonts w:ascii="Times New Roman" w:cs="Times New Roman" w:eastAsia="Times New Roman" w:hAnsi="Times New Roman"/>
          <w:sz w:val="14"/>
          <w:szCs w:val="14"/>
          <w:color w:val="auto"/>
        </w:rPr>
        <w:t>Long-term debt - repayments</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Distributions to noncontrolling interest</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Other financing activities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p>
      <w:pPr>
        <w:spacing w:after="0" w:line="6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p>
      <w:pPr>
        <w:spacing w:after="0" w:line="5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(76,309)</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1,079</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3,562</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128,570</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(603,307)</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(104,307)</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(13,755)</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(12,884)</w:t>
            </w:r>
          </w:p>
        </w:tc>
      </w:tr>
      <w:tr>
        <w:trPr>
          <w:trHeight w:val="208"/>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(6,719)</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(101,949)</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(63,112)</w:t>
            </w:r>
          </w:p>
        </w:tc>
      </w:tr>
      <w:tr>
        <w:trPr>
          <w:trHeight w:val="205"/>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4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r>
      <w:tr>
        <w:trPr>
          <w:trHeight w:val="221"/>
        </w:trPr>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18,240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15,792</w:t>
            </w:r>
          </w:p>
        </w:tc>
      </w:tr>
      <w:tr>
        <w:trPr>
          <w:trHeight w:val="210"/>
        </w:trPr>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13,242</w:t>
            </w:r>
          </w:p>
        </w:tc>
        <w:tc>
          <w:tcPr>
            <w:tcW w:w="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16,132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-1388745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-1114425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-848360</wp:posOffset>
            </wp:positionV>
            <wp:extent cx="72466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-591185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15 for supplemental disclosure of cash flow information.</w:t>
      </w:r>
    </w:p>
    <w:p>
      <w:pPr>
        <w:spacing w:after="0" w:line="109" w:lineRule="exact"/>
        <w:rPr>
          <w:sz w:val="20"/>
          <w:szCs w:val="20"/>
          <w:color w:val="auto"/>
        </w:rPr>
      </w:pPr>
    </w:p>
    <w:p>
      <w:pPr>
        <w:sectPr>
          <w:pgSz w:w="11900" w:h="16838" w:orient="portrait"/>
          <w:cols w:equalWidth="0" w:num="2">
            <w:col w:w="3760" w:space="40"/>
            <w:col w:w="7620"/>
          </w:cols>
          <w:pgMar w:left="240" w:top="583"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3" w:right="239" w:bottom="1440" w:gutter="0" w:footer="0" w:header="0"/>
          <w:type w:val="continuous"/>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BLACK HILLS CORPORATION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(Reference is made to 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included in the Company’s 2017 Annual Report on Form 10-K)</w:t>
      </w: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MANAGEMENT’S STATEMENT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2017 Annual Report on Form 10-K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1, 2017, the BHC board of directors approved a complete divestiture of our Oil and Gas segment. The Oil and Gas segment assets and liabilities are classified as held for sale and the results of operations are shown in income (loss) from discontinued operations, excluding certain general and administrative costs and interest expense which do not meet the criteria for income (loss) from discontinued operations. As of September 30, 2018, we have sold nearly all of our oil and gas assets and we closed our oil and gas office in August. Transaction closing for the last few assets and final accounting are expected within the fourth quarter. See Note 18 for more information on discontinued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Basis of Presentation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2018, December 31, 2017, and September 30, 2017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nine months ended September 30, 2018 and September 30, 2017, and our financial condition as of September 30, 2018, December 31, 2017, and September 30, 2017, are not necessarily indicative of the results of operations and financial condition to be expected as of or for any other period. All earnings per share amounts discussed refer to diluted earnings per share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purposes of the cash flow statements, we consider all highly liquid investments with original maturities of three months or less at the time of purchase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investments that we do not control under the cost method of accounting as we do not have the ability to exercise significant influence over the operating and financial policies of the investee. The cost method investments are recorded at cost and we record dividend income when applicable dividends are declared.</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576"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 ASU 2016-02</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ASC 840, Leases. This ASU requires lessees to recognize a right-of-use asset and lease liability on the balance sheet for most leases,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Under the current guidance,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 In January 2018, the FASB issued amendments to the new lease standard, ASU No. 2018-01, allowing an entity to elect not to assess whether certain land easements are, or contain, leases when transitioning to the new lease standard. The FASB also issued additional amendments to the new lease standard in July 2018, ASU No. 2018-11, allowing companies to adopt the new standard with a cumulative effect adjustment as of the beginning of the year of adoption with prior year comparative financial information and disclosures remaining as previously reported.</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adopt this standard on January 1, 2019. For existing or expired land easements that were not previously accounted for as a lease, we anticipate electing the practical expedient which provides for no assessment of these easements. Further, we anticipate adopting the new standard with a cumulative effect adjustment with prior year comparative financial information remaining as previously reported when transitioning to the new standard. The standard also provides a transition practical expedient, commonly referred to as the “package of three”, that must be taken together and allows entities to (1) not reassess whether existing contracts contain leases, (2) carryforward the existing lease classification, and (3) not reassess initial direct costs associated with existing leases. We expect to elect the “package of three” practical expedient. We continue to evaluate the additional transition practical expedients available under the guidance. At this time, we do not believe the implementation of this standard will have a material impact on our financial position, results of operations or cash flows. We continue to develop our process of identifying and categorizing our lease contracts and evaluating our current business processes relating to leases. We have selected, configured, and tested a new lease software solution and will be entering lease data into the new system in preparation for the January 1, 2019 standard adoption. We also continue to monitor utility industry lease implementation guidance that may change existing and future lease classification.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and Hedging: Targeted Improvements to Accounting for Hedging Activities, ASU 2017-12</w:t>
      </w:r>
    </w:p>
    <w:p>
      <w:pPr>
        <w:spacing w:after="0" w:line="22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do not anticipate the adoption of this guidance to have a material impact on our financial position, results of operations or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Simplifying the Test for Goodwill Impairment, ASU 2017-04</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 (Topic 350)</w:t>
      </w:r>
      <w:r>
        <w:rPr>
          <w:rFonts w:ascii="Times New Roman" w:cs="Times New Roman" w:eastAsia="Times New Roman" w:hAnsi="Times New Roman"/>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do not anticipate the adoption of this standard to have any impact on our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 ASU 2014-09</w:t>
      </w: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2018, we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its related amendments (collectively known as ASC 606). Under this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We applied the five-step method outlined in the ASU to all in-scope revenue streams and elected the modified retrospective implementation method. Implementation of the standard did not have a material impact on our financial position, results of operations or cash flows. Implementation of the standard did not have a significant impact on the measurement or recognition of revenue; therefore, no cumulative adoption adjustment to the opening balance of Retained earnings at the date of initial application was necessary. The additional disclosures required by the ASU are included in Note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 Retirement Benefits: Improving the Presentation of Net Periodic Pension Cost and Net Periodic Post-Retirement Benefit Cost, ASU 2017-07</w:t>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2018, we adopted ASU 2017-07, </w:t>
      </w:r>
      <w:r>
        <w:rPr>
          <w:rFonts w:ascii="Times New Roman" w:cs="Times New Roman" w:eastAsia="Times New Roman" w:hAnsi="Times New Roman"/>
          <w:sz w:val="18"/>
          <w:szCs w:val="18"/>
          <w:i w:val="1"/>
          <w:iCs w:val="1"/>
          <w:color w:val="auto"/>
        </w:rPr>
        <w:t>Compensation – Retirement Benefits (Topic 715): Improving the Presentation of Net Periodic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and Net Periodic Post-Retirement Benefit Cost</w:t>
      </w:r>
      <w:r>
        <w:rPr>
          <w:rFonts w:ascii="Times New Roman" w:cs="Times New Roman" w:eastAsia="Times New Roman" w:hAnsi="Times New Roman"/>
          <w:sz w:val="18"/>
          <w:szCs w:val="18"/>
          <w:color w:val="auto"/>
        </w:rPr>
        <w:t>. The standard requires employers to report the service cost component in the same line item(s)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costs, and requires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The capitalization of only the service cost component of net periodic pension and post-retirement benefit costs in assets was applied on a prospective basis for the nine months ended September 30, 2018. Retrospective impact was not material and therefore prior year presentation was not changed. For our rate-regulated entities, we capitalize the other components of net periodic benefit costs into regulatory assets or regulatory liabilities and maintain a FERC-to-GAAP reporting difference for these capitalized costs. The presentation changes required for net periodic pension and post-retirement costs resulted in offsetting changes to Operating income and Other income. Implementation of the standard did not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 of Cash Flows: Classification of Certain Cash Receipts and Cash Payments, ASU 2016-15</w:t>
      </w:r>
    </w:p>
    <w:p>
      <w:pPr>
        <w:spacing w:after="0" w:line="22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we adopted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consensus of the Emerging Issues Task Force). </w:t>
      </w:r>
      <w:r>
        <w:rPr>
          <w:rFonts w:ascii="Times New Roman" w:cs="Times New Roman" w:eastAsia="Times New Roman" w:hAnsi="Times New Roman"/>
          <w:sz w:val="18"/>
          <w:szCs w:val="18"/>
          <w:color w:val="auto"/>
        </w:rPr>
        <w:t>This ASU requires changes in the presentation of certain items, including but not limited to, debt prepayment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We implemented this standard effective January 1, 2018 using the retrospective transition method. This standard had no impact on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 of Cash Flows: Restricted Cash, ASU 2016-18</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2018, we adopted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This ASU provides guidance on the presentation of restricted cash or restricted cash equivalents and reduces the diversity in practice. This ASU requires amounts generally described as restricted cash and restricted cash equivalents to be included with cash and cash equivalents when reconciling beginning-of-period and end-of-period total amounts on the statement of cash flows. We elected, as permitted by the standard, to early adopt ASU 2016-18 retrospectively as of January 1, 2017 and have applied it to all periods presented herein. The adoption of ASU 2016-18 did not have a material impact to our condensed consolidated financial statements. The effect of the adoption of ASU 2016-18 on our Condensed Consolidated Statements of Cash Flows was to include restricted cash balances in the beginning and end of period balances of cash, cash equivalents, and restricted cash. The change in restricted cash was previously disclosed in investing activities in the Condensed Consolidated Statements of Cash Flows.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2" w:name="page13"/>
    <w:bookmarkEnd w:id="12"/>
    <w:p>
      <w:pPr>
        <w:spacing w:after="0"/>
        <w:tabs>
          <w:tab w:leader="none" w:pos="380" w:val="left"/>
        </w:tabs>
        <w:rPr>
          <w:sz w:val="20"/>
          <w:szCs w:val="20"/>
          <w:color w:val="auto"/>
        </w:rPr>
      </w:pPr>
      <w:r>
        <w:rPr>
          <w:rFonts w:ascii="Times New Roman" w:cs="Times New Roman" w:eastAsia="Times New Roman" w:hAnsi="Times New Roman"/>
          <w:sz w:val="18"/>
          <w:szCs w:val="18"/>
          <w:color w:val="auto"/>
        </w:rPr>
        <w:t>(2)</w:t>
        <w:tab/>
        <w:t>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Revenues are recognized in an amount that reflects the consideration we expect to receive in exchange for goods or services, when control of the promised goods or services is transferred to our customers. Our primary types of revenue contracts are:</w:t>
      </w:r>
    </w:p>
    <w:p>
      <w:pPr>
        <w:spacing w:after="0" w:line="162" w:lineRule="exact"/>
        <w:rPr>
          <w:sz w:val="20"/>
          <w:szCs w:val="20"/>
          <w:color w:val="auto"/>
        </w:rPr>
      </w:pPr>
    </w:p>
    <w:p>
      <w:pPr>
        <w:ind w:left="660" w:right="8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Regulated natural gas and electric utility services tariffs</w:t>
      </w:r>
      <w:r>
        <w:rPr>
          <w:rFonts w:ascii="Times New Roman" w:cs="Times New Roman" w:eastAsia="Times New Roman" w:hAnsi="Times New Roman"/>
          <w:sz w:val="18"/>
          <w:szCs w:val="18"/>
          <w:color w:val="auto"/>
        </w:rPr>
        <w:t xml:space="preserve"> - Our utilities have regulated operations, as defined by ASC 980, that provide services to regulated customers under rates, charges, terms and conditions of service, and prices determined by the jurisdictional regulators designated for our service territories. Collectively, these rates, charges, terms and conditions are included in a tariff, which governs all aspects of the provision of our regulated services. Our regulated services primarily encompass single performance obligations material to the context of the contract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regulator-empowered statute to establish contractual rates between the utility and its customers. All of our utilities’ regulated sales are subject to regulatory-approved tariffs.</w:t>
      </w:r>
    </w:p>
    <w:p>
      <w:pPr>
        <w:spacing w:after="0" w:line="18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sales agreements</w:t>
      </w:r>
      <w:r>
        <w:rPr>
          <w:rFonts w:ascii="Times New Roman" w:cs="Times New Roman" w:eastAsia="Times New Roman" w:hAnsi="Times New Roman"/>
          <w:sz w:val="18"/>
          <w:szCs w:val="18"/>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Black Hills also sells excess energy to other load-serving entities on a short-term basis as a member of the Western States Power Pool. The pricing for all of these arrangements is included in the executed contracts or confirmations, reflecting the standalone selling price and is variable based on energy delivered.</w:t>
      </w:r>
    </w:p>
    <w:p>
      <w:pPr>
        <w:spacing w:after="0" w:line="18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Coal supply agreements</w:t>
      </w:r>
      <w:r>
        <w:rPr>
          <w:rFonts w:ascii="Times New Roman" w:cs="Times New Roman" w:eastAsia="Times New Roman" w:hAnsi="Times New Roman"/>
          <w:sz w:val="18"/>
          <w:szCs w:val="18"/>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coal supply agreements, including cost-based agreements with the affiliated regulated utilities, and is variable based on tons of coal delivered.</w:t>
      </w:r>
    </w:p>
    <w:p>
      <w:pPr>
        <w:spacing w:after="0" w:line="193"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non-regulated services</w:t>
      </w:r>
      <w:r>
        <w:rPr>
          <w:rFonts w:ascii="Times New Roman" w:cs="Times New Roman" w:eastAsia="Times New Roman" w:hAnsi="Times New Roman"/>
          <w:sz w:val="18"/>
          <w:szCs w:val="18"/>
          <w:color w:val="auto"/>
        </w:rPr>
        <w:t xml:space="preserve"> - Our natural gas and electric utility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tables depict the disaggregation of revenue, including intercompany revenue, from contracts with customers by customer type and timing of revenue recognition for each of the reporting segments, for the three and nine months ended September 30, 2018. Sales tax and other similar taxes are excluded from 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Electric</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Power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Inter-company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8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Utilities</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Gas Utilities</w:t>
            </w:r>
          </w:p>
        </w:tc>
        <w:tc>
          <w:tcPr>
            <w:tcW w:w="2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Generation</w:t>
            </w:r>
          </w:p>
        </w:tc>
        <w:tc>
          <w:tcPr>
            <w:tcW w:w="3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Mining</w:t>
            </w:r>
          </w:p>
        </w:tc>
        <w:tc>
          <w:tcPr>
            <w:tcW w:w="2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Revenues</w:t>
            </w:r>
          </w:p>
        </w:tc>
        <w:tc>
          <w:tcPr>
            <w:tcW w:w="28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388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Customer types: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CEFFE7"/>
            </w:tcBorders>
            <w:gridSpan w:val="2"/>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157,049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254,418</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Market - off-system sales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EFFE7"/>
              <w:right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Transmission/Other</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3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184,559</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130,665</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320,163</w:t>
            </w:r>
          </w:p>
        </w:tc>
        <w:tc>
          <w:tcPr>
            <w:tcW w:w="2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EFFE7"/>
              <w:right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97"/>
        </w:trPr>
        <w:tc>
          <w:tcPr>
            <w:tcW w:w="3880" w:type="dxa"/>
            <w:vAlign w:val="bottom"/>
            <w:tcBorders>
              <w:bottom w:val="single" w:sz="8" w:color="CEFFE7"/>
            </w:tcBorders>
            <w:gridSpan w:val="6"/>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131,676</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321,979</w:t>
            </w:r>
          </w:p>
        </w:tc>
        <w:tc>
          <w:tcPr>
            <w:tcW w:w="20" w:type="dxa"/>
            <w:vAlign w:val="bottom"/>
            <w:tcBorders>
              <w:top w:val="single" w:sz="8" w:color="auto"/>
              <w:bottom w:val="single" w:sz="8" w:color="auto"/>
            </w:tcBorders>
          </w:tcPr>
          <w:p>
            <w:pPr>
              <w:spacing w:after="0"/>
              <w:rPr>
                <w:sz w:val="24"/>
                <w:szCs w:val="24"/>
                <w:color w:val="auto"/>
              </w:rPr>
            </w:pPr>
          </w:p>
        </w:tc>
      </w:tr>
      <w:tr>
        <w:trPr>
          <w:trHeight w:val="311"/>
        </w:trPr>
        <w:tc>
          <w:tcPr>
            <w:tcW w:w="60" w:type="dxa"/>
            <w:vAlign w:val="bottom"/>
            <w:tcBorders>
              <w:right w:val="single" w:sz="8" w:color="CEFFE7"/>
            </w:tcBorders>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r>
      <w:tr>
        <w:trPr>
          <w:trHeight w:val="203"/>
        </w:trPr>
        <w:tc>
          <w:tcPr>
            <w:tcW w:w="3880" w:type="dxa"/>
            <w:vAlign w:val="bottom"/>
            <w:gridSpan w:val="6"/>
          </w:tcPr>
          <w:p>
            <w:pPr>
              <w:ind w:left="40"/>
              <w:spacing w:after="0" w:line="202"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40" w:type="dxa"/>
            <w:vAlign w:val="bottom"/>
            <w:tcBorders>
              <w:bottom w:val="single" w:sz="8" w:color="CEFFE7"/>
            </w:tcBorders>
            <w:gridSpan w:val="2"/>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130,665</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311,353</w:t>
            </w:r>
          </w:p>
        </w:tc>
        <w:tc>
          <w:tcPr>
            <w:tcW w:w="20" w:type="dxa"/>
            <w:vAlign w:val="bottom"/>
          </w:tcPr>
          <w:p>
            <w:pPr>
              <w:spacing w:after="0"/>
              <w:rPr>
                <w:sz w:val="21"/>
                <w:szCs w:val="21"/>
                <w:color w:val="auto"/>
              </w:rPr>
            </w:pPr>
          </w:p>
        </w:tc>
      </w:tr>
      <w:tr>
        <w:trPr>
          <w:trHeight w:val="27"/>
        </w:trPr>
        <w:tc>
          <w:tcPr>
            <w:tcW w:w="6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60" w:type="dxa"/>
            <w:vAlign w:val="bottom"/>
            <w:tcBorders>
              <w:bottom w:val="single" w:sz="8" w:color="CEFFE7"/>
              <w:right w:val="single" w:sz="8" w:color="CEFFE7"/>
            </w:tcBorders>
            <w:shd w:val="clear" w:color="auto" w:fill="CEFFE7"/>
          </w:tcPr>
          <w:p>
            <w:pPr>
              <w:spacing w:after="0"/>
              <w:rPr>
                <w:sz w:val="22"/>
                <w:szCs w:val="22"/>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40" w:type="dxa"/>
            <w:vAlign w:val="bottom"/>
            <w:tcBorders>
              <w:bottom w:val="single" w:sz="8" w:color="auto"/>
            </w:tcBorders>
            <w:gridSpan w:val="2"/>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184,559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130,665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320,163</w:t>
            </w:r>
          </w:p>
        </w:tc>
        <w:tc>
          <w:tcPr>
            <w:tcW w:w="20" w:type="dxa"/>
            <w:vAlign w:val="bottom"/>
            <w:tcBorders>
              <w:bottom w:val="single" w:sz="8" w:color="auto"/>
            </w:tcBorders>
            <w:shd w:val="clear" w:color="auto" w:fill="CEFFE7"/>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20"/>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Electric</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Power</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Inter-company</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Utilities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Gas Utilities</w:t>
            </w:r>
          </w:p>
        </w:tc>
        <w:tc>
          <w:tcPr>
            <w:tcW w:w="2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Generation</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Mining</w:t>
            </w:r>
          </w:p>
        </w:tc>
        <w:tc>
          <w:tcPr>
            <w:tcW w:w="2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Revenues</w:t>
            </w:r>
          </w:p>
        </w:tc>
        <w:tc>
          <w:tcPr>
            <w:tcW w:w="28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Customer types: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Borders>
              <w:bottom w:val="single" w:sz="8" w:color="CEFFE7"/>
            </w:tcBorders>
            <w:gridSpan w:val="2"/>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449,482</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565,816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1,041,190</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99,783</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29,784</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Market - off-system sales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13,339</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Transmission/Other</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61,885</w:t>
            </w:r>
          </w:p>
        </w:tc>
        <w:tc>
          <w:tcPr>
            <w:tcW w:w="2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529,743</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703,534</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1,245,981</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7,091</w:t>
            </w:r>
          </w:p>
        </w:tc>
        <w:tc>
          <w:tcPr>
            <w:tcW w:w="20" w:type="dxa"/>
            <w:vAlign w:val="bottom"/>
          </w:tcPr>
          <w:p>
            <w:pPr>
              <w:spacing w:after="0"/>
              <w:rPr>
                <w:sz w:val="23"/>
                <w:szCs w:val="23"/>
                <w:color w:val="auto"/>
              </w:rPr>
            </w:pPr>
          </w:p>
        </w:tc>
      </w:tr>
      <w:tr>
        <w:trPr>
          <w:trHeight w:val="297"/>
        </w:trPr>
        <w:tc>
          <w:tcPr>
            <w:tcW w:w="60" w:type="dxa"/>
            <w:vAlign w:val="bottom"/>
          </w:tcPr>
          <w:p>
            <w:pPr>
              <w:spacing w:after="0"/>
              <w:rPr>
                <w:sz w:val="24"/>
                <w:szCs w:val="24"/>
                <w:color w:val="auto"/>
              </w:rPr>
            </w:pPr>
          </w:p>
        </w:tc>
        <w:tc>
          <w:tcPr>
            <w:tcW w:w="3820" w:type="dxa"/>
            <w:vAlign w:val="bottom"/>
            <w:tcBorders>
              <w:bottom w:val="single" w:sz="8" w:color="CEFFE7"/>
            </w:tcBorders>
            <w:gridSpan w:val="5"/>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531,961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706,640</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1,253,072</w:t>
            </w:r>
          </w:p>
        </w:tc>
        <w:tc>
          <w:tcPr>
            <w:tcW w:w="20" w:type="dxa"/>
            <w:vAlign w:val="bottom"/>
          </w:tcPr>
          <w:p>
            <w:pPr>
              <w:spacing w:after="0"/>
              <w:rPr>
                <w:sz w:val="24"/>
                <w:szCs w:val="24"/>
                <w:color w:val="auto"/>
              </w:rPr>
            </w:pPr>
          </w:p>
        </w:tc>
      </w:tr>
      <w:tr>
        <w:trPr>
          <w:trHeight w:val="311"/>
        </w:trPr>
        <w:tc>
          <w:tcPr>
            <w:tcW w:w="60" w:type="dxa"/>
            <w:vAlign w:val="bottom"/>
            <w:tcBorders>
              <w:right w:val="single" w:sz="8" w:color="CEFFE7"/>
            </w:tcBorders>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40" w:type="dxa"/>
            <w:vAlign w:val="bottom"/>
            <w:tcBorders>
              <w:bottom w:val="single" w:sz="8" w:color="CEFFE7"/>
            </w:tcBorders>
            <w:gridSpan w:val="2"/>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25,892</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529,743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703,534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(54,349)</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1,220,089</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0" w:type="dxa"/>
            <w:vAlign w:val="bottom"/>
            <w:tcBorders>
              <w:right w:val="single" w:sz="8" w:color="CEFFE7"/>
            </w:tcBorders>
          </w:tcPr>
          <w:p>
            <w:pPr>
              <w:spacing w:after="0"/>
              <w:rPr>
                <w:sz w:val="22"/>
                <w:szCs w:val="22"/>
                <w:color w:val="auto"/>
              </w:rPr>
            </w:pPr>
          </w:p>
        </w:tc>
        <w:tc>
          <w:tcPr>
            <w:tcW w:w="3820" w:type="dxa"/>
            <w:vAlign w:val="bottom"/>
            <w:gridSpan w:val="5"/>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40" w:type="dxa"/>
            <w:vAlign w:val="bottom"/>
            <w:gridSpan w:val="2"/>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529,743</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703,534</w:t>
            </w:r>
          </w:p>
        </w:tc>
        <w:tc>
          <w:tcPr>
            <w:tcW w:w="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41,161</w:t>
            </w:r>
          </w:p>
        </w:tc>
        <w:tc>
          <w:tcPr>
            <w:tcW w:w="30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49,653</w:t>
            </w:r>
          </w:p>
        </w:tc>
        <w:tc>
          <w:tcPr>
            <w:tcW w:w="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280" w:type="dxa"/>
            <w:vAlign w:val="bottom"/>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1,245,981</w:t>
            </w:r>
          </w:p>
        </w:tc>
        <w:tc>
          <w:tcPr>
            <w:tcW w:w="2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Revenue Not in Scope of ASC 606</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revenues included in the tables above include our revenue accounted for under separate accounting guidance, including lease revenue under ASC 840, derivative revenue under ASC 815 and alternative revenue programs revenue under ASC 980. The majority of our lease revenue is related to a 20-year power sale agreement between Colorado IPP and affiliate Colorado Electric. This agreement is accounted for as a direct financing lease whereby Colorado IPP receives revenue for energy delivered and related capacity payments. This lease revenue is eliminated in our consolidated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TCJA Revenue Reserve</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TCJA or “tax reform” signed into law on December 22, 2017, reduced the federal corporate income tax rate from 35% to 21% effective for tax years beginning after December 31, 2017. Black Hills has been collaborating with utility commissions in the states in which it provides utility service to deliver to customers the benefits of a lower corporate federal income tax rate beginning in 2018 with the passage of the TCJA. We have received state utility commission approvals to provide the benefits of federal tax reform to utility customers in six states. We estimated and recorded a reserve to revenue of approximately $6.0 million and $29 million during the three and nine months ended September 30, 2018, respectively. As of September 30, 2018, $7.9 million has been returned to customers and approximately $21 million remains in reserve.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Revenue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Revenues attributable to natural gas and electricity delivered to customers but not yet billed are estimated and accrued, and the related costs are charged to expense. Factors influencing the determination of unbilled revenues include estimates of delivered sales volumes based on weather information and customer consumption trends.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Note 4. We do not typically incur costs that would be capitalized to obtain or fulfill a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revenue contract performance obligations with similar characteristics, and we reasonably expect that the financial statement impact of applying the new revenue recognition guidance to a portfolio of contracts would not differ materially from applying this guidance to the individual contracts or performance obligations within the portfolio. Therefore, we have elected the portfolio approach in applying the new revenue guidance.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76" w:right="259" w:bottom="1440" w:gutter="0" w:footer="0" w:header="0"/>
        </w:sectPr>
      </w:pPr>
    </w:p>
    <w:bookmarkStart w:id="15" w:name="page16"/>
    <w:bookmarkEnd w:id="15"/>
    <w:p>
      <w:pPr>
        <w:spacing w:after="0"/>
        <w:tabs>
          <w:tab w:leader="none" w:pos="3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and Corporate and Other included in the accompanying Condensed Consolidated Statements of Income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Inter-company Operating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Net income</w:t>
            </w:r>
          </w:p>
        </w:tc>
      </w:tr>
      <w:tr>
        <w:trPr>
          <w:trHeight w:val="252"/>
        </w:trPr>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External Operating Revenue</w:t>
            </w:r>
          </w:p>
        </w:tc>
        <w:tc>
          <w:tcPr>
            <w:tcW w:w="140" w:type="dxa"/>
            <w:vAlign w:val="bottom"/>
          </w:tcPr>
          <w:p>
            <w:pPr>
              <w:spacing w:after="0"/>
              <w:rPr>
                <w:sz w:val="21"/>
                <w:szCs w:val="21"/>
                <w:color w:val="auto"/>
              </w:rPr>
            </w:pPr>
          </w:p>
        </w:tc>
        <w:tc>
          <w:tcPr>
            <w:tcW w:w="22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(loss) from</w:t>
            </w: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Contract</w:t>
            </w:r>
          </w:p>
        </w:tc>
        <w:tc>
          <w:tcPr>
            <w:tcW w:w="18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continuing</w:t>
            </w: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Customers</w:t>
            </w:r>
          </w:p>
        </w:tc>
        <w:tc>
          <w:tcPr>
            <w:tcW w:w="22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Revenues</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Customers</w:t>
            </w:r>
          </w:p>
        </w:tc>
        <w:tc>
          <w:tcPr>
            <w:tcW w:w="1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Revenues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r>
      <w:tr>
        <w:trPr>
          <w:trHeight w:val="27"/>
        </w:trPr>
        <w:tc>
          <w:tcPr>
            <w:tcW w:w="4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Electric Utilities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21,578</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Gas Utilities</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130,390</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131,676</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(13,277)</w:t>
            </w:r>
          </w:p>
        </w:tc>
      </w:tr>
      <w:tr>
        <w:trPr>
          <w:trHeight w:val="270"/>
        </w:trPr>
        <w:tc>
          <w:tcPr>
            <w:tcW w:w="400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(b)</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13,048</w:t>
            </w: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r>
      <w:tr>
        <w:trPr>
          <w:trHeight w:val="250"/>
        </w:trPr>
        <w:tc>
          <w:tcPr>
            <w:tcW w:w="4000" w:type="dxa"/>
            <w:vAlign w:val="bottom"/>
            <w:tcBorders>
              <w:bottom w:val="single" w:sz="8" w:color="CEFFE7"/>
            </w:tcBorders>
            <w:shd w:val="clear" w:color="auto" w:fill="CEFFE7"/>
          </w:tcPr>
          <w:p>
            <w:pPr>
              <w:ind w:left="200"/>
              <w:spacing w:after="0"/>
              <w:rPr>
                <w:sz w:val="20"/>
                <w:szCs w:val="20"/>
                <w:color w:val="auto"/>
              </w:rPr>
            </w:pPr>
            <w:r>
              <w:rPr>
                <w:rFonts w:ascii="Times New Roman" w:cs="Times New Roman" w:eastAsia="Times New Roman" w:hAnsi="Times New Roman"/>
                <w:sz w:val="18"/>
                <w:szCs w:val="18"/>
                <w:color w:val="auto"/>
              </w:rPr>
              <w:t>Mining</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17,301</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1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320,163</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321,979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17,807</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Under our modified retrospective adoption of ASU 2014-09, revenues for the three and nine months ended September 30, 2017 are not presented by contract type.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 income (loss)</w:t>
            </w: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External Operating</w:t>
            </w:r>
          </w:p>
        </w:tc>
        <w:tc>
          <w:tcPr>
            <w:tcW w:w="220" w:type="dxa"/>
            <w:vAlign w:val="bottom"/>
          </w:tcPr>
          <w:p>
            <w:pPr>
              <w:spacing w:after="0"/>
              <w:rPr>
                <w:sz w:val="18"/>
                <w:szCs w:val="18"/>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Inter-company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from continuing</w:t>
            </w:r>
          </w:p>
        </w:tc>
      </w:tr>
      <w:tr>
        <w:trPr>
          <w:trHeight w:val="234"/>
        </w:trPr>
        <w:tc>
          <w:tcPr>
            <w:tcW w:w="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2017</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Operating Revenue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operations</w:t>
            </w:r>
          </w:p>
        </w:tc>
      </w:tr>
      <w:tr>
        <w:trPr>
          <w:trHeight w:val="27"/>
        </w:trPr>
        <w:tc>
          <w:tcPr>
            <w:tcW w:w="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8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 Utilities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181,238</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27,324</w:t>
            </w:r>
          </w:p>
        </w:tc>
      </w:tr>
      <w:tr>
        <w:trPr>
          <w:trHeight w:val="27"/>
        </w:trPr>
        <w:tc>
          <w:tcPr>
            <w:tcW w:w="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Gas Utilities</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gridSpan w:val="2"/>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142,821</w:t>
            </w:r>
          </w:p>
        </w:tc>
        <w:tc>
          <w:tcPr>
            <w:tcW w:w="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70"/>
        </w:trPr>
        <w:tc>
          <w:tcPr>
            <w:tcW w:w="60" w:type="dxa"/>
            <w:vAlign w:val="bottom"/>
          </w:tcPr>
          <w:p>
            <w:pPr>
              <w:spacing w:after="0"/>
              <w:rPr>
                <w:sz w:val="23"/>
                <w:szCs w:val="23"/>
                <w:color w:val="auto"/>
              </w:rPr>
            </w:pPr>
          </w:p>
        </w:tc>
        <w:tc>
          <w:tcPr>
            <w:tcW w:w="384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(b)</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21,117</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6,155</w:t>
            </w:r>
          </w:p>
        </w:tc>
      </w:tr>
      <w:tr>
        <w:trPr>
          <w:trHeight w:val="250"/>
        </w:trPr>
        <w:tc>
          <w:tcPr>
            <w:tcW w:w="60" w:type="dxa"/>
            <w:vAlign w:val="bottom"/>
          </w:tcPr>
          <w:p>
            <w:pPr>
              <w:spacing w:after="0"/>
              <w:rPr>
                <w:sz w:val="21"/>
                <w:szCs w:val="21"/>
                <w:color w:val="auto"/>
              </w:rPr>
            </w:pPr>
          </w:p>
        </w:tc>
        <w:tc>
          <w:tcPr>
            <w:tcW w:w="38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Mining</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gridSpan w:val="2"/>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9,742</w:t>
            </w:r>
          </w:p>
        </w:tc>
        <w:tc>
          <w:tcPr>
            <w:tcW w:w="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7,751</w:t>
            </w:r>
          </w:p>
        </w:tc>
        <w:tc>
          <w:tcPr>
            <w:tcW w:w="2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3,477</w:t>
            </w:r>
          </w:p>
        </w:tc>
      </w:tr>
      <w:tr>
        <w:trPr>
          <w:trHeight w:val="243"/>
        </w:trPr>
        <w:tc>
          <w:tcPr>
            <w:tcW w:w="6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7"/>
        </w:trPr>
        <w:tc>
          <w:tcPr>
            <w:tcW w:w="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38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0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 w:type="dxa"/>
            <w:vAlign w:val="bottom"/>
          </w:tcPr>
          <w:p>
            <w:pPr>
              <w:spacing w:after="0"/>
              <w:rPr>
                <w:sz w:val="22"/>
                <w:szCs w:val="22"/>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335,611</w:t>
            </w:r>
          </w:p>
        </w:tc>
        <w:tc>
          <w:tcPr>
            <w:tcW w:w="2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28,963</w:t>
            </w: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57"/>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External Operating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Inter-company Operating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 income (loss)</w:t>
            </w: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Contract</w:t>
            </w:r>
          </w:p>
        </w:tc>
        <w:tc>
          <w:tcPr>
            <w:tcW w:w="34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from continuing</w:t>
            </w:r>
          </w:p>
        </w:tc>
      </w:tr>
      <w:tr>
        <w:trPr>
          <w:trHeight w:val="234"/>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Customers</w:t>
            </w:r>
          </w:p>
        </w:tc>
        <w:tc>
          <w:tcPr>
            <w:tcW w:w="2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Customers</w:t>
            </w:r>
          </w:p>
        </w:tc>
        <w:tc>
          <w:tcPr>
            <w:tcW w:w="12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operations</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Segment:</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531,961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63,313</w:t>
            </w:r>
          </w:p>
        </w:tc>
      </w:tr>
      <w:tr>
        <w:trPr>
          <w:trHeight w:val="27"/>
        </w:trPr>
        <w:tc>
          <w:tcPr>
            <w:tcW w:w="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 w:type="dxa"/>
            <w:vAlign w:val="bottom"/>
            <w:shd w:val="clear" w:color="auto" w:fill="CEFFE7"/>
          </w:tcPr>
          <w:p>
            <w:pPr>
              <w:spacing w:after="0"/>
              <w:rPr>
                <w:sz w:val="23"/>
                <w:szCs w:val="23"/>
                <w:color w:val="auto"/>
              </w:rPr>
            </w:pPr>
          </w:p>
        </w:tc>
        <w:tc>
          <w:tcPr>
            <w:tcW w:w="3840" w:type="dxa"/>
            <w:vAlign w:val="bottom"/>
            <w:shd w:val="clear" w:color="auto" w:fill="CEFFE7"/>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Gas Utilities </w:t>
            </w:r>
            <w:r>
              <w:rPr>
                <w:rFonts w:ascii="Times New Roman" w:cs="Times New Roman" w:eastAsia="Times New Roman" w:hAnsi="Times New Roman"/>
                <w:sz w:val="25"/>
                <w:szCs w:val="25"/>
                <w:color w:val="auto"/>
                <w:vertAlign w:val="superscript"/>
              </w:rPr>
              <w:t>(a)</w:t>
            </w:r>
          </w:p>
        </w:tc>
        <w:tc>
          <w:tcPr>
            <w:tcW w:w="160" w:type="dxa"/>
            <w:vAlign w:val="bottom"/>
            <w:shd w:val="clear" w:color="auto" w:fill="CEFFE7"/>
          </w:tcPr>
          <w:p>
            <w:pPr>
              <w:spacing w:after="0"/>
              <w:rPr>
                <w:sz w:val="23"/>
                <w:szCs w:val="23"/>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702,532</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c>
          <w:tcPr>
            <w:tcW w:w="3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680" w:type="dxa"/>
            <w:vAlign w:val="bottom"/>
            <w:gridSpan w:val="2"/>
            <w:shd w:val="clear" w:color="auto" w:fill="CEFFE7"/>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EFFE7"/>
          </w:tcPr>
          <w:p>
            <w:pPr>
              <w:spacing w:after="0"/>
              <w:rPr>
                <w:sz w:val="23"/>
                <w:szCs w:val="23"/>
                <w:color w:val="auto"/>
              </w:rPr>
            </w:pPr>
          </w:p>
        </w:tc>
        <w:tc>
          <w:tcPr>
            <w:tcW w:w="940" w:type="dxa"/>
            <w:vAlign w:val="bottom"/>
            <w:gridSpan w:val="2"/>
            <w:shd w:val="clear" w:color="auto" w:fill="CEFFE7"/>
          </w:tcPr>
          <w:p>
            <w:pPr>
              <w:jc w:val="right"/>
              <w:ind w:right="80"/>
              <w:spacing w:after="0"/>
              <w:rPr>
                <w:sz w:val="20"/>
                <w:szCs w:val="20"/>
                <w:color w:val="auto"/>
              </w:rPr>
            </w:pPr>
            <w:r>
              <w:rPr>
                <w:rFonts w:ascii="Times New Roman" w:cs="Times New Roman" w:eastAsia="Times New Roman" w:hAnsi="Times New Roman"/>
                <w:sz w:val="18"/>
                <w:szCs w:val="18"/>
                <w:color w:val="auto"/>
              </w:rPr>
              <w:t>706,640</w:t>
            </w:r>
          </w:p>
        </w:tc>
        <w:tc>
          <w:tcPr>
            <w:tcW w:w="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93,182</w:t>
            </w:r>
          </w:p>
        </w:tc>
      </w:tr>
      <w:tr>
        <w:trPr>
          <w:trHeight w:val="270"/>
        </w:trPr>
        <w:tc>
          <w:tcPr>
            <w:tcW w:w="60" w:type="dxa"/>
            <w:vAlign w:val="bottom"/>
          </w:tcPr>
          <w:p>
            <w:pPr>
              <w:spacing w:after="0"/>
              <w:rPr>
                <w:sz w:val="23"/>
                <w:szCs w:val="23"/>
                <w:color w:val="auto"/>
              </w:rPr>
            </w:pPr>
          </w:p>
        </w:tc>
        <w:tc>
          <w:tcPr>
            <w:tcW w:w="384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(b)</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36,874</w:t>
            </w:r>
          </w:p>
        </w:tc>
        <w:tc>
          <w:tcPr>
            <w:tcW w:w="340" w:type="dxa"/>
            <w:vAlign w:val="bottom"/>
          </w:tcPr>
          <w:p>
            <w:pPr>
              <w:spacing w:after="0"/>
              <w:rPr>
                <w:sz w:val="23"/>
                <w:szCs w:val="23"/>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26,363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68,590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17,319</w:t>
            </w:r>
          </w:p>
        </w:tc>
      </w:tr>
      <w:tr>
        <w:trPr>
          <w:trHeight w:val="250"/>
        </w:trPr>
        <w:tc>
          <w:tcPr>
            <w:tcW w:w="60" w:type="dxa"/>
            <w:vAlign w:val="bottom"/>
            <w:tcBorders>
              <w:bottom w:val="single" w:sz="8" w:color="CEFFE7"/>
            </w:tcBorders>
            <w:shd w:val="clear" w:color="auto" w:fill="CEFFE7"/>
          </w:tcPr>
          <w:p>
            <w:pPr>
              <w:spacing w:after="0"/>
              <w:rPr>
                <w:sz w:val="21"/>
                <w:szCs w:val="21"/>
                <w:color w:val="auto"/>
              </w:rPr>
            </w:pPr>
          </w:p>
        </w:tc>
        <w:tc>
          <w:tcPr>
            <w:tcW w:w="384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16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25,892</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23,761</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gridSpan w:val="2"/>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gridSpan w:val="2"/>
            <w:shd w:val="clear" w:color="auto" w:fill="CEFFE7"/>
          </w:tcPr>
          <w:p>
            <w:pPr>
              <w:jc w:val="right"/>
              <w:ind w:right="80"/>
              <w:spacing w:after="0"/>
              <w:rPr>
                <w:sz w:val="20"/>
                <w:szCs w:val="20"/>
                <w:color w:val="auto"/>
              </w:rPr>
            </w:pPr>
            <w:r>
              <w:rPr>
                <w:rFonts w:ascii="Times New Roman" w:cs="Times New Roman" w:eastAsia="Times New Roman" w:hAnsi="Times New Roman"/>
                <w:sz w:val="18"/>
                <w:szCs w:val="18"/>
                <w:color w:val="auto"/>
              </w:rPr>
              <w:t>51,328</w:t>
            </w: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9,561</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7"/>
        </w:trPr>
        <w:tc>
          <w:tcPr>
            <w:tcW w:w="3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0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6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gridSpan w:val="2"/>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gridSpan w:val="2"/>
            <w:shd w:val="clear" w:color="auto" w:fill="CEFFE7"/>
          </w:tcPr>
          <w:p>
            <w:pPr>
              <w:jc w:val="right"/>
              <w:ind w:right="20"/>
              <w:spacing w:after="0"/>
              <w:rPr>
                <w:sz w:val="20"/>
                <w:szCs w:val="20"/>
                <w:color w:val="auto"/>
              </w:rPr>
            </w:pPr>
            <w:r>
              <w:rPr>
                <w:rFonts w:ascii="Times New Roman" w:cs="Times New Roman" w:eastAsia="Times New Roman" w:hAnsi="Times New Roman"/>
                <w:sz w:val="18"/>
                <w:szCs w:val="18"/>
                <w:color w:val="auto"/>
              </w:rPr>
              <w:t>(105,447)</w:t>
            </w: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1,245,981</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1,253,072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177,498</w:t>
            </w:r>
          </w:p>
        </w:tc>
      </w:tr>
      <w:tr>
        <w:trPr>
          <w:trHeight w:val="20"/>
        </w:trPr>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6"/>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Inter-company</w:t>
            </w: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Net income (loss)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External Operating</w:t>
            </w:r>
          </w:p>
        </w:tc>
        <w:tc>
          <w:tcPr>
            <w:tcW w:w="1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Operating</w:t>
            </w: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from continuing</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2C2C2C"/>
              </w:rPr>
              <w:t>Nine Months Ended September 30, 2017</w:t>
            </w:r>
          </w:p>
        </w:tc>
        <w:tc>
          <w:tcPr>
            <w:tcW w:w="30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Revenue</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 Utilities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518,925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68,386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Gas Utilities</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674,161</w:t>
            </w: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41,409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(b)</w:t>
            </w: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62,907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Mining</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26,500</w:t>
            </w: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22,485</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5"/>
                <w:szCs w:val="25"/>
                <w:color w:val="auto"/>
                <w:vertAlign w:val="superscript"/>
              </w:rPr>
              <w:t>(c)</w:t>
            </w:r>
          </w:p>
        </w:tc>
        <w:tc>
          <w:tcPr>
            <w:tcW w:w="30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gridSpan w:val="2"/>
            <w:shd w:val="clear" w:color="auto" w:fill="CEFFE7"/>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(94,605)</w:t>
            </w:r>
          </w:p>
        </w:tc>
        <w:tc>
          <w:tcPr>
            <w:tcW w:w="2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1,224,968</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129,866</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jc w:val="right"/>
              <w:ind w:right="5210"/>
              <w:spacing w:after="0"/>
              <w:rPr>
                <w:sz w:val="20"/>
                <w:szCs w:val="20"/>
                <w:color w:val="auto"/>
              </w:rPr>
            </w:pPr>
            <w:r>
              <w:rPr>
                <w:rFonts w:ascii="Times New Roman" w:cs="Times New Roman" w:eastAsia="Times New Roman" w:hAnsi="Times New Roman"/>
                <w:sz w:val="16"/>
                <w:szCs w:val="16"/>
                <w:color w:val="auto"/>
                <w:w w:val="99"/>
              </w:rPr>
              <w:t>___________</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6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from continuing operations available for common stock for the nine months ended September 30, 2018 included a $49 million tax benefit resulting from legal entity restructuring. See Note 19 Income Taxes of the Notes to Condensed Consolidated Financial Statements for more information.</w:t>
      </w:r>
    </w:p>
    <w:p>
      <w:pPr>
        <w:ind w:left="340" w:right="8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from continuing operations available for common stock for the three and nine months ended September 30, 2018 and September 30, 2017 reflects net income attributable to noncontrolling interests of $4.0 million and $10.4 million, and $3.9 million and $10.6 million, respectively.</w:t>
      </w:r>
    </w:p>
    <w:p>
      <w:pPr>
        <w:ind w:left="340" w:right="180" w:hanging="332"/>
        <w:spacing w:after="0" w:line="257"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from continuing operations available for common stock for the nine months ended September 30, 2017 included a $1.4 million tax benefit recognized from carryback claims for specified liability losses involving prior tax years.</w:t>
      </w:r>
    </w:p>
    <w:p>
      <w:pPr>
        <w:spacing w:after="0" w:line="17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Segment information and Corporate and Other balances included in the accompanying Condensed Consolidated Balance Sheets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(net of inter-company eliminations) as of:</w:t>
            </w:r>
          </w:p>
        </w:tc>
        <w:tc>
          <w:tcPr>
            <w:tcW w:w="20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2018</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2017</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Segment:</w:t>
            </w:r>
          </w:p>
        </w:tc>
        <w:tc>
          <w:tcPr>
            <w:tcW w:w="2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Electric Utilities </w:t>
            </w:r>
            <w:r>
              <w:rPr>
                <w:rFonts w:ascii="Times New Roman" w:cs="Times New Roman" w:eastAsia="Times New Roman" w:hAnsi="Times New Roman"/>
                <w:sz w:val="25"/>
                <w:szCs w:val="25"/>
                <w:color w:val="auto"/>
                <w:vertAlign w:val="superscript"/>
              </w:rPr>
              <w:t>(a)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2,853,414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2,906,275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2,911,919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3,433,316</w:t>
            </w: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3,426,466</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3,288,104</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23"/>
                <w:szCs w:val="23"/>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122,428</w:t>
            </w:r>
          </w:p>
        </w:tc>
        <w:tc>
          <w:tcPr>
            <w:tcW w:w="3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60,852</w:t>
            </w:r>
          </w:p>
        </w:tc>
        <w:tc>
          <w:tcPr>
            <w:tcW w:w="3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64,357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72,602</w:t>
            </w: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65,455</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66,700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177,324</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115,612</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2,854</w:t>
            </w:r>
          </w:p>
        </w:tc>
        <w:tc>
          <w:tcPr>
            <w:tcW w:w="30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84,242</w:t>
            </w:r>
          </w:p>
        </w:tc>
        <w:tc>
          <w:tcPr>
            <w:tcW w:w="30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117,338</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6,661,938</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6,658,902</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6,563,748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57"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as a capital lease.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958" w:right="239" w:bottom="1440" w:gutter="0" w:footer="0" w:header="0"/>
        </w:sectPr>
      </w:pPr>
    </w:p>
    <w:bookmarkStart w:id="17" w:name="page18"/>
    <w:bookmarkEnd w:id="17"/>
    <w:p>
      <w:pPr>
        <w:spacing w:after="0"/>
        <w:tabs>
          <w:tab w:leader="none" w:pos="3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Accounts receivable, net included in the accompanying Condensed Consolidated Balance Sheets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Accounts</w:t>
            </w: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2018</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74,103</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71,218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3,749</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r>
      <w:tr>
        <w:trPr>
          <w:trHeight w:val="25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56,149</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152,796</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Accounts</w:t>
            </w: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39,347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75,145</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81,256</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88,967</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167,728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1,457</w:t>
            </w:r>
          </w:p>
        </w:tc>
      </w:tr>
      <w:tr>
        <w:trPr>
          <w:trHeight w:val="25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125,351</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248,330</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Accounts</w:t>
            </w: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42,716</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71,984</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73,168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r>
      <w:tr>
        <w:trPr>
          <w:trHeight w:val="25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150,325</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spacing w:after="0"/>
        <w:tabs>
          <w:tab w:leader="none" w:pos="3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REGULATORY ACCOUNTING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regulatory assets and liabilities (in thousands) as of:</w:t>
      </w:r>
    </w:p>
    <w:p>
      <w:pPr>
        <w:spacing w:after="0" w:line="171" w:lineRule="exact"/>
        <w:rPr>
          <w:sz w:val="20"/>
          <w:szCs w:val="20"/>
          <w:color w:val="auto"/>
        </w:rPr>
      </w:pPr>
    </w:p>
    <w:p>
      <w:pPr>
        <w:jc w:val="right"/>
        <w:ind w:right="240"/>
        <w:spacing w:after="0"/>
        <w:tabs>
          <w:tab w:leader="none" w:pos="3340" w:val="left"/>
          <w:tab w:leader="none" w:pos="1420" w:val="left"/>
        </w:tabs>
        <w:rPr>
          <w:sz w:val="20"/>
          <w:szCs w:val="20"/>
          <w:color w:val="auto"/>
        </w:rPr>
      </w:pPr>
      <w:r>
        <w:rPr>
          <w:rFonts w:ascii="Times New Roman" w:cs="Times New Roman" w:eastAsia="Times New Roman" w:hAnsi="Times New Roman"/>
          <w:sz w:val="18"/>
          <w:szCs w:val="18"/>
          <w:color w:val="auto"/>
        </w:rPr>
        <w:t>September 30, 2018</w:t>
      </w:r>
      <w:r>
        <w:rPr>
          <w:sz w:val="20"/>
          <w:szCs w:val="20"/>
          <w:color w:val="auto"/>
        </w:rPr>
        <w:tab/>
      </w:r>
      <w:r>
        <w:rPr>
          <w:rFonts w:ascii="Times New Roman" w:cs="Times New Roman" w:eastAsia="Times New Roman" w:hAnsi="Times New Roman"/>
          <w:sz w:val="18"/>
          <w:szCs w:val="18"/>
          <w:color w:val="auto"/>
        </w:rPr>
        <w:t>December 31, 2017</w:t>
      </w:r>
      <w:r>
        <w:rPr>
          <w:sz w:val="20"/>
          <w:szCs w:val="20"/>
          <w:color w:val="auto"/>
        </w:rPr>
        <w:tab/>
      </w:r>
      <w:r>
        <w:rPr>
          <w:rFonts w:ascii="Times New Roman" w:cs="Times New Roman" w:eastAsia="Times New Roman" w:hAnsi="Times New Roman"/>
          <w:sz w:val="17"/>
          <w:szCs w:val="17"/>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Deferred energy and fuel cost adjustments </w:t>
      </w:r>
      <w:r>
        <w:rPr>
          <w:rFonts w:ascii="Times New Roman" w:cs="Times New Roman" w:eastAsia="Times New Roman" w:hAnsi="Times New Roman"/>
          <w:sz w:val="25"/>
          <w:szCs w:val="25"/>
          <w:color w:val="auto"/>
          <w:vertAlign w:val="superscript"/>
        </w:rPr>
        <w:t>(a)</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Deferred gas cost adjustments </w:t>
      </w:r>
      <w:r>
        <w:rPr>
          <w:rFonts w:ascii="Times New Roman" w:cs="Times New Roman" w:eastAsia="Times New Roman" w:hAnsi="Times New Roman"/>
          <w:sz w:val="25"/>
          <w:szCs w:val="25"/>
          <w:color w:val="auto"/>
          <w:vertAlign w:val="superscript"/>
        </w:rPr>
        <w:t>(a)</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Gas price derivatives </w:t>
      </w:r>
      <w:r>
        <w:rPr>
          <w:rFonts w:ascii="Times New Roman" w:cs="Times New Roman" w:eastAsia="Times New Roman" w:hAnsi="Times New Roman"/>
          <w:sz w:val="25"/>
          <w:szCs w:val="25"/>
          <w:color w:val="auto"/>
          <w:vertAlign w:val="superscript"/>
        </w:rPr>
        <w:t>(a)</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Deferred taxes on AFUDC </w:t>
      </w:r>
      <w:r>
        <w:rPr>
          <w:rFonts w:ascii="Times New Roman" w:cs="Times New Roman" w:eastAsia="Times New Roman" w:hAnsi="Times New Roman"/>
          <w:sz w:val="25"/>
          <w:szCs w:val="25"/>
          <w:color w:val="auto"/>
          <w:vertAlign w:val="superscript"/>
        </w:rPr>
        <w:t>(b)</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Employee benefit plans </w:t>
      </w:r>
      <w:r>
        <w:rPr>
          <w:rFonts w:ascii="Times New Roman" w:cs="Times New Roman" w:eastAsia="Times New Roman" w:hAnsi="Times New Roman"/>
          <w:sz w:val="25"/>
          <w:szCs w:val="25"/>
          <w:color w:val="auto"/>
          <w:vertAlign w:val="superscript"/>
        </w:rPr>
        <w:t>(c)</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Environmental </w:t>
      </w:r>
      <w:r>
        <w:rPr>
          <w:rFonts w:ascii="Times New Roman" w:cs="Times New Roman" w:eastAsia="Times New Roman" w:hAnsi="Times New Roman"/>
          <w:sz w:val="25"/>
          <w:szCs w:val="25"/>
          <w:color w:val="auto"/>
          <w:vertAlign w:val="superscript"/>
        </w:rPr>
        <w:t>(a)</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Asset retirement obligations </w:t>
      </w:r>
      <w:r>
        <w:rPr>
          <w:rFonts w:ascii="Times New Roman" w:cs="Times New Roman" w:eastAsia="Times New Roman" w:hAnsi="Times New Roman"/>
          <w:sz w:val="25"/>
          <w:szCs w:val="25"/>
          <w:color w:val="auto"/>
          <w:vertAlign w:val="superscript"/>
        </w:rPr>
        <w:t>(a)</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Loss on reacquired debt </w:t>
      </w:r>
      <w:r>
        <w:rPr>
          <w:rFonts w:ascii="Times New Roman" w:cs="Times New Roman" w:eastAsia="Times New Roman" w:hAnsi="Times New Roman"/>
          <w:sz w:val="25"/>
          <w:szCs w:val="25"/>
          <w:color w:val="auto"/>
          <w:vertAlign w:val="superscript"/>
        </w:rPr>
        <w:t>(a)</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Renewable energy standard adjustment </w:t>
      </w:r>
      <w:r>
        <w:rPr>
          <w:rFonts w:ascii="Times New Roman" w:cs="Times New Roman" w:eastAsia="Times New Roman" w:hAnsi="Times New Roman"/>
          <w:sz w:val="25"/>
          <w:szCs w:val="25"/>
          <w:color w:val="auto"/>
          <w:vertAlign w:val="superscript"/>
        </w:rPr>
        <w:t>(a)</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Deferred taxes on flow through accounting </w:t>
      </w:r>
      <w:r>
        <w:rPr>
          <w:rFonts w:ascii="Times New Roman" w:cs="Times New Roman" w:eastAsia="Times New Roman" w:hAnsi="Times New Roman"/>
          <w:sz w:val="25"/>
          <w:szCs w:val="25"/>
          <w:color w:val="auto"/>
          <w:vertAlign w:val="superscript"/>
        </w:rPr>
        <w:t>(c) (e)</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Decommissioning costs </w:t>
      </w:r>
      <w:r>
        <w:rPr>
          <w:rFonts w:ascii="Times New Roman" w:cs="Times New Roman" w:eastAsia="Times New Roman" w:hAnsi="Times New Roman"/>
          <w:sz w:val="25"/>
          <w:szCs w:val="25"/>
          <w:color w:val="auto"/>
          <w:vertAlign w:val="superscript"/>
        </w:rPr>
        <w:t>(b)</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Gas supply contract termination </w:t>
      </w:r>
      <w:r>
        <w:rPr>
          <w:rFonts w:ascii="Times New Roman" w:cs="Times New Roman" w:eastAsia="Times New Roman" w:hAnsi="Times New Roman"/>
          <w:sz w:val="25"/>
          <w:szCs w:val="25"/>
          <w:color w:val="auto"/>
          <w:vertAlign w:val="superscript"/>
        </w:rPr>
        <w:t>(a)</w:t>
      </w:r>
    </w:p>
    <w:p>
      <w:pPr>
        <w:ind w:left="180"/>
        <w:spacing w:after="0"/>
        <w:rPr>
          <w:sz w:val="20"/>
          <w:szCs w:val="20"/>
          <w:color w:val="auto"/>
        </w:rPr>
      </w:pPr>
      <w:r>
        <w:rPr>
          <w:rFonts w:ascii="Times New Roman" w:cs="Times New Roman" w:eastAsia="Times New Roman" w:hAnsi="Times New Roman"/>
          <w:sz w:val="18"/>
          <w:szCs w:val="18"/>
          <w:color w:val="auto"/>
        </w:rPr>
        <w:t xml:space="preserve">Other regulatory assets </w:t>
      </w:r>
      <w:r>
        <w:rPr>
          <w:rFonts w:ascii="Times New Roman" w:cs="Times New Roman" w:eastAsia="Times New Roman" w:hAnsi="Times New Roman"/>
          <w:sz w:val="25"/>
          <w:szCs w:val="25"/>
          <w:color w:val="auto"/>
          <w:vertAlign w:val="superscript"/>
        </w:rPr>
        <w:t>(a)</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regulatory assets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current regulatory assets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Regulatory assets, non-current</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Regulatory liabilities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Deferred energy and gas costs </w:t>
      </w:r>
      <w:r>
        <w:rPr>
          <w:rFonts w:ascii="Times New Roman" w:cs="Times New Roman" w:eastAsia="Times New Roman" w:hAnsi="Times New Roman"/>
          <w:sz w:val="25"/>
          <w:szCs w:val="25"/>
          <w:color w:val="auto"/>
          <w:vertAlign w:val="superscript"/>
        </w:rPr>
        <w:t>(a)</w:t>
      </w:r>
    </w:p>
    <w:p>
      <w:pPr>
        <w:ind w:left="180"/>
        <w:spacing w:after="0" w:line="234" w:lineRule="auto"/>
        <w:rPr>
          <w:sz w:val="20"/>
          <w:szCs w:val="20"/>
          <w:color w:val="auto"/>
        </w:rPr>
      </w:pPr>
      <w:r>
        <w:rPr>
          <w:rFonts w:ascii="Times New Roman" w:cs="Times New Roman" w:eastAsia="Times New Roman" w:hAnsi="Times New Roman"/>
          <w:sz w:val="17"/>
          <w:szCs w:val="17"/>
          <w:color w:val="auto"/>
        </w:rPr>
        <w:t xml:space="preserve">Employee benefit plan costs and related deferred taxes </w:t>
      </w:r>
      <w:r>
        <w:rPr>
          <w:rFonts w:ascii="Times New Roman" w:cs="Times New Roman" w:eastAsia="Times New Roman" w:hAnsi="Times New Roman"/>
          <w:sz w:val="24"/>
          <w:szCs w:val="24"/>
          <w:color w:val="auto"/>
          <w:vertAlign w:val="superscript"/>
        </w:rPr>
        <w:t>(c) (e)</w:t>
      </w:r>
    </w:p>
    <w:p>
      <w:pPr>
        <w:ind w:left="180"/>
        <w:spacing w:after="0" w:line="226" w:lineRule="auto"/>
        <w:rPr>
          <w:sz w:val="20"/>
          <w:szCs w:val="20"/>
          <w:color w:val="auto"/>
        </w:rPr>
      </w:pPr>
      <w:r>
        <w:rPr>
          <w:rFonts w:ascii="Times New Roman" w:cs="Times New Roman" w:eastAsia="Times New Roman" w:hAnsi="Times New Roman"/>
          <w:sz w:val="18"/>
          <w:szCs w:val="18"/>
          <w:color w:val="auto"/>
        </w:rPr>
        <w:t xml:space="preserve">Cost of removal </w:t>
      </w:r>
      <w:r>
        <w:rPr>
          <w:rFonts w:ascii="Times New Roman" w:cs="Times New Roman" w:eastAsia="Times New Roman" w:hAnsi="Times New Roman"/>
          <w:sz w:val="25"/>
          <w:szCs w:val="25"/>
          <w:color w:val="auto"/>
          <w:vertAlign w:val="superscript"/>
        </w:rPr>
        <w:t>(a)</w:t>
      </w:r>
    </w:p>
    <w:p>
      <w:pPr>
        <w:ind w:left="180"/>
        <w:spacing w:after="0" w:line="230" w:lineRule="auto"/>
        <w:rPr>
          <w:sz w:val="20"/>
          <w:szCs w:val="20"/>
          <w:color w:val="auto"/>
        </w:rPr>
      </w:pPr>
      <w:r>
        <w:rPr>
          <w:rFonts w:ascii="Times New Roman" w:cs="Times New Roman" w:eastAsia="Times New Roman" w:hAnsi="Times New Roman"/>
          <w:sz w:val="18"/>
          <w:szCs w:val="18"/>
          <w:color w:val="auto"/>
        </w:rPr>
        <w:t xml:space="preserve">Excess deferred income taxes </w:t>
      </w:r>
      <w:r>
        <w:rPr>
          <w:rFonts w:ascii="Times New Roman" w:cs="Times New Roman" w:eastAsia="Times New Roman" w:hAnsi="Times New Roman"/>
          <w:sz w:val="25"/>
          <w:szCs w:val="25"/>
          <w:color w:val="auto"/>
          <w:vertAlign w:val="superscript"/>
        </w:rPr>
        <w:t>(c) (d)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TCJA revenue reserve</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Other regulatory liabilities </w:t>
      </w:r>
      <w:r>
        <w:rPr>
          <w:rFonts w:ascii="Times New Roman" w:cs="Times New Roman" w:eastAsia="Times New Roman" w:hAnsi="Times New Roman"/>
          <w:sz w:val="25"/>
          <w:szCs w:val="25"/>
          <w:color w:val="auto"/>
          <w:vertAlign w:val="superscript"/>
        </w:rPr>
        <w:t>(c)</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regulatory liabilities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current regulatory liabilities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Regulatory liabilities,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29,976</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20,187</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20,559</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31,844</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12,833</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11,935</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11,297</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7,804</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15,645</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106,734</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109,235</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105,671</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21,431</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20,667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21,067</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29,342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26,978</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41,900</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13,989</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15,745</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20,001</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21,402</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28,725</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32,837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32,710</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260,350</w:t>
            </w:r>
          </w:p>
        </w:tc>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297,454</w:t>
            </w:r>
          </w:p>
        </w:tc>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300,594</w:t>
            </w:r>
          </w:p>
        </w:tc>
      </w:tr>
      <w:tr>
        <w:trPr>
          <w:trHeight w:val="270"/>
        </w:trPr>
        <w:tc>
          <w:tcPr>
            <w:tcW w:w="6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(48,302)</w:t>
            </w:r>
          </w:p>
        </w:tc>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(81,016)</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(61,023)</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212,048</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216,438</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239,571</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37"/>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15,980</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39,332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40,629</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66,620</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146,177</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130,932</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125,360</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316,625</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301,553</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20,592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11,582</w:t>
            </w:r>
          </w:p>
        </w:tc>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8,585</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9,419</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550,288</w:t>
            </w:r>
          </w:p>
        </w:tc>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485,126</w:t>
            </w:r>
          </w:p>
        </w:tc>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205,231</w:t>
            </w:r>
          </w:p>
        </w:tc>
      </w:tr>
      <w:tr>
        <w:trPr>
          <w:trHeight w:val="270"/>
        </w:trPr>
        <w:tc>
          <w:tcPr>
            <w:tcW w:w="6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(41,442)</w:t>
            </w:r>
          </w:p>
        </w:tc>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508,846</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478,294</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198,189</w:t>
            </w:r>
          </w:p>
        </w:tc>
      </w:tr>
      <w:tr>
        <w:trPr>
          <w:trHeight w:val="27"/>
        </w:trPr>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-4356100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-4012565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-3669665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-3326765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-2983865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-2640965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-2289175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-1929130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-1585595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-1242695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-899795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-556895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900" w:space="720"/>
            <w:col w:w="5800"/>
          </w:cols>
          <w:pgMar w:left="240" w:top="580" w:right="239" w:bottom="1440" w:gutter="0" w:footer="0" w:header="0"/>
          <w:type w:val="continuous"/>
        </w:sect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of costs, but we are not allowed a rate of return.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recovery of costs, we are allowed a rate of return.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recovery or repayment of costs, we are allowed a return on a portion of this amount or a reduction in rate base.</w:t>
      </w:r>
    </w:p>
    <w:p>
      <w:pPr>
        <w:spacing w:after="0" w:line="5" w:lineRule="exact"/>
        <w:rPr>
          <w:rFonts w:ascii="Times New Roman" w:cs="Times New Roman" w:eastAsia="Times New Roman" w:hAnsi="Times New Roman"/>
          <w:sz w:val="16"/>
          <w:szCs w:val="16"/>
          <w:color w:val="auto"/>
        </w:rPr>
      </w:pPr>
    </w:p>
    <w:p>
      <w:pPr>
        <w:jc w:val="both"/>
        <w:ind w:left="340" w:right="18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the regulatory tax liability is primarily related to the revaluation of deferred income tax balances at the lower income tax rate. As of September 30, 2018 and December 31, 2017, all of the liability was classified as non-current due to uncertainties around the timing and other regulatory decisions that will affect the amount of regulatory tax liability amortized and returned to customers through rate reductions or other revenue offsets.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variance to the prior periods is primarily due to the decrease in federal income tax from 35% to 21% as a result of the TCJA.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discussed below, there have been no other significant changes to our Regulatory Matters from those previously disclosed in Note 13 of the Notes to the Consolidated Financial Statements in our 2017 Annual Report on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type w:val="continuous"/>
        </w:sectPr>
      </w:pPr>
    </w:p>
    <w:bookmarkStart w:id="19" w:name="page20"/>
    <w:bookmarkEnd w:id="19"/>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TCJA revenue reserve - </w:t>
      </w:r>
      <w:r>
        <w:rPr>
          <w:rFonts w:ascii="Times New Roman" w:cs="Times New Roman" w:eastAsia="Times New Roman" w:hAnsi="Times New Roman"/>
          <w:sz w:val="18"/>
          <w:szCs w:val="18"/>
          <w:color w:val="auto"/>
        </w:rPr>
        <w:t>The TCJA signed into law on December 22, 2017, reduced the federal corporate income tax rate from 35% to 21%.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 2018, the key impact of tax reform on existing utility revenues/tariffs established prior to tax reform results primarily from the change in the federal tax rate from 35% to 21% (including the effects of tax gross-ups not yet approved) affecting current income tax expense embedded in those tariffs. Black Hills has been collaborating with utility commissions in the states in which it provides utility service to deliver to customers the benefits of a lower corporate federal income tax rate beginning in 2018 with the passage of the TCJA. We have received state utility commission approvals to provide the benefits of federal tax reform to utility customers in six states. We estimated and recorded a reserve to revenue of approximately $6.0 million and $29 million during the three and nine months ended September 30, 2018, respectively. As of September 30, 2018, $7.9 million has been returned to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states where benefits to customers of federal tax reform have been approved is summarized below.</w:t>
      </w:r>
    </w:p>
    <w:p>
      <w:pPr>
        <w:spacing w:after="0" w:line="383"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Approximate 2018 Benefit for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Start Date for Customer</w:t>
            </w:r>
          </w:p>
        </w:tc>
      </w:tr>
      <w:tr>
        <w:trPr>
          <w:trHeight w:val="238"/>
        </w:trPr>
        <w:tc>
          <w:tcPr>
            <w:tcW w:w="13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560" w:type="dxa"/>
            <w:vAlign w:val="bottom"/>
          </w:tcPr>
          <w:p>
            <w:pPr>
              <w:spacing w:after="0"/>
              <w:rPr>
                <w:sz w:val="20"/>
                <w:szCs w:val="20"/>
                <w:color w:val="auto"/>
              </w:rPr>
            </w:pPr>
          </w:p>
        </w:tc>
        <w:tc>
          <w:tcPr>
            <w:tcW w:w="276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Benefits</w:t>
            </w:r>
          </w:p>
        </w:tc>
      </w:tr>
      <w:tr>
        <w:trPr>
          <w:trHeight w:val="27"/>
        </w:trPr>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9.7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9"/>
              </w:rPr>
              <w:t>October 2018</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million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r>
      <w:tr>
        <w:trPr>
          <w:trHeight w:val="27"/>
        </w:trPr>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million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2018</w:t>
            </w:r>
          </w:p>
        </w:tc>
      </w:tr>
      <w:tr>
        <w:trPr>
          <w:trHeight w:val="27"/>
        </w:trPr>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3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5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3.8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Dakota</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million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2018</w:t>
            </w: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support of returning benefits to customers, the three rate review requests filed in 2017 for Arkansas Gas, Wyoming Gas (Northwest Wyoming) and Rocky Mountain Natural Gas (a pipeline system in Colorado) were adjusted to include the benefits to customers of federal tax reform as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 Reviews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RMNG</w:t>
      </w:r>
    </w:p>
    <w:p>
      <w:pPr>
        <w:spacing w:after="0" w:line="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Colorado, new rates for RMNG went into effect June 1, 2018 after an administrative law judge recommended approval of a settlement agreement and the CPUC took no further action. The settlement included $1.1 million in annual revenue increases and an extension of the SSIR to recover costs from 2018 through December 31, 2021. The annual increase is based on a return on equity of 9.9% and a capital structure of 46.63% equity and 53.37% debt. New rates are inclusive of customer benefits related to the TCJA.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Wyoming Gas</w:t>
      </w:r>
    </w:p>
    <w:p>
      <w:pPr>
        <w:spacing w:after="0" w:line="2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On July 16, 2018, the WPSC reached a bench decision approving our Wyoming Gas (Northwest Wyoming) settlement and stipulation with the OCA. We received the final order in the third quarter of 2018. The settlement provides for $1.0 million of new revenue, a return on equity of 9.6%, and a capital structure of 54.0% equity and 46.0% debt. New rates, inclusive of customer benefits related to the TCJA, were effective September 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Arkansas Gas</w:t>
      </w:r>
    </w:p>
    <w:p>
      <w:pPr>
        <w:spacing w:after="0" w:line="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October 5, 2018, Arkansas Gas received approval from the APSC for a general rate increase. The new rates will generate approximately $12 million of new annual revenue. The APSC’s approval also allows Arkansas Gas to include $11 million of revenue that is currently being collected through certain rider mechanisms in the new base rates. The new revenue increase is based on a return on equity of 9.61% and a capital structure of 49.1% equity and 50.9% debt. New rates, inclusive of customer benefits related to the TCJA, were effective October 15,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Wyoming Electric</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31, Wyoming Electric received approval from the WPSC for a comprehensive, multi-year settlement regarding its PCA Application filed earlier in 2018. Wyoming Electric’s PCA permits the recovery of costs associated with fuel, purchased electricity and other specified costs, including the portion of the company’s energy that is delivered from the Wygen I PPA with Black Hills Wyoming. Wyoming Electric will provide an aggregate $7.0 million in customer credits through the PCA mechanism in 2018, 2019 and 2020 to resolve all outstanding issues relating to its current and prior PCA filings. The settlement also stipulates the adjustment for the variable cost segment of the Wygen I PPA with Wyoming Electric will escalate by 3.0% annually through 2022, providing price certainty for Wyoming Electric and its customers. As of September 30, 2018, we have recorded a liability of $4.5 million related to the PCA.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Nebraska Gas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 2018, Nebraska Gas Distribution filed an application with the NPSC requesting a continuation of the SSIR beyond the expiration date of October 31, 2019. On September 5, 2018, the NSPC approved continuation of the SSIR tariff to December 31, 2020. The SSIR provides approximately $6.0 million of revenue annually on investments made prior to January 1, 2018, with investments after that date to be recovered through other methods. If a base rate review is filed prior to expiration of the rider, that rate request will include the remaining investment to be recovered.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Kansas Gas</w:t>
      </w:r>
    </w:p>
    <w:p>
      <w:pPr>
        <w:spacing w:after="0" w:line="2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On June 19, 2018, Kansas Gas received approval from the Kansas Corporation Commission to double annual eligible investments up to $8.0 million for safety related integrity investments under the Gas System Reliability rider.</w:t>
      </w:r>
    </w:p>
    <w:p>
      <w:pPr>
        <w:spacing w:after="0" w:line="3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MATERIALS, SUPPLIES AND FUEL</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amounts by major classification are included in Materials, supplies and fuel in the accompanying Condensed Consolidated Balance Sheets (in thousands) as of:</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2018</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2017</w:t>
            </w:r>
          </w:p>
        </w:tc>
        <w:tc>
          <w:tcPr>
            <w:tcW w:w="2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2017</w:t>
            </w:r>
          </w:p>
        </w:tc>
      </w:tr>
      <w:tr>
        <w:trPr>
          <w:trHeight w:val="27"/>
        </w:trPr>
        <w:tc>
          <w:tcPr>
            <w:tcW w:w="51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Materials and supplies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73,777</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69,732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70,284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 Electric Utilities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Natural gas in storage held for distribution</w:t>
            </w:r>
          </w:p>
        </w:tc>
        <w:tc>
          <w:tcPr>
            <w:tcW w:w="18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46,091</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40,589</w:t>
            </w:r>
          </w:p>
        </w:tc>
        <w:tc>
          <w:tcPr>
            <w:tcW w:w="26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49,589</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materials, supplies and fuel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122,618</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113,283</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122,866</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INVESTMENTS</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February 2018, we contributed $28 million of assets in exchange for equity securities in a privately held company. The carrying value of our investment in the equity securities was determined using the cost method. We review this investment on a periodic basis to determine whether a significant event or change in circumstances has occurred that may have an adverse effect on the value of the investment. We estimate that the fair value of this cost method investment approximated or exceeded its carrying value as of September 30, 2018.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2018</w:t>
            </w:r>
          </w:p>
        </w:tc>
        <w:tc>
          <w:tcPr>
            <w:tcW w:w="280" w:type="dxa"/>
            <w:vAlign w:val="bottom"/>
          </w:tcPr>
          <w:p>
            <w:pPr>
              <w:spacing w:after="0"/>
              <w:rPr>
                <w:sz w:val="20"/>
                <w:szCs w:val="20"/>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2017</w:t>
            </w:r>
          </w:p>
        </w:tc>
        <w:tc>
          <w:tcPr>
            <w:tcW w:w="2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2017</w:t>
            </w:r>
          </w:p>
        </w:tc>
      </w:tr>
      <w:tr>
        <w:trPr>
          <w:trHeight w:val="27"/>
        </w:trPr>
        <w:tc>
          <w:tcPr>
            <w:tcW w:w="53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Cost method investment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28,134</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tc>
        <w:tc>
          <w:tcPr>
            <w:tcW w:w="20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13,068</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13,090</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12,947</w:t>
            </w:r>
          </w:p>
        </w:tc>
      </w:tr>
      <w:tr>
        <w:trPr>
          <w:trHeight w:val="27"/>
        </w:trPr>
        <w:tc>
          <w:tcPr>
            <w:tcW w:w="53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41,202</w:t>
            </w:r>
          </w:p>
        </w:tc>
        <w:tc>
          <w:tcPr>
            <w:tcW w:w="2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13,090</w:t>
            </w:r>
          </w:p>
        </w:tc>
        <w:tc>
          <w:tcPr>
            <w:tcW w:w="2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12,947</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EARNINGS PER SHARE</w:t>
      </w:r>
    </w:p>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reconciliation of share amounts used to compute Earnings (loss) per share in the accompanying Condensed Consolidated Statements of Income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27,663</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171,871</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126,381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53,364</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53,243</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53,208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EFFE7"/>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Equity Units </w:t>
            </w:r>
            <w:r>
              <w:rPr>
                <w:rFonts w:ascii="Times New Roman" w:cs="Times New Roman" w:eastAsia="Times New Roman" w:hAnsi="Times New Roman"/>
                <w:sz w:val="25"/>
                <w:szCs w:val="25"/>
                <w:color w:val="auto"/>
                <w:vertAlign w:val="superscript"/>
              </w:rPr>
              <w:t>(a)</w:t>
            </w:r>
          </w:p>
        </w:tc>
        <w:tc>
          <w:tcPr>
            <w:tcW w:w="1100" w:type="dxa"/>
            <w:vAlign w:val="bottom"/>
            <w:shd w:val="clear" w:color="auto" w:fill="CEFFE7"/>
          </w:tcPr>
          <w:p>
            <w:pPr>
              <w:spacing w:after="0"/>
              <w:rPr>
                <w:sz w:val="23"/>
                <w:szCs w:val="23"/>
                <w:color w:val="auto"/>
              </w:rPr>
            </w:pPr>
          </w:p>
        </w:tc>
        <w:tc>
          <w:tcPr>
            <w:tcW w:w="6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3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10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54,819</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55,432</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spacing w:after="0"/>
              <w:rPr>
                <w:sz w:val="22"/>
                <w:szCs w:val="22"/>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54,508</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55,254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(a)  Calculated using the treasury stock method.</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following outstanding securities were excluded in the computation of diluted net income (loss) per share as their inclusion would have been anti-dilutive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5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2018</w:t>
            </w: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2018</w:t>
            </w: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Equity compensation</w:t>
            </w:r>
          </w:p>
        </w:tc>
        <w:tc>
          <w:tcPr>
            <w:tcW w:w="124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ind w:right="139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CEFFE7"/>
            </w:tcBorders>
            <w:gridSpan w:val="2"/>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EFFE7"/>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Borders>
              <w:bottom w:val="single" w:sz="8" w:color="CEFFE7"/>
            </w:tcBorders>
            <w:shd w:val="clear" w:color="auto" w:fill="CEFFE7"/>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Anti-dilutive shares</w:t>
            </w:r>
          </w:p>
        </w:tc>
        <w:tc>
          <w:tcPr>
            <w:tcW w:w="124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4" w:right="239" w:bottom="0" w:gutter="0" w:footer="0" w:header="0"/>
        </w:sectPr>
      </w:pPr>
    </w:p>
    <w:p>
      <w:pPr>
        <w:spacing w:after="0" w:line="10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NOTES PAYABLE, CURRENT MATURITIES AND DEBT</w:t>
      </w:r>
    </w:p>
    <w:p>
      <w:pPr>
        <w:sectPr>
          <w:pgSz w:w="11900" w:h="16838" w:orient="portrait"/>
          <w:cols w:equalWidth="0" w:num="1">
            <w:col w:w="11420"/>
          </w:cols>
          <w:pgMar w:left="240" w:top="794" w:right="23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We had the following notes payable outstanding in the accompanying Condensed Consolidated Balance Sheets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rPr>
              <w:t>September 30, 2018</w:t>
            </w:r>
          </w:p>
        </w:tc>
        <w:tc>
          <w:tcPr>
            <w:tcW w:w="180" w:type="dxa"/>
            <w:vAlign w:val="bottom"/>
          </w:tcPr>
          <w:p>
            <w:pPr>
              <w:spacing w:after="0"/>
              <w:rPr>
                <w:sz w:val="20"/>
                <w:szCs w:val="20"/>
                <w:color w:val="auto"/>
              </w:rPr>
            </w:pPr>
          </w:p>
        </w:tc>
        <w:tc>
          <w:tcPr>
            <w:tcW w:w="23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2017</w:t>
            </w:r>
          </w:p>
        </w:tc>
        <w:tc>
          <w:tcPr>
            <w:tcW w:w="160" w:type="dxa"/>
            <w:vAlign w:val="bottom"/>
          </w:tcPr>
          <w:p>
            <w:pPr>
              <w:spacing w:after="0"/>
              <w:rPr>
                <w:sz w:val="20"/>
                <w:szCs w:val="20"/>
                <w:color w:val="auto"/>
              </w:rPr>
            </w:pPr>
          </w:p>
        </w:tc>
        <w:tc>
          <w:tcPr>
            <w:tcW w:w="24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2017</w:t>
            </w: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Balance</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Outstanding</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Outstanding</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Outstanding</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EFFE7"/>
            </w:tcBorders>
            <w:shd w:val="clear" w:color="auto" w:fill="CEFFE7"/>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26,848</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EFFE7"/>
            </w:tcBorders>
            <w:shd w:val="clear" w:color="auto" w:fill="CEFFE7"/>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25,391</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 Program</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112,100</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211,300</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225,170</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112,100</w:t>
            </w:r>
          </w:p>
        </w:tc>
        <w:tc>
          <w:tcPr>
            <w:tcW w:w="480" w:type="dxa"/>
            <w:vAlign w:val="bottom"/>
            <w:tcBorders>
              <w:bottom w:val="single" w:sz="8" w:color="auto"/>
            </w:tcBorders>
            <w:shd w:val="clear" w:color="auto" w:fill="CEFFE7"/>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211,300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26,848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225,170</w:t>
            </w:r>
          </w:p>
        </w:tc>
        <w:tc>
          <w:tcPr>
            <w:tcW w:w="480" w:type="dxa"/>
            <w:vAlign w:val="bottom"/>
            <w:tcBorders>
              <w:bottom w:val="single" w:sz="8" w:color="auto"/>
            </w:tcBorders>
            <w:shd w:val="clear" w:color="auto" w:fill="CEFFE7"/>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25,391</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 and CP Program</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September 30, 2018. Based on our credit ratings, a 0.175% commitment fee was charged on the unused amount at September 30, 2018. Margins and the commitment fee rate decreased in August 2018 due to our upgraded credit rating from S&amp;P.</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ind w:right="160"/>
        <w:spacing w:after="0" w:line="282" w:lineRule="auto"/>
        <w:rPr>
          <w:sz w:val="20"/>
          <w:szCs w:val="20"/>
          <w:color w:val="auto"/>
        </w:rPr>
      </w:pPr>
      <w:r>
        <w:rPr>
          <w:rFonts w:ascii="Times New Roman" w:cs="Times New Roman" w:eastAsia="Times New Roman" w:hAnsi="Times New Roman"/>
          <w:sz w:val="18"/>
          <w:szCs w:val="18"/>
          <w:color w:val="auto"/>
        </w:rPr>
        <w:t>Our net payments under the CP Program during the nine months ended September 30, 2018 were $99 million and our notes outstanding as of September 30, 2018 were $112 million. As of September 30, 2018, the weighted average interest rate on CP Program borrowings was 2.42%.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our Revolving Credit Facility and term loan agreement (before each was amended and restated), we were required to maintain a Consolidated Indebtedness to Capitalization Ratio not to exceed 0.65 to 1.00. At September 30, 2018, our Consolidated Indebtedness to Capitalization Ratio was calculated by dividing (i) Consolidated Indebtedness (which included letters of credit and certain guarantees issued but excluded the RSNs), by (ii) Capital, which is Consolidated Indebtedness plus Consolidated Net Worth (which excluded noncontrolling interests in subsidiaries and included the aggregate outstanding amount of the RSNs). Under our amended and restated revolving Credit Facility and amended and restated term loan agreement, we are also required to maintain a Consolidated Indebtedness to Capitalization Ratio not to exceed 0.65 to 1.00, but as of September 30, 2018 only, Consolidated Net Worth will include the amount receivable by the Company in connection with the common stock settlement under the purchase contracts which are part of the Equity Units, rather than the outstanding amount of the RSNs.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and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of September 30, 2018</w:t>
            </w:r>
          </w:p>
        </w:tc>
        <w:tc>
          <w:tcPr>
            <w:tcW w:w="24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Consolidated Indebtedness to Capitalization Ratio</w:t>
            </w:r>
          </w:p>
        </w:tc>
        <w:tc>
          <w:tcPr>
            <w:tcW w:w="2700" w:type="dxa"/>
            <w:vAlign w:val="bottom"/>
            <w:shd w:val="clear" w:color="auto" w:fill="CEFFE7"/>
          </w:tcPr>
          <w:p>
            <w:pPr>
              <w:jc w:val="right"/>
              <w:ind w:right="1050"/>
              <w:spacing w:after="0"/>
              <w:rPr>
                <w:sz w:val="20"/>
                <w:szCs w:val="20"/>
                <w:color w:val="auto"/>
              </w:rPr>
            </w:pPr>
            <w:r>
              <w:rPr>
                <w:rFonts w:ascii="Times New Roman" w:cs="Times New Roman" w:eastAsia="Times New Roman" w:hAnsi="Times New Roman"/>
                <w:sz w:val="18"/>
                <w:szCs w:val="18"/>
                <w:color w:val="auto"/>
              </w:rPr>
              <w:t>61.4%</w:t>
            </w:r>
          </w:p>
        </w:tc>
        <w:tc>
          <w:tcPr>
            <w:tcW w:w="1420" w:type="dxa"/>
            <w:vAlign w:val="bottom"/>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700" w:type="dxa"/>
            <w:vAlign w:val="bottom"/>
            <w:shd w:val="clear" w:color="auto" w:fill="CEFFE7"/>
          </w:tcPr>
          <w:p>
            <w:pPr>
              <w:spacing w:after="0"/>
              <w:rPr>
                <w:sz w:val="2"/>
                <w:szCs w:val="2"/>
                <w:color w:val="auto"/>
              </w:rPr>
            </w:pPr>
          </w:p>
        </w:tc>
        <w:tc>
          <w:tcPr>
            <w:tcW w:w="142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2018, we were in compliance with this covenant.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Maturities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2018, our $250 million senior unsecured notes due January 11, 2019 and $5.7 million of principal due in the next twelve months on our Corporate term loan due June 7, 2021 are classified as Current maturities of long-term debt on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August 17, 2018, we issued $400 million principal amount, 4.350% senior unsecured notes due 2033. A portion of these notes were issued in a private exchange that resulted in the retirement of all $299 million principal amount of our RSNs due 2028. The remainder of the notes were sold for cash in a public offering, with the net proceeds being used to pay down short-term debt.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issuance of these new senior notes was the culmination of a series of transactions that also included the contractually required remarketing of such RSNs on behalf of the holders of our Equity Units, with the proceeds being deposited as collateral to secure the obligations of those holders under the purchase contracts included in the Equity Units (see subsequent event in Note 10). As a result of the remarketing, the annual interest rate on such RSNs was automatically reset to 4.579% (however, because the RSNs were then immediately retired, no interest accrued at this reset rate).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30, 2018, we amended and restated our unsecured term loan due August 2019. This amended and restated term loan, with $300 million outstanding at September 30, 2018, will now mature on July 30, 2020 and has substantially similar terms and covenants as the amended and restated Revolving Credit Facility. The interest cost associated with this term loan is determined based upon our corporate credit rating from S&amp;P, Fitch, and Moody’s for our senior unsecured long-term debt. Based on our credit ratings, the margins for base rate borrowings and Eurodollar borrowings were 0.000% and 0.700%, respectively, at September 30,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w:t>
        <w:tab/>
        <w:t>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equity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1,708,974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111,232</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1,820,206</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171,871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182,318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(76,309)</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4,871</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4,871</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1,813,255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107,924</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1,921,179</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63"/>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Total Stockholders’</w:t>
            </w:r>
          </w:p>
        </w:tc>
        <w:tc>
          <w:tcPr>
            <w:tcW w:w="22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Noncontrolling</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2C2C2C"/>
              </w:rPr>
              <w:t>Nine Months Ended September 30, 2017</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1,730,134</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126,381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136,948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2,317</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5,853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5,853</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ASU 2016-09 implementation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1,682,804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113,178</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1,795,982</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Equity Offering Program</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August 4, 2017, we renewed our ATM equity offering program which reset the size of the program to an aggregate value of up to $300 million. The renewed program, which allows us to sell shares of our common stock, is the same as the prior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during the nine months ended September 30, 2018 or September 30, 2017 under the ATM equity offering program.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6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Subsequent Event - Equity Units Settlement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29, 2018, we announced the settlement rate for the stock purchase contracts that are components of the Equity Units issued November 23, 2015. The settlement rate was based upon the minimum settlement rate, as adjusted to account for past dividends, because the average of the closing price per share of Black Hills Corporation common stock on the New York Stock Exchange for the 20 consecutive trading days ending on October 29, 2018 exceeded the threshold appreciation price. Each holder of the Equity Units on that date, following payment of $50.00 for each unit which it holds, received 1.0655 shares of Black Hills Corporation common stock for each such unit. The holders' obligations to make such payments were satisfied with proceeds generated by the successful remarketing on August 17, 2018, of the RSNs that formerly constituted a component of the Equity Units.</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settlement of all outstanding stock purchase obligations, the Company received gross proceeds of approximately $299 million in exchange for approximately 6.372 million shares of common stock. Proceeds will be used to pay down the $250 million senior unsecured notes due January 11, 2019, with the balance used to pay down short-term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2018, after the Equity Units settlement, we had shares outstanding of approximately 59.97 million.</w:t>
      </w:r>
    </w:p>
    <w:p>
      <w:pPr>
        <w:spacing w:after="0" w:line="200" w:lineRule="exact"/>
        <w:rPr>
          <w:sz w:val="20"/>
          <w:szCs w:val="20"/>
          <w:color w:val="auto"/>
        </w:rPr>
      </w:pPr>
    </w:p>
    <w:p>
      <w:pPr>
        <w:spacing w:after="0" w:line="24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(11)</w:t>
        <w:tab/>
        <w:t>RISK MANAGEMENT ACTIVITIES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2017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that might occur as a result of an adverse change in market price or rate. We are exposed to the following market risks including, but not limited to:</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 risk associated with our retail natural gas marketing activities and our fuel procurement for certain gas-fired generation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associated with our variable rate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Utilities</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October 2018 through May 2020; a portion of these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inception of the hedge, upon occurrence of a triggering event and as of the end of each quarter.</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7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September 30, 2018</w:t>
            </w:r>
          </w:p>
        </w:tc>
        <w:tc>
          <w:tcPr>
            <w:tcW w:w="2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December 31, 2017</w:t>
            </w: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September 30, 2017</w:t>
            </w:r>
          </w:p>
        </w:tc>
      </w:tr>
      <w:tr>
        <w:trPr>
          <w:trHeight w:val="33"/>
        </w:trPr>
        <w:tc>
          <w:tcPr>
            <w:tcW w:w="3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8"/>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Maximum</w:t>
            </w:r>
          </w:p>
        </w:tc>
      </w:tr>
      <w:tr>
        <w:trPr>
          <w:trHeight w:val="203"/>
        </w:trPr>
        <w:tc>
          <w:tcPr>
            <w:tcW w:w="334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Notional</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Term</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Notional</w:t>
            </w: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Term</w:t>
            </w: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Notional</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Term</w:t>
            </w:r>
          </w:p>
        </w:tc>
      </w:tr>
      <w:tr>
        <w:trPr>
          <w:trHeight w:val="243"/>
        </w:trPr>
        <w:tc>
          <w:tcPr>
            <w:tcW w:w="3340" w:type="dxa"/>
            <w:vAlign w:val="bottom"/>
            <w:tcBorders>
              <w:bottom w:val="single" w:sz="8" w:color="CEFFE7"/>
            </w:tcBorders>
          </w:tcPr>
          <w:p>
            <w:pPr>
              <w:spacing w:after="0"/>
              <w:rPr>
                <w:sz w:val="21"/>
                <w:szCs w:val="21"/>
                <w:color w:val="auto"/>
              </w:rPr>
            </w:pPr>
          </w:p>
        </w:tc>
        <w:tc>
          <w:tcPr>
            <w:tcW w:w="14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(MMBtus)</w:t>
            </w:r>
          </w:p>
        </w:tc>
        <w:tc>
          <w:tcPr>
            <w:tcW w:w="12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3"/>
              </w:rPr>
              <w:t xml:space="preserve">(months) </w:t>
            </w:r>
            <w:r>
              <w:rPr>
                <w:rFonts w:ascii="Times New Roman" w:cs="Times New Roman" w:eastAsia="Times New Roman" w:hAnsi="Times New Roman"/>
                <w:sz w:val="21"/>
                <w:szCs w:val="21"/>
                <w:color w:val="auto"/>
                <w:w w:val="93"/>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(MMBtus)</w:t>
            </w: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5"/>
              </w:rPr>
              <w:t xml:space="preserve">(months) </w:t>
            </w:r>
            <w:r>
              <w:rPr>
                <w:rFonts w:ascii="Times New Roman" w:cs="Times New Roman" w:eastAsia="Times New Roman" w:hAnsi="Times New Roman"/>
                <w:sz w:val="21"/>
                <w:szCs w:val="21"/>
                <w:color w:val="auto"/>
                <w:w w:val="95"/>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(MMBtus)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 xml:space="preserve">(months) </w:t>
            </w:r>
            <w:r>
              <w:rPr>
                <w:rFonts w:ascii="Times New Roman" w:cs="Times New Roman" w:eastAsia="Times New Roman" w:hAnsi="Times New Roman"/>
                <w:sz w:val="21"/>
                <w:szCs w:val="21"/>
                <w:color w:val="auto"/>
                <w:w w:val="95"/>
                <w:vertAlign w:val="superscript"/>
              </w:rPr>
              <w:t>(a)</w:t>
            </w:r>
          </w:p>
        </w:tc>
      </w:tr>
      <w:tr>
        <w:trPr>
          <w:trHeight w:val="244"/>
        </w:trPr>
        <w:tc>
          <w:tcPr>
            <w:tcW w:w="33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5,300,000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Times New Roman" w:cs="Times New Roman" w:eastAsia="Times New Roman" w:hAnsi="Times New Roman"/>
                <w:sz w:val="16"/>
                <w:szCs w:val="16"/>
                <w:color w:val="auto"/>
                <w:w w:val="99"/>
              </w:rPr>
              <w:t>27</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8,330,000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10,250,000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9,670,000</w:t>
            </w: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16</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3,540,000</w:t>
            </w: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14</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7,360,000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33"/>
        </w:trPr>
        <w:tc>
          <w:tcPr>
            <w:tcW w:w="3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5,140,000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Times New Roman" w:cs="Times New Roman" w:eastAsia="Times New Roman" w:hAnsi="Times New Roman"/>
                <w:sz w:val="16"/>
                <w:szCs w:val="16"/>
                <w:color w:val="auto"/>
                <w:w w:val="99"/>
              </w:rPr>
              <w:t>27</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8,060,000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9,170,000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270"/>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Natural gas over-the-counter swaps, net </w:t>
            </w:r>
            <w:r>
              <w:rPr>
                <w:rFonts w:ascii="Times New Roman" w:cs="Times New Roman" w:eastAsia="Times New Roman" w:hAnsi="Times New Roman"/>
                <w:sz w:val="21"/>
                <w:szCs w:val="21"/>
                <w:color w:val="auto"/>
                <w:vertAlign w:val="superscript"/>
              </w:rPr>
              <w:t>(b)</w:t>
            </w: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4,370,000</w:t>
            </w: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20</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3,820,000</w:t>
            </w: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29</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4,600,000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270"/>
        </w:trPr>
        <w:tc>
          <w:tcPr>
            <w:tcW w:w="334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 xml:space="preserve">Natural gas physical contracts, net </w:t>
            </w:r>
            <w:r>
              <w:rPr>
                <w:rFonts w:ascii="Times New Roman" w:cs="Times New Roman" w:eastAsia="Times New Roman" w:hAnsi="Times New Roman"/>
                <w:sz w:val="21"/>
                <w:szCs w:val="21"/>
                <w:color w:val="auto"/>
                <w:vertAlign w:val="superscript"/>
              </w:rPr>
              <w:t>(c)</w:t>
            </w:r>
          </w:p>
        </w:tc>
        <w:tc>
          <w:tcPr>
            <w:tcW w:w="1480" w:type="dxa"/>
            <w:vAlign w:val="bottom"/>
            <w:shd w:val="clear" w:color="auto" w:fill="CEFFE7"/>
          </w:tcPr>
          <w:p>
            <w:pPr>
              <w:jc w:val="right"/>
              <w:ind w:right="159"/>
              <w:spacing w:after="0"/>
              <w:rPr>
                <w:sz w:val="20"/>
                <w:szCs w:val="20"/>
                <w:color w:val="auto"/>
              </w:rPr>
            </w:pPr>
            <w:r>
              <w:rPr>
                <w:rFonts w:ascii="Times New Roman" w:cs="Times New Roman" w:eastAsia="Times New Roman" w:hAnsi="Times New Roman"/>
                <w:sz w:val="16"/>
                <w:szCs w:val="16"/>
                <w:color w:val="auto"/>
              </w:rPr>
              <w:t>19,539,851</w:t>
            </w:r>
          </w:p>
        </w:tc>
        <w:tc>
          <w:tcPr>
            <w:tcW w:w="1280" w:type="dxa"/>
            <w:vAlign w:val="bottom"/>
            <w:shd w:val="clear" w:color="auto" w:fill="CEFFE7"/>
          </w:tcPr>
          <w:p>
            <w:pPr>
              <w:jc w:val="center"/>
              <w:ind w:right="39"/>
              <w:spacing w:after="0"/>
              <w:rPr>
                <w:sz w:val="20"/>
                <w:szCs w:val="20"/>
                <w:color w:val="auto"/>
              </w:rPr>
            </w:pPr>
            <w:r>
              <w:rPr>
                <w:rFonts w:ascii="Times New Roman" w:cs="Times New Roman" w:eastAsia="Times New Roman" w:hAnsi="Times New Roman"/>
                <w:sz w:val="16"/>
                <w:szCs w:val="16"/>
                <w:color w:val="auto"/>
                <w:w w:val="99"/>
              </w:rPr>
              <w:t>33</w:t>
            </w:r>
          </w:p>
        </w:tc>
        <w:tc>
          <w:tcPr>
            <w:tcW w:w="148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12,826,605</w:t>
            </w:r>
          </w:p>
        </w:tc>
        <w:tc>
          <w:tcPr>
            <w:tcW w:w="1260" w:type="dxa"/>
            <w:vAlign w:val="bottom"/>
            <w:shd w:val="clear" w:color="auto" w:fill="CEFFE7"/>
          </w:tcPr>
          <w:p>
            <w:pPr>
              <w:jc w:val="center"/>
              <w:ind w:right="19"/>
              <w:spacing w:after="0"/>
              <w:rPr>
                <w:sz w:val="20"/>
                <w:szCs w:val="20"/>
                <w:color w:val="auto"/>
              </w:rPr>
            </w:pPr>
            <w:r>
              <w:rPr>
                <w:rFonts w:ascii="Times New Roman" w:cs="Times New Roman" w:eastAsia="Times New Roman" w:hAnsi="Times New Roman"/>
                <w:sz w:val="16"/>
                <w:szCs w:val="16"/>
                <w:color w:val="auto"/>
                <w:w w:val="99"/>
              </w:rPr>
              <w:t>35</w:t>
            </w:r>
          </w:p>
        </w:tc>
        <w:tc>
          <w:tcPr>
            <w:tcW w:w="1440" w:type="dxa"/>
            <w:vAlign w:val="bottom"/>
            <w:shd w:val="clear" w:color="auto" w:fill="CEFFE7"/>
          </w:tcPr>
          <w:p>
            <w:pPr>
              <w:jc w:val="right"/>
              <w:ind w:right="139"/>
              <w:spacing w:after="0"/>
              <w:rPr>
                <w:sz w:val="20"/>
                <w:szCs w:val="20"/>
                <w:color w:val="auto"/>
              </w:rPr>
            </w:pPr>
            <w:r>
              <w:rPr>
                <w:rFonts w:ascii="Times New Roman" w:cs="Times New Roman" w:eastAsia="Times New Roman" w:hAnsi="Times New Roman"/>
                <w:sz w:val="16"/>
                <w:szCs w:val="16"/>
                <w:color w:val="auto"/>
              </w:rPr>
              <w:t>21,071,714</w:t>
            </w:r>
          </w:p>
        </w:tc>
        <w:tc>
          <w:tcPr>
            <w:tcW w:w="11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reflects the maximum forward period hedged.</w:t>
      </w:r>
    </w:p>
    <w:p>
      <w:pPr>
        <w:spacing w:after="0" w:line="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2018</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2,236,000 MMBtus were designated as cash flow hedges for the natural gas over-the-counter swaps purchased.</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Volumes exclude contracts that qualify for the normal purchase, normal sales exception.</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Based on September 30, 2018 prices, a $0.1 million gain would be realized, reported in pre-tax earnings and reclassified from AOCI during the next 12 months. As market prices fluctuate, estimated and actual realized gains or losses will change during future periods.</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have certain derivative contracts which contain credit provisions. These credit provisions may require the Company to post collateral when credit exposure to the Company is in excess of a negotiated line of unsecured credit. At September 30, 2018, the Company posted $0.7 million related to such provisions, which is included in Other current assets on the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September 30, 2018, we had no outstanding interest rate swap agreements. Our last interest rate swap agreement with a $50 million notional value, which was designated to borrowings on our Revolving Credit Facility, expired in January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Oil and Gas segment was exposed to risks associated with changes in the market prices of oil and gas. Through December 2017, we used exchange traded futures, swaps and options to hedge portions of our crude oil and natural gas production to mitigate commodity price risk and preserve cash flows. Hedge accounting was elected on the swaps and futures contracts. These transactions were designated upon inception as cash flow hedges, documented under accounting standards for derivatives and hedging and initially met prospective effectiveness testing. As a result of divesting our Oil and Gas assets, these activities were discontinued and there were no outstanding derivative agreements as of September 30, 2018 or December 31, 2017. At September 30, 2017, we had outstanding crude oil futures and swap contracts with notional volumes of 54,000 Bbls, crude oil option contracts with notional volumes of 9,000 Bbls and natural gas futures and swap contracts with notional volumes of 540,000 MMBtus.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impacts of cash flow hedges on our Condensed Consolidated Statements of Income is presented below for the three and nine months ended September 30, 2018 and 2017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47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2018</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9"/>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Amount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Gain/(Loss) Reclassified</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from AOCI</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w:t>
            </w:r>
          </w:p>
        </w:tc>
      </w:tr>
      <w:tr>
        <w:trPr>
          <w:trHeight w:val="203"/>
        </w:trPr>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Derivatives in Cash Flow Hedging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into Income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(Ineffective</w:t>
            </w:r>
          </w:p>
        </w:tc>
      </w:tr>
      <w:tr>
        <w:trPr>
          <w:trHeight w:val="210"/>
        </w:trPr>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Relationships</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w:t>
            </w:r>
          </w:p>
        </w:tc>
        <w:tc>
          <w:tcPr>
            <w:tcW w:w="200" w:type="dxa"/>
            <w:vAlign w:val="bottom"/>
          </w:tcPr>
          <w:p>
            <w:pPr>
              <w:spacing w:after="0"/>
              <w:rPr>
                <w:sz w:val="18"/>
                <w:szCs w:val="18"/>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(Settlements)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240" w:type="dxa"/>
            <w:vAlign w:val="bottom"/>
          </w:tcPr>
          <w:p>
            <w:pPr>
              <w:spacing w:after="0"/>
              <w:rPr>
                <w:sz w:val="18"/>
                <w:szCs w:val="18"/>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5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natural gas sold</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natural gas sold</w:t>
            </w:r>
          </w:p>
        </w:tc>
        <w:tc>
          <w:tcPr>
            <w:tcW w:w="2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20" w:type="dxa"/>
            <w:vAlign w:val="bottom"/>
            <w:tcBorders>
              <w:bottom w:val="single" w:sz="8" w:color="CEFFE7"/>
            </w:tcBorders>
          </w:tcPr>
          <w:p>
            <w:pPr>
              <w:spacing w:after="0"/>
              <w:rPr>
                <w:sz w:val="2"/>
                <w:szCs w:val="2"/>
                <w:color w:val="auto"/>
              </w:rPr>
            </w:pPr>
          </w:p>
        </w:tc>
        <w:tc>
          <w:tcPr>
            <w:tcW w:w="2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5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5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EFFE7"/>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4720" w:type="dxa"/>
            <w:vAlign w:val="bottom"/>
            <w:gridSpan w:val="3"/>
          </w:tcPr>
          <w:p>
            <w:pPr>
              <w:ind w:left="17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9"/>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Amount of</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Gain/(Loss) Reclassified</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from AOCI</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w:t>
            </w:r>
          </w:p>
        </w:tc>
      </w:tr>
      <w:tr>
        <w:trPr>
          <w:trHeight w:val="203"/>
        </w:trPr>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Derivatives in Cash Flow Hedging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into Income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(Ineffective</w:t>
            </w:r>
          </w:p>
        </w:tc>
      </w:tr>
      <w:tr>
        <w:trPr>
          <w:trHeight w:val="210"/>
        </w:trPr>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Relationships</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Income</w:t>
            </w:r>
          </w:p>
        </w:tc>
        <w:tc>
          <w:tcPr>
            <w:tcW w:w="200" w:type="dxa"/>
            <w:vAlign w:val="bottom"/>
          </w:tcPr>
          <w:p>
            <w:pPr>
              <w:spacing w:after="0"/>
              <w:rPr>
                <w:sz w:val="18"/>
                <w:szCs w:val="18"/>
                <w:color w:val="auto"/>
              </w:rPr>
            </w:pPr>
          </w:p>
        </w:tc>
        <w:tc>
          <w:tcPr>
            <w:tcW w:w="19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(Settlements)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240" w:type="dxa"/>
            <w:vAlign w:val="bottom"/>
          </w:tcPr>
          <w:p>
            <w:pPr>
              <w:spacing w:after="0"/>
              <w:rPr>
                <w:sz w:val="18"/>
                <w:szCs w:val="18"/>
                <w:color w:val="auto"/>
              </w:rPr>
            </w:pPr>
          </w:p>
        </w:tc>
        <w:tc>
          <w:tcPr>
            <w:tcW w:w="14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52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from discontinued</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from discontinued</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200" w:type="dxa"/>
            <w:vAlign w:val="bottom"/>
          </w:tcPr>
          <w:p>
            <w:pPr>
              <w:spacing w:after="0"/>
              <w:rPr>
                <w:sz w:val="18"/>
                <w:szCs w:val="18"/>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operations</w:t>
            </w:r>
          </w:p>
        </w:tc>
        <w:tc>
          <w:tcPr>
            <w:tcW w:w="2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2520" w:type="dxa"/>
            <w:vAlign w:val="bottom"/>
            <w:shd w:val="clear" w:color="auto" w:fill="CEFFE7"/>
          </w:tcPr>
          <w:p>
            <w:pPr>
              <w:spacing w:after="0"/>
              <w:rPr>
                <w:sz w:val="18"/>
                <w:szCs w:val="18"/>
                <w:color w:val="auto"/>
              </w:rPr>
            </w:pPr>
          </w:p>
        </w:tc>
        <w:tc>
          <w:tcPr>
            <w:tcW w:w="2540" w:type="dxa"/>
            <w:vAlign w:val="bottom"/>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200" w:type="dxa"/>
            <w:vAlign w:val="bottom"/>
            <w:shd w:val="clear" w:color="auto" w:fill="CEFFE7"/>
          </w:tcPr>
          <w:p>
            <w:pPr>
              <w:spacing w:after="0"/>
              <w:rPr>
                <w:sz w:val="18"/>
                <w:szCs w:val="18"/>
                <w:color w:val="auto"/>
              </w:rPr>
            </w:pPr>
          </w:p>
        </w:tc>
        <w:tc>
          <w:tcPr>
            <w:tcW w:w="1980" w:type="dxa"/>
            <w:vAlign w:val="bottom"/>
            <w:shd w:val="clear" w:color="auto" w:fill="CEFFE7"/>
          </w:tcPr>
          <w:p>
            <w:pPr>
              <w:spacing w:after="0"/>
              <w:rPr>
                <w:sz w:val="18"/>
                <w:szCs w:val="18"/>
                <w:color w:val="auto"/>
              </w:rPr>
            </w:pPr>
          </w:p>
        </w:tc>
        <w:tc>
          <w:tcPr>
            <w:tcW w:w="25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240" w:type="dxa"/>
            <w:vAlign w:val="bottom"/>
            <w:shd w:val="clear" w:color="auto" w:fill="CEFFE7"/>
          </w:tcPr>
          <w:p>
            <w:pPr>
              <w:spacing w:after="0"/>
              <w:rPr>
                <w:sz w:val="18"/>
                <w:szCs w:val="18"/>
                <w:color w:val="auto"/>
              </w:rPr>
            </w:pPr>
          </w:p>
        </w:tc>
        <w:tc>
          <w:tcPr>
            <w:tcW w:w="1440" w:type="dxa"/>
            <w:vAlign w:val="bottom"/>
            <w:shd w:val="clear" w:color="auto" w:fill="CEFFE7"/>
          </w:tcPr>
          <w:p>
            <w:pPr>
              <w:spacing w:after="0"/>
              <w:rPr>
                <w:sz w:val="18"/>
                <w:szCs w:val="18"/>
                <w:color w:val="auto"/>
              </w:rPr>
            </w:pPr>
          </w:p>
        </w:tc>
      </w:tr>
      <w:tr>
        <w:trPr>
          <w:trHeight w:val="243"/>
        </w:trPr>
        <w:tc>
          <w:tcPr>
            <w:tcW w:w="25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natural gas sold</w:t>
            </w:r>
          </w:p>
        </w:tc>
        <w:tc>
          <w:tcPr>
            <w:tcW w:w="20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6"/>
                <w:szCs w:val="16"/>
                <w:color w:val="auto"/>
              </w:rPr>
              <w:t>natural gas sold</w:t>
            </w:r>
          </w:p>
        </w:tc>
        <w:tc>
          <w:tcPr>
            <w:tcW w:w="2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2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4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45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 2018</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9"/>
        </w:trPr>
        <w:tc>
          <w:tcPr>
            <w:tcW w:w="26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240" w:type="dxa"/>
            <w:vAlign w:val="bottom"/>
          </w:tcPr>
          <w:p>
            <w:pPr>
              <w:spacing w:after="0"/>
              <w:rPr>
                <w:sz w:val="21"/>
                <w:szCs w:val="21"/>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Amount of</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Gain/(Loss)</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Gain/(Loss)</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Amount of</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Recognized in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Recognized in</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Gain/(Loss) Reclassified</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 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Income on</w:t>
            </w:r>
          </w:p>
        </w:tc>
      </w:tr>
      <w:tr>
        <w:trPr>
          <w:trHeight w:val="203"/>
        </w:trPr>
        <w:tc>
          <w:tcPr>
            <w:tcW w:w="26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from AOCI</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w:t>
            </w:r>
          </w:p>
        </w:tc>
      </w:tr>
      <w:tr>
        <w:trPr>
          <w:trHeight w:val="203"/>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Derivatives in Cash Flow Hedging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Reclassifications from AOCI into</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into Income</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(Ineffective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(Ineffective</w:t>
            </w:r>
          </w:p>
        </w:tc>
      </w:tr>
      <w:tr>
        <w:trPr>
          <w:trHeight w:val="210"/>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Relationships</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160" w:type="dxa"/>
            <w:vAlign w:val="bottom"/>
          </w:tcPr>
          <w:p>
            <w:pPr>
              <w:spacing w:after="0"/>
              <w:rPr>
                <w:sz w:val="18"/>
                <w:szCs w:val="18"/>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(Settlements)</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240" w:type="dxa"/>
            <w:vAlign w:val="bottom"/>
          </w:tcPr>
          <w:p>
            <w:pPr>
              <w:spacing w:after="0"/>
              <w:rPr>
                <w:sz w:val="18"/>
                <w:szCs w:val="18"/>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Portion)</w:t>
            </w:r>
          </w:p>
        </w:tc>
      </w:tr>
      <w:tr>
        <w:trPr>
          <w:trHeight w:val="33"/>
        </w:trPr>
        <w:tc>
          <w:tcPr>
            <w:tcW w:w="2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EFFE7"/>
            </w:tcBorders>
            <w:shd w:val="clear" w:color="auto" w:fill="CEFFE7"/>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purchased power and cost</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natural gas sold</w:t>
            </w: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natural gas sold</w:t>
            </w:r>
          </w:p>
        </w:tc>
        <w:tc>
          <w:tcPr>
            <w:tcW w:w="24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00" w:type="dxa"/>
            <w:vAlign w:val="bottom"/>
            <w:tcBorders>
              <w:bottom w:val="single" w:sz="8" w:color="CEFFE7"/>
            </w:tcBorders>
          </w:tcPr>
          <w:p>
            <w:pPr>
              <w:spacing w:after="0"/>
              <w:rPr>
                <w:sz w:val="2"/>
                <w:szCs w:val="2"/>
                <w:color w:val="auto"/>
              </w:rPr>
            </w:pPr>
          </w:p>
        </w:tc>
        <w:tc>
          <w:tcPr>
            <w:tcW w:w="2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5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4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EFFE7"/>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4580" w:type="dxa"/>
            <w:vAlign w:val="bottom"/>
            <w:gridSpan w:val="3"/>
          </w:tcPr>
          <w:p>
            <w:pPr>
              <w:ind w:left="1680"/>
              <w:spacing w:after="0"/>
              <w:rPr>
                <w:sz w:val="20"/>
                <w:szCs w:val="20"/>
                <w:color w:val="auto"/>
              </w:rPr>
            </w:pPr>
            <w:r>
              <w:rPr>
                <w:rFonts w:ascii="Times New Roman" w:cs="Times New Roman" w:eastAsia="Times New Roman" w:hAnsi="Times New Roman"/>
                <w:sz w:val="16"/>
                <w:szCs w:val="16"/>
                <w:b w:val="1"/>
                <w:bCs w:val="1"/>
                <w:color w:val="2C2C2C"/>
              </w:rPr>
              <w:t>Nine Months Ended September 30, 2017</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9"/>
        </w:trPr>
        <w:tc>
          <w:tcPr>
            <w:tcW w:w="26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240" w:type="dxa"/>
            <w:vAlign w:val="bottom"/>
          </w:tcPr>
          <w:p>
            <w:pPr>
              <w:spacing w:after="0"/>
              <w:rPr>
                <w:sz w:val="21"/>
                <w:szCs w:val="21"/>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Amount of</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Gain/(Loss)</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Gain/(Loss)</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Amount of</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Recognized in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Recognized in</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Gain/(Loss) Reclassified</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 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Income on</w:t>
            </w:r>
          </w:p>
        </w:tc>
      </w:tr>
      <w:tr>
        <w:trPr>
          <w:trHeight w:val="203"/>
        </w:trPr>
        <w:tc>
          <w:tcPr>
            <w:tcW w:w="26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from AOCI</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w:t>
            </w:r>
          </w:p>
        </w:tc>
      </w:tr>
      <w:tr>
        <w:trPr>
          <w:trHeight w:val="203"/>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Derivatives in Cash Flow Hedging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Reclassifications from AOCI into</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into Income</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(Ineffective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(Ineffective</w:t>
            </w:r>
          </w:p>
        </w:tc>
      </w:tr>
      <w:tr>
        <w:trPr>
          <w:trHeight w:val="210"/>
        </w:trPr>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Relationships</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Income</w:t>
            </w:r>
          </w:p>
        </w:tc>
        <w:tc>
          <w:tcPr>
            <w:tcW w:w="160" w:type="dxa"/>
            <w:vAlign w:val="bottom"/>
          </w:tcPr>
          <w:p>
            <w:pPr>
              <w:spacing w:after="0"/>
              <w:rPr>
                <w:sz w:val="18"/>
                <w:szCs w:val="18"/>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(Settlements)</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240" w:type="dxa"/>
            <w:vAlign w:val="bottom"/>
          </w:tcPr>
          <w:p>
            <w:pPr>
              <w:spacing w:after="0"/>
              <w:rPr>
                <w:sz w:val="18"/>
                <w:szCs w:val="18"/>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Portion)</w:t>
            </w:r>
          </w:p>
        </w:tc>
      </w:tr>
      <w:tr>
        <w:trPr>
          <w:trHeight w:val="33"/>
        </w:trPr>
        <w:tc>
          <w:tcPr>
            <w:tcW w:w="2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EFFE7"/>
            </w:tcBorders>
            <w:shd w:val="clear" w:color="auto" w:fill="CEFFE7"/>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60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from discontinued</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from discontinued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operations</w:t>
            </w:r>
          </w:p>
        </w:tc>
        <w:tc>
          <w:tcPr>
            <w:tcW w:w="1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w:t>
            </w: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24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2600" w:type="dxa"/>
            <w:vAlign w:val="bottom"/>
            <w:shd w:val="clear" w:color="auto" w:fill="CEFFE7"/>
          </w:tcPr>
          <w:p>
            <w:pPr>
              <w:spacing w:after="0"/>
              <w:rPr>
                <w:sz w:val="18"/>
                <w:szCs w:val="18"/>
                <w:color w:val="auto"/>
              </w:rPr>
            </w:pPr>
          </w:p>
        </w:tc>
        <w:tc>
          <w:tcPr>
            <w:tcW w:w="2540" w:type="dxa"/>
            <w:vAlign w:val="bottom"/>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Fuel, purchased power and cost of</w:t>
            </w:r>
          </w:p>
        </w:tc>
        <w:tc>
          <w:tcPr>
            <w:tcW w:w="160" w:type="dxa"/>
            <w:vAlign w:val="bottom"/>
            <w:shd w:val="clear" w:color="auto" w:fill="CEFFE7"/>
          </w:tcPr>
          <w:p>
            <w:pPr>
              <w:spacing w:after="0"/>
              <w:rPr>
                <w:sz w:val="18"/>
                <w:szCs w:val="18"/>
                <w:color w:val="auto"/>
              </w:rPr>
            </w:pPr>
          </w:p>
        </w:tc>
        <w:tc>
          <w:tcPr>
            <w:tcW w:w="1880" w:type="dxa"/>
            <w:vAlign w:val="bottom"/>
            <w:shd w:val="clear" w:color="auto" w:fill="CEFFE7"/>
          </w:tcPr>
          <w:p>
            <w:pPr>
              <w:spacing w:after="0"/>
              <w:rPr>
                <w:sz w:val="18"/>
                <w:szCs w:val="18"/>
                <w:color w:val="auto"/>
              </w:rPr>
            </w:pPr>
          </w:p>
        </w:tc>
        <w:tc>
          <w:tcPr>
            <w:tcW w:w="2480" w:type="dxa"/>
            <w:vAlign w:val="bottom"/>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Fuel, purchased power and cost</w:t>
            </w:r>
          </w:p>
        </w:tc>
        <w:tc>
          <w:tcPr>
            <w:tcW w:w="240" w:type="dxa"/>
            <w:vAlign w:val="bottom"/>
            <w:shd w:val="clear" w:color="auto" w:fill="CEFFE7"/>
          </w:tcPr>
          <w:p>
            <w:pPr>
              <w:spacing w:after="0"/>
              <w:rPr>
                <w:sz w:val="18"/>
                <w:szCs w:val="18"/>
                <w:color w:val="auto"/>
              </w:rPr>
            </w:pPr>
          </w:p>
        </w:tc>
        <w:tc>
          <w:tcPr>
            <w:tcW w:w="1460" w:type="dxa"/>
            <w:vAlign w:val="bottom"/>
            <w:shd w:val="clear" w:color="auto" w:fill="CEFFE7"/>
          </w:tcPr>
          <w:p>
            <w:pPr>
              <w:spacing w:after="0"/>
              <w:rPr>
                <w:sz w:val="18"/>
                <w:szCs w:val="18"/>
                <w:color w:val="auto"/>
              </w:rPr>
            </w:pPr>
          </w:p>
        </w:tc>
      </w:tr>
      <w:tr>
        <w:trPr>
          <w:trHeight w:val="243"/>
        </w:trPr>
        <w:tc>
          <w:tcPr>
            <w:tcW w:w="260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6"/>
                <w:szCs w:val="16"/>
                <w:color w:val="auto"/>
              </w:rPr>
              <w:t>natural gas sold</w:t>
            </w:r>
          </w:p>
        </w:tc>
        <w:tc>
          <w:tcPr>
            <w:tcW w:w="16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of natural gas sold</w:t>
            </w:r>
          </w:p>
        </w:tc>
        <w:tc>
          <w:tcPr>
            <w:tcW w:w="2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2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5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24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gains and losses arising from hedging transactions that were recognized as a component of other comprehensive income (loss) for the three and nine months ended September 30, 2018 and 2017. The amounts included in the tables below exclude gains and losses arising from ineffectiveness because these amounts, if any, are immediately recognized in the Condensed Consolidated Statements of Income as incurred.</w:t>
      </w:r>
    </w:p>
    <w:p>
      <w:pPr>
        <w:spacing w:after="0" w:line="12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Times New Roman" w:cs="Times New Roman" w:eastAsia="Times New Roman" w:hAnsi="Times New Roman"/>
          <w:sz w:val="18"/>
          <w:szCs w:val="18"/>
          <w:color w:val="auto"/>
        </w:rPr>
        <w:t>2018</w:t>
      </w:r>
      <w:r>
        <w:rPr>
          <w:sz w:val="20"/>
          <w:szCs w:val="20"/>
          <w:color w:val="auto"/>
        </w:rPr>
        <w:tab/>
      </w:r>
      <w:r>
        <w:rPr>
          <w:rFonts w:ascii="Times New Roman" w:cs="Times New Roman" w:eastAsia="Times New Roman" w:hAnsi="Times New Roman"/>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(decrease) in fair value:</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762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Forward commodity contracts</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Borders>
              <w:bottom w:val="single" w:sz="8" w:color="CEFFE7"/>
            </w:tcBorders>
            <w:shd w:val="clear" w:color="auto" w:fill="CEFFE7"/>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Recognition of (gains) losses in earnings due to settlements:</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762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commodity contracts</w:t>
            </w:r>
          </w:p>
        </w:tc>
        <w:tc>
          <w:tcPr>
            <w:tcW w:w="12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76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from hedging</w:t>
            </w:r>
          </w:p>
        </w:tc>
        <w:tc>
          <w:tcPr>
            <w:tcW w:w="1200" w:type="dxa"/>
            <w:vAlign w:val="bottom"/>
            <w:tcBorders>
              <w:bottom w:val="single" w:sz="8" w:color="auto"/>
            </w:tcBorders>
            <w:shd w:val="clear" w:color="auto" w:fill="CEFFE7"/>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760</w:t>
            </w:r>
          </w:p>
        </w:tc>
        <w:tc>
          <w:tcPr>
            <w:tcW w:w="1320" w:type="dxa"/>
            <w:vAlign w:val="bottom"/>
            <w:tcBorders>
              <w:bottom w:val="single" w:sz="8" w:color="auto"/>
            </w:tcBorders>
            <w:shd w:val="clear" w:color="auto" w:fill="CEFFE7"/>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Borders>
              <w:bottom w:val="single" w:sz="8" w:color="auto"/>
            </w:tcBorders>
            <w:shd w:val="clear" w:color="auto" w:fill="CEFFE7"/>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18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6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6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Increase (decrease) in fair value:</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Forward commodity contracts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6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Recognition of (gains) losses in earnings due to settlements:</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2,138</w:t>
            </w:r>
          </w:p>
        </w:tc>
        <w:tc>
          <w:tcPr>
            <w:tcW w:w="13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62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Forward commodity contracts</w:t>
            </w: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132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from hedging</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2,721</w:t>
            </w:r>
          </w:p>
        </w:tc>
        <w:tc>
          <w:tcPr>
            <w:tcW w:w="132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6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866"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 Not Designated as Hedge Instruments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impacts of derivative instruments not designated as hedge instruments on our Condensed Consolidated Statements of Income for the three and nine months ended September 30, 2018 and 2017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2018</w:t>
            </w:r>
          </w:p>
        </w:tc>
        <w:tc>
          <w:tcPr>
            <w:tcW w:w="360" w:type="dxa"/>
            <w:vAlign w:val="bottom"/>
          </w:tcPr>
          <w:p>
            <w:pPr>
              <w:spacing w:after="0"/>
              <w:rPr>
                <w:sz w:val="23"/>
                <w:szCs w:val="23"/>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Location of Gain/(Loss)</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Amount of Gain/(Loss)</w:t>
            </w: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on Derivatives</w:t>
            </w:r>
          </w:p>
        </w:tc>
        <w:tc>
          <w:tcPr>
            <w:tcW w:w="2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 Derivatives</w:t>
            </w:r>
          </w:p>
        </w:tc>
      </w:tr>
      <w:tr>
        <w:trPr>
          <w:trHeight w:val="234"/>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Recognized in Income</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Recognized in Income</w:t>
            </w: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tcBorders>
              <w:right w:val="single" w:sz="8" w:color="CEFFE7"/>
            </w:tcBorders>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Net (loss) from</w:t>
            </w:r>
          </w:p>
        </w:tc>
        <w:tc>
          <w:tcPr>
            <w:tcW w:w="240" w:type="dxa"/>
            <w:vAlign w:val="bottom"/>
            <w:shd w:val="clear" w:color="auto" w:fill="CFFFE7"/>
          </w:tcPr>
          <w:p>
            <w:pPr>
              <w:spacing w:after="0"/>
              <w:rPr>
                <w:sz w:val="19"/>
                <w:szCs w:val="19"/>
                <w:color w:val="auto"/>
              </w:rPr>
            </w:pPr>
          </w:p>
        </w:tc>
        <w:tc>
          <w:tcPr>
            <w:tcW w:w="1680" w:type="dxa"/>
            <w:vAlign w:val="bottom"/>
            <w:shd w:val="clear" w:color="auto" w:fill="CFFFE7"/>
          </w:tcPr>
          <w:p>
            <w:pPr>
              <w:spacing w:after="0"/>
              <w:rPr>
                <w:sz w:val="19"/>
                <w:szCs w:val="19"/>
                <w:color w:val="auto"/>
              </w:rPr>
            </w:pPr>
          </w:p>
        </w:tc>
        <w:tc>
          <w:tcPr>
            <w:tcW w:w="360" w:type="dxa"/>
            <w:vAlign w:val="bottom"/>
            <w:shd w:val="clear" w:color="auto" w:fill="CFFFE7"/>
          </w:tcPr>
          <w:p>
            <w:pPr>
              <w:spacing w:after="0"/>
              <w:rPr>
                <w:sz w:val="19"/>
                <w:szCs w:val="19"/>
                <w:color w:val="auto"/>
              </w:rPr>
            </w:pPr>
          </w:p>
        </w:tc>
        <w:tc>
          <w:tcPr>
            <w:tcW w:w="1560" w:type="dxa"/>
            <w:vAlign w:val="bottom"/>
            <w:shd w:val="clear" w:color="auto" w:fill="CFFFE7"/>
          </w:tcPr>
          <w:p>
            <w:pPr>
              <w:spacing w:after="0"/>
              <w:rPr>
                <w:sz w:val="19"/>
                <w:szCs w:val="19"/>
                <w:color w:val="auto"/>
              </w:rPr>
            </w:pPr>
          </w:p>
        </w:tc>
        <w:tc>
          <w:tcPr>
            <w:tcW w:w="20" w:type="dxa"/>
            <w:vAlign w:val="bottom"/>
            <w:shd w:val="clear" w:color="auto" w:fill="CFFFE7"/>
          </w:tcPr>
          <w:p>
            <w:pPr>
              <w:spacing w:after="0"/>
              <w:rPr>
                <w:sz w:val="19"/>
                <w:szCs w:val="19"/>
                <w:color w:val="auto"/>
              </w:rPr>
            </w:pPr>
          </w:p>
        </w:tc>
      </w:tr>
      <w:tr>
        <w:trPr>
          <w:trHeight w:val="241"/>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2300" w:type="dxa"/>
            <w:vAlign w:val="bottom"/>
            <w:tcBorders>
              <w:bottom w:val="single" w:sz="8" w:color="CEFFE7"/>
              <w:right w:val="single" w:sz="8" w:color="CEFFE7"/>
            </w:tcBorders>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FFFE7"/>
            </w:tcBorders>
            <w:shd w:val="clear" w:color="auto" w:fill="CFFFE7"/>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FE7"/>
            </w:tcBorders>
            <w:shd w:val="clear" w:color="auto" w:fill="CF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FE7"/>
            </w:tcBorders>
            <w:shd w:val="clear" w:color="auto" w:fill="CFFFE7"/>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FFFE7"/>
            </w:tcBorders>
            <w:shd w:val="clear" w:color="auto" w:fill="CFFFE7"/>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2018</w:t>
            </w:r>
          </w:p>
        </w:tc>
        <w:tc>
          <w:tcPr>
            <w:tcW w:w="360" w:type="dxa"/>
            <w:vAlign w:val="bottom"/>
          </w:tcPr>
          <w:p>
            <w:pPr>
              <w:spacing w:after="0"/>
              <w:rPr>
                <w:sz w:val="23"/>
                <w:szCs w:val="23"/>
                <w:color w:val="auto"/>
              </w:rPr>
            </w:pPr>
          </w:p>
        </w:tc>
        <w:tc>
          <w:tcPr>
            <w:tcW w:w="1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Location of Gain/(Loss)</w:t>
            </w:r>
          </w:p>
        </w:tc>
        <w:tc>
          <w:tcPr>
            <w:tcW w:w="19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 of Gain/(Loss)</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on Derivatives</w:t>
            </w:r>
          </w:p>
        </w:tc>
        <w:tc>
          <w:tcPr>
            <w:tcW w:w="2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on Derivatives</w:t>
            </w:r>
          </w:p>
        </w:tc>
      </w:tr>
      <w:tr>
        <w:trPr>
          <w:trHeight w:val="234"/>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Recognized in Income</w:t>
            </w:r>
          </w:p>
        </w:tc>
        <w:tc>
          <w:tcPr>
            <w:tcW w:w="19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Recognized in Income</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tcBorders>
              <w:right w:val="single" w:sz="8" w:color="CFFFE7"/>
            </w:tcBorders>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Net (loss) from</w:t>
            </w:r>
          </w:p>
        </w:tc>
        <w:tc>
          <w:tcPr>
            <w:tcW w:w="240" w:type="dxa"/>
            <w:vAlign w:val="bottom"/>
            <w:shd w:val="clear" w:color="auto" w:fill="CFFFE7"/>
          </w:tcPr>
          <w:p>
            <w:pPr>
              <w:spacing w:after="0"/>
              <w:rPr>
                <w:sz w:val="19"/>
                <w:szCs w:val="19"/>
                <w:color w:val="auto"/>
              </w:rPr>
            </w:pPr>
          </w:p>
        </w:tc>
        <w:tc>
          <w:tcPr>
            <w:tcW w:w="1680" w:type="dxa"/>
            <w:vAlign w:val="bottom"/>
            <w:shd w:val="clear" w:color="auto" w:fill="CFFFE7"/>
          </w:tcPr>
          <w:p>
            <w:pPr>
              <w:spacing w:after="0"/>
              <w:rPr>
                <w:sz w:val="19"/>
                <w:szCs w:val="19"/>
                <w:color w:val="auto"/>
              </w:rPr>
            </w:pPr>
          </w:p>
        </w:tc>
        <w:tc>
          <w:tcPr>
            <w:tcW w:w="360" w:type="dxa"/>
            <w:vAlign w:val="bottom"/>
            <w:shd w:val="clear" w:color="auto" w:fill="CFFFE7"/>
          </w:tcPr>
          <w:p>
            <w:pPr>
              <w:spacing w:after="0"/>
              <w:rPr>
                <w:sz w:val="19"/>
                <w:szCs w:val="19"/>
                <w:color w:val="auto"/>
              </w:rPr>
            </w:pPr>
          </w:p>
        </w:tc>
        <w:tc>
          <w:tcPr>
            <w:tcW w:w="1560" w:type="dxa"/>
            <w:vAlign w:val="bottom"/>
            <w:shd w:val="clear" w:color="auto" w:fill="CFFFE7"/>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300" w:type="dxa"/>
            <w:vAlign w:val="bottom"/>
            <w:tcBorders>
              <w:bottom w:val="single" w:sz="8" w:color="CEFFE7"/>
              <w:right w:val="single" w:sz="8" w:color="CFFFE7"/>
            </w:tcBorders>
            <w:shd w:val="clear" w:color="auto" w:fill="CEFFE7"/>
          </w:tcPr>
          <w:p>
            <w:pPr>
              <w:ind w:left="4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CFFFE7"/>
            </w:tcBorders>
            <w:shd w:val="clear" w:color="auto" w:fill="CF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FFFE7"/>
            </w:tcBorders>
            <w:shd w:val="clear" w:color="auto" w:fill="CF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FE7"/>
            </w:tcBorders>
            <w:shd w:val="clear" w:color="auto" w:fill="CF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FE7"/>
            </w:tcBorders>
            <w:shd w:val="clear" w:color="auto" w:fill="CFFFE7"/>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Fuel, purchased power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cost of natural gas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2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sold</w:t>
            </w:r>
          </w:p>
        </w:tc>
        <w:tc>
          <w:tcPr>
            <w:tcW w:w="24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929</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EFFE7"/>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929</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$6.2 million, $12 million and $11 million at September 30, 2018, December 31, 2017 and September 30, 2017,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8" w:right="239" w:bottom="1440" w:gutter="0" w:footer="0" w:header="0"/>
        </w:sectPr>
      </w:pPr>
    </w:p>
    <w:bookmarkStart w:id="29" w:name="page30"/>
    <w:bookmarkEnd w:id="29"/>
    <w:p>
      <w:pPr>
        <w:ind w:right="8380" w:firstLine="8"/>
        <w:spacing w:after="0" w:line="530" w:lineRule="auto"/>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FAIR VALUE MEASUREMENTS </w:t>
      </w:r>
      <w:r>
        <w:rPr>
          <w:rFonts w:ascii="Times New Roman" w:cs="Times New Roman" w:eastAsia="Times New Roman" w:hAnsi="Times New Roman"/>
          <w:sz w:val="17"/>
          <w:szCs w:val="17"/>
          <w:u w:val="single" w:color="auto"/>
          <w:color w:val="auto"/>
        </w:rPr>
        <w:t>Derivative Financial Instruments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2017 Annual Report on Form 10-K filed with the SEC.</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25" w:lineRule="exact"/>
        <w:rPr>
          <w:sz w:val="20"/>
          <w:szCs w:val="20"/>
          <w:color w:val="auto"/>
        </w:rPr>
      </w:pPr>
    </w:p>
    <w:p>
      <w:pPr>
        <w:ind w:right="3180" w:firstLine="332"/>
        <w:spacing w:after="0" w:line="501"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derivative instruments are included in assets and liabilities held for sale discussed in Note 18. Utilities Segments:</w:t>
      </w:r>
    </w:p>
    <w:p>
      <w:pPr>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Activities:</w:t>
      </w:r>
    </w:p>
    <w:p>
      <w:pPr>
        <w:spacing w:after="0" w:line="225" w:lineRule="exact"/>
        <w:rPr>
          <w:sz w:val="20"/>
          <w:szCs w:val="20"/>
          <w:color w:val="auto"/>
        </w:rPr>
      </w:pPr>
    </w:p>
    <w:p>
      <w:pPr>
        <w:ind w:right="400" w:firstLine="332"/>
        <w:spacing w:after="0" w:line="501"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September 30, 2018, we no longer have derivatives within our corporate activities as our last interest rate swaps matured in January 2017. </w:t>
      </w:r>
      <w:r>
        <w:rPr>
          <w:rFonts w:ascii="Times New Roman" w:cs="Times New Roman" w:eastAsia="Times New Roman" w:hAnsi="Times New Roman"/>
          <w:sz w:val="18"/>
          <w:szCs w:val="18"/>
          <w:u w:val="single" w:color="auto"/>
          <w:color w:val="auto"/>
        </w:rPr>
        <w:t>Recurring Fair Value Measurements</w:t>
      </w:r>
    </w:p>
    <w:p>
      <w:pPr>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Oil and gas derivative instruments are included in assets and liabilities held for sale discussed in Note 18. The following tables set forth by level within the fair value hierarchy present gross assets and gross liabilities and related offsetting cash collateral and counterparty netting as permitted by GAAP that were accounted for at fair value on a recurring basis for derivative instruments.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As of September 30, 2018</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2"/>
        </w:trPr>
        <w:tc>
          <w:tcPr>
            <w:tcW w:w="4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Cash Collateral and</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1,413</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6"/>
          </w:tcPr>
          <w:p>
            <w:pPr>
              <w:jc w:val="center"/>
              <w:ind w:right="1110"/>
              <w:spacing w:after="0"/>
              <w:rPr>
                <w:sz w:val="20"/>
                <w:szCs w:val="20"/>
                <w:color w:val="auto"/>
              </w:rPr>
            </w:pPr>
            <w:r>
              <w:rPr>
                <w:rFonts w:ascii="Times New Roman" w:cs="Times New Roman" w:eastAsia="Times New Roman" w:hAnsi="Times New Roman"/>
                <w:sz w:val="18"/>
                <w:szCs w:val="18"/>
                <w:color w:val="auto"/>
              </w:rPr>
              <w:t>As of December 31,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2"/>
        </w:trPr>
        <w:tc>
          <w:tcPr>
            <w:tcW w:w="4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Cash Collateral and</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4"/>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As of September 30, 2017</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2"/>
        </w:trPr>
        <w:tc>
          <w:tcPr>
            <w:tcW w:w="4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Cash Collateral and</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derivatives — Utilities</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2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balance sheet classification of our derivative instruments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4760" w:type="dxa"/>
            <w:vAlign w:val="bottom"/>
            <w:gridSpan w:val="6"/>
          </w:tcPr>
          <w:p>
            <w:pPr>
              <w:ind w:left="1040"/>
              <w:spacing w:after="0"/>
              <w:rPr>
                <w:sz w:val="20"/>
                <w:szCs w:val="20"/>
                <w:color w:val="auto"/>
              </w:rPr>
            </w:pPr>
            <w:r>
              <w:rPr>
                <w:rFonts w:ascii="Times New Roman" w:cs="Times New Roman" w:eastAsia="Times New Roman" w:hAnsi="Times New Roman"/>
                <w:sz w:val="16"/>
                <w:szCs w:val="16"/>
                <w:color w:val="auto"/>
              </w:rPr>
              <w:t>As of September 30, 2018</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7"/>
              </w:rPr>
              <w:t>Fair Value</w:t>
            </w:r>
          </w:p>
        </w:tc>
        <w:tc>
          <w:tcPr>
            <w:tcW w:w="280" w:type="dxa"/>
            <w:vAlign w:val="bottom"/>
          </w:tcPr>
          <w:p>
            <w:pPr>
              <w:spacing w:after="0"/>
              <w:rPr>
                <w:sz w:val="22"/>
                <w:szCs w:val="22"/>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of Liability</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Balance Sheet Location</w:t>
            </w:r>
          </w:p>
        </w:tc>
        <w:tc>
          <w:tcPr>
            <w:tcW w:w="22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Derivatives designated as hedges:</w:t>
            </w:r>
          </w:p>
        </w:tc>
        <w:tc>
          <w:tcPr>
            <w:tcW w:w="10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assets — current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Times New Roman" w:cs="Times New Roman" w:eastAsia="Times New Roman" w:hAnsi="Times New Roman"/>
                <w:sz w:val="16"/>
                <w:szCs w:val="16"/>
                <w:color w:val="auto"/>
              </w:rPr>
              <w:t>Total derivatives designated as hedges</w:t>
            </w:r>
          </w:p>
        </w:tc>
        <w:tc>
          <w:tcPr>
            <w:tcW w:w="104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150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202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5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0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Derivatives not designated as hedges: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derivatives not designated as hedges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As of December 31, 2017</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2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7"/>
              </w:rPr>
              <w:t>Fair Value</w:t>
            </w:r>
          </w:p>
        </w:tc>
        <w:tc>
          <w:tcPr>
            <w:tcW w:w="280" w:type="dxa"/>
            <w:vAlign w:val="bottom"/>
          </w:tcPr>
          <w:p>
            <w:pPr>
              <w:spacing w:after="0"/>
              <w:rPr>
                <w:sz w:val="22"/>
                <w:szCs w:val="22"/>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7"/>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of Liability</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Balance Sheet Location</w:t>
            </w:r>
          </w:p>
        </w:tc>
        <w:tc>
          <w:tcPr>
            <w:tcW w:w="22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Derivatives designated as hedges:</w:t>
            </w:r>
          </w:p>
        </w:tc>
        <w:tc>
          <w:tcPr>
            <w:tcW w:w="10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liabilities — current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Times New Roman" w:cs="Times New Roman" w:eastAsia="Times New Roman" w:hAnsi="Times New Roman"/>
                <w:sz w:val="16"/>
                <w:szCs w:val="16"/>
                <w:color w:val="auto"/>
              </w:rPr>
              <w:t>Total derivatives designated as hedges</w:t>
            </w:r>
          </w:p>
        </w:tc>
        <w:tc>
          <w:tcPr>
            <w:tcW w:w="104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150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202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5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0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Derivatives not designated as hedges: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Times New Roman" w:cs="Times New Roman" w:eastAsia="Times New Roman" w:hAnsi="Times New Roman"/>
                <w:sz w:val="16"/>
                <w:szCs w:val="16"/>
                <w:color w:val="auto"/>
              </w:rPr>
              <w:t>Commodity derivatives</w:t>
            </w:r>
          </w:p>
        </w:tc>
        <w:tc>
          <w:tcPr>
            <w:tcW w:w="104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derivatives not designated as hedges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tbl>
      <w:tblPr>
        <w:tblLayout w:type="fixed"/>
        <w:tblInd w:w="4860" w:type="dxa"/>
        <w:tblCellMar>
          <w:top w:w="0" w:type="dxa"/>
          <w:left w:w="0" w:type="dxa"/>
          <w:bottom w:w="0" w:type="dxa"/>
          <w:right w:w="0" w:type="dxa"/>
        </w:tblCellMar>
      </w:tblPr>
      <w:tr>
        <w:trPr>
          <w:trHeight w:val="184"/>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September 30, 2017</w:t>
            </w:r>
          </w:p>
        </w:tc>
        <w:tc>
          <w:tcPr>
            <w:tcW w:w="17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3"/>
        </w:trPr>
        <w:tc>
          <w:tcPr>
            <w:tcW w:w="1700" w:type="dxa"/>
            <w:vAlign w:val="bottom"/>
            <w:tcBorders>
              <w:top w:val="single" w:sz="8" w:color="auto"/>
            </w:tcBorders>
          </w:tcPr>
          <w:p>
            <w:pPr>
              <w:spacing w:after="0"/>
              <w:rPr>
                <w:sz w:val="22"/>
                <w:szCs w:val="22"/>
                <w:color w:val="auto"/>
              </w:rPr>
            </w:pPr>
          </w:p>
        </w:tc>
        <w:tc>
          <w:tcPr>
            <w:tcW w:w="1640" w:type="dxa"/>
            <w:vAlign w:val="bottom"/>
          </w:tcPr>
          <w:p>
            <w:pPr>
              <w:spacing w:after="0"/>
              <w:rPr>
                <w:sz w:val="22"/>
                <w:szCs w:val="22"/>
                <w:color w:val="auto"/>
              </w:rPr>
            </w:pPr>
          </w:p>
        </w:tc>
        <w:tc>
          <w:tcPr>
            <w:tcW w:w="17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7"/>
              </w:rPr>
              <w:t>Fair Value</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7"/>
              </w:rPr>
              <w:t>Fair Value</w:t>
            </w:r>
          </w:p>
        </w:tc>
      </w:tr>
      <w:tr>
        <w:trPr>
          <w:trHeight w:val="203"/>
        </w:trPr>
        <w:tc>
          <w:tcPr>
            <w:tcW w:w="1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of Asset</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of Liability</w:t>
            </w:r>
          </w:p>
        </w:tc>
      </w:tr>
      <w:tr>
        <w:trPr>
          <w:trHeight w:val="210"/>
        </w:trPr>
        <w:tc>
          <w:tcPr>
            <w:tcW w:w="33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Balance Sheet Location</w:t>
            </w:r>
          </w:p>
        </w:tc>
        <w:tc>
          <w:tcPr>
            <w:tcW w:w="17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Derivatives</w:t>
            </w: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Derivatives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Derivatives designated as hedges:</w:t>
      </w:r>
    </w:p>
    <w:p>
      <w:pPr>
        <w:sectPr>
          <w:pgSz w:w="11900" w:h="16838" w:orient="portrait"/>
          <w:cols w:equalWidth="0" w:num="1">
            <w:col w:w="11420"/>
          </w:cols>
          <w:pgMar w:left="240" w:top="739" w:right="239" w:bottom="1440" w:gutter="0" w:footer="0" w:header="0"/>
        </w:sectPr>
      </w:pPr>
    </w:p>
    <w:p>
      <w:pPr>
        <w:spacing w:after="0" w:line="8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Current assets held for sale</w:t>
      </w:r>
    </w:p>
    <w:p>
      <w:pPr>
        <w:spacing w:after="0" w:line="8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Current liabilities held for sale</w:t>
      </w:r>
    </w:p>
    <w:p>
      <w:pPr>
        <w:spacing w:after="0" w:line="8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Other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Noncurrent liabilities held for sale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derivatives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Derivative assets — 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Other deferred credits and other liabilities</w:t>
      </w:r>
    </w:p>
    <w:p>
      <w:pPr>
        <w:spacing w:after="0" w:line="86" w:lineRule="exact"/>
        <w:rPr>
          <w:sz w:val="20"/>
          <w:szCs w:val="20"/>
          <w:color w:val="auto"/>
        </w:rPr>
      </w:pPr>
    </w:p>
    <w:p>
      <w:pPr>
        <w:ind w:left="380"/>
        <w:spacing w:after="0"/>
        <w:tabs>
          <w:tab w:leader="none" w:pos="5040" w:val="left"/>
        </w:tabs>
        <w:rPr>
          <w:sz w:val="20"/>
          <w:szCs w:val="20"/>
          <w:color w:val="auto"/>
        </w:rPr>
      </w:pPr>
      <w:r>
        <w:rPr>
          <w:rFonts w:ascii="Times New Roman" w:cs="Times New Roman" w:eastAsia="Times New Roman" w:hAnsi="Times New Roman"/>
          <w:sz w:val="16"/>
          <w:szCs w:val="16"/>
          <w:color w:val="auto"/>
        </w:rPr>
        <w:t>Commodity derivatives</w:t>
      </w:r>
      <w:r>
        <w:rPr>
          <w:sz w:val="20"/>
          <w:szCs w:val="20"/>
          <w:color w:val="auto"/>
        </w:rPr>
        <w:tab/>
      </w:r>
      <w:r>
        <w:rPr>
          <w:rFonts w:ascii="Times New Roman" w:cs="Times New Roman" w:eastAsia="Times New Roman" w:hAnsi="Times New Roman"/>
          <w:sz w:val="16"/>
          <w:szCs w:val="16"/>
          <w:color w:val="auto"/>
        </w:rPr>
        <w:t>Noncurrent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1"/>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1,036</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5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1,066</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60" w:space="720"/>
            <w:col w:w="2840"/>
          </w:cols>
          <w:pgMar w:left="240" w:top="739" w:right="239" w:bottom="1440" w:gutter="0" w:footer="0" w:header="0"/>
          <w:type w:val="continuous"/>
        </w:sect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2017 Annual Report on Form 10-K.</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our financial instruments, excluding derivatives which are presented in Note 12, were as follows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September 30, 2018</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December 31, 2017</w:t>
            </w:r>
          </w:p>
        </w:tc>
        <w:tc>
          <w:tcPr>
            <w:tcW w:w="180" w:type="dxa"/>
            <w:vAlign w:val="bottom"/>
          </w:tcPr>
          <w:p>
            <w:pPr>
              <w:spacing w:after="0"/>
              <w:rPr>
                <w:sz w:val="20"/>
                <w:szCs w:val="20"/>
                <w:color w:val="auto"/>
              </w:rPr>
            </w:pPr>
          </w:p>
        </w:tc>
        <w:tc>
          <w:tcPr>
            <w:tcW w:w="20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September 30, 2017</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13,449</w:t>
            </w:r>
          </w:p>
        </w:tc>
      </w:tr>
      <w:tr>
        <w:trPr>
          <w:trHeight w:val="270"/>
        </w:trPr>
        <w:tc>
          <w:tcPr>
            <w:tcW w:w="4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5"/>
                <w:szCs w:val="25"/>
                <w:color w:val="auto"/>
                <w:vertAlign w:val="superscript"/>
              </w:rPr>
              <w:t>(a)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112,100</w:t>
            </w:r>
          </w:p>
        </w:tc>
        <w:tc>
          <w:tcPr>
            <w:tcW w:w="2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112,100</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211,300</w:t>
            </w:r>
          </w:p>
        </w:tc>
        <w:tc>
          <w:tcPr>
            <w:tcW w:w="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211,300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225,170</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225,170</w:t>
            </w:r>
          </w:p>
        </w:tc>
      </w:tr>
      <w:tr>
        <w:trPr>
          <w:trHeight w:val="252"/>
        </w:trPr>
        <w:tc>
          <w:tcPr>
            <w:tcW w:w="400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 xml:space="preserve">Long-term debt, including current maturities </w:t>
            </w:r>
            <w:r>
              <w:rPr>
                <w:rFonts w:ascii="Times New Roman" w:cs="Times New Roman" w:eastAsia="Times New Roman" w:hAnsi="Times New Roman"/>
                <w:sz w:val="25"/>
                <w:szCs w:val="25"/>
                <w:color w:val="auto"/>
                <w:vertAlign w:val="superscript"/>
              </w:rPr>
              <w:t>(c) (d)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3,207,132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3,289,770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3,350,544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3,115,607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3,362,971</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amount of long-term debt is net of deferred financing costs.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39" w:right="239" w:bottom="1440" w:gutter="0" w:footer="0" w:header="0"/>
          <w:type w:val="continuous"/>
        </w:sectPr>
      </w:pPr>
    </w:p>
    <w:bookmarkStart w:id="33" w:name="page34"/>
    <w:bookmarkEnd w:id="33"/>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COMPREHENSIVE INCOME (LOSS)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reclassifications out of AOCI and into net income. The amounts in parentheses below indicate decreases to net income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 for the period, net of tax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 Reclassified from AOCI</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23"/>
                <w:szCs w:val="23"/>
                <w:color w:val="auto"/>
              </w:rPr>
            </w:pPr>
          </w:p>
        </w:tc>
        <w:tc>
          <w:tcPr>
            <w:tcW w:w="20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2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Location on the Condensed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Gains and (losses) on cash flow hedges:</w:t>
            </w: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(713)</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EFFE7"/>
          </w:tcPr>
          <w:p>
            <w:pPr>
              <w:spacing w:after="0"/>
              <w:rPr>
                <w:sz w:val="19"/>
                <w:szCs w:val="19"/>
                <w:color w:val="auto"/>
              </w:rPr>
            </w:pPr>
          </w:p>
        </w:tc>
        <w:tc>
          <w:tcPr>
            <w:tcW w:w="2860" w:type="dxa"/>
            <w:vAlign w:val="bottom"/>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(loss) from discontinued</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5"/>
        </w:trPr>
        <w:tc>
          <w:tcPr>
            <w:tcW w:w="378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cost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sold</w:t>
            </w:r>
          </w:p>
        </w:tc>
        <w:tc>
          <w:tcPr>
            <w:tcW w:w="2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spacing w:after="0"/>
              <w:rPr>
                <w:sz w:val="21"/>
                <w:szCs w:val="21"/>
                <w:color w:val="auto"/>
              </w:rPr>
            </w:pP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(452)</w:t>
            </w: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EFFE7"/>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reclassification adjustments related to cash</w:t>
            </w:r>
          </w:p>
        </w:tc>
        <w:tc>
          <w:tcPr>
            <w:tcW w:w="286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flow hedges, net of tax</w:t>
            </w:r>
          </w:p>
        </w:tc>
        <w:tc>
          <w:tcPr>
            <w:tcW w:w="286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Amortization of components of defined benefit</w:t>
            </w:r>
          </w:p>
        </w:tc>
        <w:tc>
          <w:tcPr>
            <w:tcW w:w="28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286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spacing w:after="0"/>
              <w:rPr>
                <w:sz w:val="20"/>
                <w:szCs w:val="20"/>
                <w:color w:val="auto"/>
              </w:rPr>
            </w:pPr>
          </w:p>
        </w:tc>
        <w:tc>
          <w:tcPr>
            <w:tcW w:w="3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service cost</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80" w:type="dxa"/>
            <w:vAlign w:val="bottom"/>
            <w:shd w:val="clear" w:color="auto" w:fill="CEFFE7"/>
          </w:tcPr>
          <w:p>
            <w:pPr>
              <w:spacing w:after="0"/>
              <w:rPr>
                <w:sz w:val="24"/>
                <w:szCs w:val="24"/>
                <w:color w:val="auto"/>
              </w:rPr>
            </w:pPr>
          </w:p>
        </w:tc>
        <w:tc>
          <w:tcPr>
            <w:tcW w:w="28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spacing w:after="0"/>
              <w:rPr>
                <w:sz w:val="21"/>
                <w:szCs w:val="21"/>
                <w:color w:val="auto"/>
              </w:rPr>
            </w:pP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EFFE7"/>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Total reclassification adjustments related to defined</w:t>
            </w:r>
          </w:p>
        </w:tc>
        <w:tc>
          <w:tcPr>
            <w:tcW w:w="286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78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benefit plans, net of tax</w:t>
            </w:r>
          </w:p>
        </w:tc>
        <w:tc>
          <w:tcPr>
            <w:tcW w:w="286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reclassifications</w:t>
            </w:r>
          </w:p>
        </w:tc>
        <w:tc>
          <w:tcPr>
            <w:tcW w:w="28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Balances by classification included within AOCI, net of tax on the accompanying Condensed Consolidated Balance Sheets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Employee Benefit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Commodity Derivatives</w:t>
            </w: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Plans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December 31, 2017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(41,202)</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1,682</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3,649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 of certain tax effects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Ending Balance September 30, 2018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(37,703)</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9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25"/>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Employee Benefit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Commodity Derivatives</w:t>
            </w: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Plans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(34,883)</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Ending Balance September 30,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(32,566)</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(15)  SUPPLEMENTAL DISCLOSURE OF CASH FLOW INFORMATION</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18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2017</w:t>
            </w:r>
          </w:p>
        </w:tc>
      </w:tr>
      <w:tr>
        <w:trPr>
          <w:trHeight w:val="27"/>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7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 —</w:t>
            </w: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acquired with accrued liabilities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49,631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33,409</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capitalized assets associated with asset retirement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79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refunded during the period —</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(104,035)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(102,008)</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refunded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891"/>
        </w:trPr>
        <w:tc>
          <w:tcPr>
            <w:tcW w:w="79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ind w:right="8580" w:firstLine="8"/>
        <w:spacing w:after="0" w:line="501"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BENEFIT PLANS </w:t>
      </w:r>
      <w:r>
        <w:rPr>
          <w:rFonts w:ascii="Times New Roman" w:cs="Times New Roman" w:eastAsia="Times New Roman" w:hAnsi="Times New Roman"/>
          <w:sz w:val="18"/>
          <w:szCs w:val="18"/>
          <w:u w:val="single" w:color="auto"/>
          <w:color w:val="auto"/>
        </w:rPr>
        <w:t>Defined Benefit Pension Plan</w:t>
      </w: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5,276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3,867</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11,640</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(18,388)</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3,005</w:t>
            </w: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44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1,725</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2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 (benefit)</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loss (gain)</w:t>
            </w:r>
          </w:p>
        </w:tc>
        <w:tc>
          <w:tcPr>
            <w:tcW w:w="1200" w:type="dxa"/>
            <w:vAlign w:val="bottom"/>
            <w:tcBorders>
              <w:bottom w:val="single" w:sz="8" w:color="CEFFE7"/>
            </w:tcBorders>
            <w:shd w:val="clear" w:color="auto" w:fill="CEFFE7"/>
          </w:tcPr>
          <w:p>
            <w:pPr>
              <w:spacing w:after="0"/>
              <w:rPr>
                <w:sz w:val="23"/>
                <w:szCs w:val="23"/>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Supplemental Non-qualified Defined Benefit and Defined Contribution Plans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5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140" w:type="dxa"/>
            <w:vAlign w:val="bottom"/>
            <w:tcBorders>
              <w:bottom w:val="single" w:sz="8" w:color="CEFFE7"/>
            </w:tcBorders>
            <w:shd w:val="clear" w:color="auto" w:fill="CEFFE7"/>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2,048</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(gain)</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40" w:type="dxa"/>
            <w:vAlign w:val="bottom"/>
            <w:tcBorders>
              <w:bottom w:val="single" w:sz="8" w:color="auto"/>
            </w:tcBorders>
            <w:shd w:val="clear" w:color="auto" w:fill="CEFFE7"/>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r>
      <w:tr>
        <w:trPr>
          <w:trHeight w:val="20"/>
        </w:trPr>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2018, service costs were recorded in Operations and maintenance expense while non-service costs were recorded in Other income (expense), net, on the Condensed Consolidated Statements of Income. For the three and nine months ended September 30, 2017, service costs and non-service costs were recorded in Operations and maintenance expense. Because prior years’ costs were not considered material, they were not reclassified on the Condensed Consolidated Statements of Income. See Note 1 for additional information.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Contributions to the Defined Benefit Pension Plan are cash contributions made directly to the Pension Plan Trust account. On July 25, 2018, we made a contribution of approximately $13 million (included in the table below) to the Defined Benefit Pension Plan. Contributions to the Postretirement Healthcare and Supplemental Plans are made in the form of benefit payments. Contributions made in 2018 and anticipated contributions for 2018 and 2019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Additional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Contributions Made</w:t>
            </w:r>
          </w:p>
        </w:tc>
        <w:tc>
          <w:tcPr>
            <w:tcW w:w="24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Contributions Made</w:t>
            </w:r>
          </w:p>
        </w:tc>
        <w:tc>
          <w:tcPr>
            <w:tcW w:w="24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Contributions</w:t>
            </w:r>
          </w:p>
        </w:tc>
      </w:tr>
      <w:tr>
        <w:trPr>
          <w:trHeight w:val="252"/>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1"/>
                <w:szCs w:val="21"/>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Anticipated for 2018</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Anticipated for 2019</w:t>
            </w: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24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2018</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240" w:type="dxa"/>
            <w:vAlign w:val="bottom"/>
            <w:tcBorders>
              <w:bottom w:val="single" w:sz="8" w:color="CEFFE7"/>
            </w:tcBorders>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12,700</w:t>
            </w: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Non-pension Defined Benefit Postretirement Healthcare</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1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Supplemental Non-qualified Defined Benefit and</w:t>
            </w:r>
          </w:p>
        </w:tc>
        <w:tc>
          <w:tcPr>
            <w:tcW w:w="20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r>
      <w:tr>
        <w:trPr>
          <w:trHeight w:val="234"/>
        </w:trPr>
        <w:tc>
          <w:tcPr>
            <w:tcW w:w="41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shd w:val="clear" w:color="auto" w:fill="CEFFE7"/>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r>
      <w:tr>
        <w:trPr>
          <w:trHeight w:val="27"/>
        </w:trPr>
        <w:tc>
          <w:tcPr>
            <w:tcW w:w="412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(17)</w:t>
        <w:tab/>
        <w:t>COMMITMENTS AND CONTINGENCIES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commitments and contingencies from those previously disclosed in Note 19 of our Notes to the Consolidated Financial Statements in our 2017 Annual Report on Form 10-K except for those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Busch Ranch I</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Busch Ranch Wind Farm is a 29 MW wind farm near Pueblo, Colorado, jointly owned by Colorado Electric and AltaGas. Colorado Electric has a 50% ownership interest in the wind farm. On September 20, 2018, Black Hills Electric Generation agreed to purchase AltaGas’s 50% interest in Busch Ranch for $16 million. The purchase, which is subject to FERC approval, is expected to be finalized by the end of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Restrictions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Revolving Credit Facility and other debt obligations contain restrictions on the payment of cash dividends upon a default or event of default. As of September 30, 2018, we were in compliance with the debt covenants.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September 30, 2018, the restricted net assets at our Electric Utilities and Gas Utilities were approximately $257 million.</w:t>
      </w:r>
    </w:p>
    <w:p>
      <w:pPr>
        <w:spacing w:after="0" w:line="3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DISCONTINUED OPERATIONS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Results of operations for discontinued operations have been classified as Loss from discontinued operations, net of income taxes in the accompanying Condensed Consolidated Statements of Income. Current assets, noncurrent assets, current liabilities and non-current liabilities of the discontinued operations have been reclassified and reflected on the accompanying Condensed Consolidated Balance Sheets as “Current assets held for sale,” “Noncurrent assets held for sale,” “Current liabilities held for sale,” and “Noncurrent liabilities held for sale”, respectively. Prior periods relating to our discontinued operations have also been reclassified to reflect consistency within our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Oil and Gas Segment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 2017, the BHC Board of Directors approved a complete divestiture of our Oil and Gas segment. As of September 30, 2018, we have sold nearly all of our oil and gas assets and we closed our oil and gas office in August. Transaction closing for the last few assets and final accounting are expected within the fourth quarter. We expect to transfer any associated liabilities, and settle substantially all remaining liabilities by December 31,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process of divesting our Oil and Gas segment, we performed a fair value assessment of the assets and liabilities classified as held for sale. We evaluated our disposal groups classified as held for sale based on the lower of carrying value or fair value less cost to sell. The market approach was based on our recent sales of assets and pending sale transactions of our other properties.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is risk involved when determining the fair value of assets, as there may be unforeseen events and changes in circumstances and market conditions that have a material impact on the estimated amount and timing of future cash flows. In 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 and how they compared with the additional property sales occurring after December 31, 2017.</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2017, the fair value of our held for sale assets was less than our carrying value, which required an after-tax write down of $13 million. There were no further adjustments made to the fair value of our held for sale assets at September 30, 2018.</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2018, we recorded $2.9 million of expenses comprised of royalty payments and reclamation costs related to final closing on the sale of BHEP assets.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assets and liabilities of the Oil and Gas segment at September 30, 2018 and December 31, 2017 have been classified as Current assets held for sale and Current liabilities held for sale on the accompanying Condensed Consolidated Balance Sheets due to the expected final disposals occurring by the end of 2018. Held for sale assets and liabilities at September 30, 2017 are classified as current and non-current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2018</w:t>
            </w:r>
          </w:p>
        </w:tc>
        <w:tc>
          <w:tcPr>
            <w:tcW w:w="24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2017</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Derivative assets, current and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 noncurrent, net</w:t>
            </w:r>
          </w:p>
        </w:tc>
        <w:tc>
          <w:tcPr>
            <w:tcW w:w="22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16,966</w:t>
            </w:r>
          </w:p>
        </w:tc>
        <w:tc>
          <w:tcPr>
            <w:tcW w:w="220" w:type="dxa"/>
            <w:vAlign w:val="bottom"/>
          </w:tcPr>
          <w:p>
            <w:pPr>
              <w:spacing w:after="0"/>
              <w:rPr>
                <w:sz w:val="21"/>
                <w:szCs w:val="21"/>
                <w:color w:val="auto"/>
              </w:rPr>
            </w:pPr>
          </w:p>
        </w:tc>
        <w:tc>
          <w:tcPr>
            <w:tcW w:w="1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56,916</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96,085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Derivative liabilities, current and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noncurrent, net</w:t>
            </w:r>
          </w:p>
        </w:tc>
        <w:tc>
          <w:tcPr>
            <w:tcW w:w="220" w:type="dxa"/>
            <w:vAlign w:val="bottom"/>
          </w:tcPr>
          <w:p>
            <w:pPr>
              <w:spacing w:after="0"/>
              <w:rPr>
                <w:sz w:val="21"/>
                <w:szCs w:val="21"/>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42,468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86,308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September 30, 2018, December 31, 2017 and September 30, 2017, the Oil and Gas segment’s net deferred tax assets and liabilities were primarily comprised of basis differences on oil and gas properties.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Oil and Gas segment’s other current liabilities at September 30, 2018 consisted primarily of accrued royalties, payroll and property taxes. Current liabilities at December 31, 2017 consisted primarily of a liability contingent on final approval from the Bureau of Indian Affairs on the Jicarilla property sale, accrued royalties, payroll and property taxes. Current liabilities at September 30, 2017 consisted primarily of accrued royalties, payroll and property taxes. Other noncurrent liabilities at December 31, 2017 and September 30, 2017 consisted primarily of asset retirement obligations relating to plugging and abandonment of oil and gas wells.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6" w:right="239" w:bottom="1440" w:gutter="0" w:footer="0" w:header="0"/>
        </w:sectPr>
      </w:pPr>
    </w:p>
    <w:bookmarkStart w:id="38" w:name="page39"/>
    <w:bookmarkEnd w:id="38"/>
    <w:p>
      <w:pPr>
        <w:spacing w:after="0"/>
        <w:tabs>
          <w:tab w:leader="none" w:pos="4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differs from the federal statutory rate as follows: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 statutory 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State income tax (net of federal tax effect) </w:t>
      </w:r>
      <w:r>
        <w:rPr>
          <w:rFonts w:ascii="Times New Roman" w:cs="Times New Roman" w:eastAsia="Times New Roman" w:hAnsi="Times New Roman"/>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Percentage depletion in excess of cost</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Accounting for uncertain tax positions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5"/>
          <w:szCs w:val="25"/>
          <w:color w:val="auto"/>
          <w:vertAlign w:val="superscript"/>
        </w:rPr>
        <w:t>(b)</w:t>
      </w:r>
    </w:p>
    <w:p>
      <w:pPr>
        <w:ind w:left="180"/>
        <w:spacing w:after="0" w:line="225" w:lineRule="auto"/>
        <w:rPr>
          <w:sz w:val="20"/>
          <w:szCs w:val="20"/>
          <w:color w:val="auto"/>
        </w:rPr>
      </w:pPr>
      <w:r>
        <w:rPr>
          <w:rFonts w:ascii="Times New Roman" w:cs="Times New Roman" w:eastAsia="Times New Roman" w:hAnsi="Times New Roman"/>
          <w:sz w:val="18"/>
          <w:szCs w:val="18"/>
          <w:color w:val="auto"/>
        </w:rPr>
        <w:t xml:space="preserve">Tax credits </w:t>
      </w:r>
      <w:r>
        <w:rPr>
          <w:rFonts w:ascii="Times New Roman" w:cs="Times New Roman" w:eastAsia="Times New Roman" w:hAnsi="Times New Roman"/>
          <w:sz w:val="25"/>
          <w:szCs w:val="25"/>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line="230" w:lineRule="auto"/>
        <w:rPr>
          <w:sz w:val="20"/>
          <w:szCs w:val="20"/>
          <w:color w:val="auto"/>
        </w:rPr>
      </w:pPr>
      <w:r>
        <w:rPr>
          <w:rFonts w:ascii="Times New Roman" w:cs="Times New Roman" w:eastAsia="Times New Roman" w:hAnsi="Times New Roman"/>
          <w:sz w:val="18"/>
          <w:szCs w:val="18"/>
          <w:color w:val="auto"/>
        </w:rPr>
        <w:t xml:space="preserve">Effective tax rate adjustment </w:t>
      </w:r>
      <w:r>
        <w:rPr>
          <w:rFonts w:ascii="Times New Roman" w:cs="Times New Roman" w:eastAsia="Times New Roman" w:hAnsi="Times New Roman"/>
          <w:sz w:val="25"/>
          <w:szCs w:val="25"/>
          <w:color w:val="auto"/>
          <w:vertAlign w:val="superscript"/>
        </w:rPr>
        <w:t>(d)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Flow-through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TCJA change in estimate </w:t>
      </w:r>
      <w:r>
        <w:rPr>
          <w:rFonts w:ascii="Times New Roman" w:cs="Times New Roman" w:eastAsia="Times New Roman" w:hAnsi="Times New Roman"/>
          <w:sz w:val="25"/>
          <w:szCs w:val="25"/>
          <w:color w:val="auto"/>
          <w:vertAlign w:val="superscript"/>
        </w:rPr>
        <w:t>(e)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AFUDC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tax differences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Three Months Ended September 30,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2018</w:t>
            </w: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(0.5)</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17.6</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25.5 %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7"/>
        </w:trPr>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100" w:space="720"/>
            <w:col w:w="3600"/>
          </w:cols>
          <w:pgMar w:left="240" w:top="580" w:right="239" w:bottom="1440" w:gutter="0" w:footer="0" w:header="0"/>
        </w:sect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the deferred state rate and reduced state tax expense for the quarter.</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 reflects the noncontrolling interest attributable to the sale in April 2016 of 49.9% of the membership interests of COIPP LLC.</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credits are due to the production tax credits for the Peak View wind farm.</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reflect our projected annual effective tax rate, pursuant to ASC 740-270.</w:t>
      </w:r>
    </w:p>
    <w:p>
      <w:pPr>
        <w:spacing w:after="0" w:line="5" w:lineRule="exact"/>
        <w:rPr>
          <w:rFonts w:ascii="Times New Roman" w:cs="Times New Roman" w:eastAsia="Times New Roman" w:hAnsi="Times New Roman"/>
          <w:sz w:val="16"/>
          <w:szCs w:val="16"/>
          <w:color w:val="auto"/>
        </w:rPr>
      </w:pPr>
    </w:p>
    <w:p>
      <w:pPr>
        <w:jc w:val="both"/>
        <w:ind w:left="340" w:right="100" w:hanging="332"/>
        <w:spacing w:after="0" w:line="252"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TCJA was signed into law on December 22, 2017. In accordance with ASC 740, net deferred tax assets and liabilities were revalued as of December 31, 2017 due to the reduction in the federal income tax rate from 35% to 21%. During the three months ended September 30, 2018, we recorded an additional $5.3 million of tax expense associated with changes in the prior estimated impacts of tax reform on deferred income taxes.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5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1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2018</w:t>
            </w: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EFFE7"/>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Federal statutory rate</w:t>
            </w:r>
          </w:p>
        </w:tc>
        <w:tc>
          <w:tcPr>
            <w:tcW w:w="2120" w:type="dxa"/>
            <w:vAlign w:val="bottom"/>
            <w:tcBorders>
              <w:bottom w:val="single" w:sz="8" w:color="CEFFE7"/>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income tax (net of federal tax effect)</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Percentage depletion in excess of cost</w:t>
            </w:r>
          </w:p>
        </w:tc>
        <w:tc>
          <w:tcPr>
            <w:tcW w:w="2120" w:type="dxa"/>
            <w:vAlign w:val="bottom"/>
            <w:tcBorders>
              <w:bottom w:val="single" w:sz="8" w:color="CEFFE7"/>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for uncertain tax positions adjustment</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120" w:type="dxa"/>
            <w:vAlign w:val="bottom"/>
            <w:tcBorders>
              <w:bottom w:val="single" w:sz="8" w:color="CEFFE7"/>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IRC 172(f) carryback claim </w:t>
            </w:r>
            <w:r>
              <w:rPr>
                <w:rFonts w:ascii="Times New Roman" w:cs="Times New Roman" w:eastAsia="Times New Roman" w:hAnsi="Times New Roman"/>
                <w:sz w:val="25"/>
                <w:szCs w:val="25"/>
                <w:color w:val="auto"/>
                <w:vertAlign w:val="superscript"/>
              </w:rPr>
              <w:t>(a)</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Tax credits </w:t>
            </w:r>
            <w:r>
              <w:rPr>
                <w:rFonts w:ascii="Times New Roman" w:cs="Times New Roman" w:eastAsia="Times New Roman" w:hAnsi="Times New Roman"/>
                <w:sz w:val="25"/>
                <w:szCs w:val="25"/>
                <w:color w:val="auto"/>
                <w:vertAlign w:val="superscript"/>
              </w:rPr>
              <w:t>(b)</w:t>
            </w:r>
          </w:p>
        </w:tc>
        <w:tc>
          <w:tcPr>
            <w:tcW w:w="2120" w:type="dxa"/>
            <w:vAlign w:val="bottom"/>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tax rate adjustment</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Flow-through adjustments</w:t>
            </w:r>
          </w:p>
        </w:tc>
        <w:tc>
          <w:tcPr>
            <w:tcW w:w="2120" w:type="dxa"/>
            <w:vAlign w:val="bottom"/>
            <w:tcBorders>
              <w:bottom w:val="single" w:sz="8" w:color="CEFFE7"/>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rPr>
              <w:t>(0.8)</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TCJA change in estimate </w:t>
            </w:r>
            <w:r>
              <w:rPr>
                <w:rFonts w:ascii="Times New Roman" w:cs="Times New Roman" w:eastAsia="Times New Roman" w:hAnsi="Times New Roman"/>
                <w:sz w:val="25"/>
                <w:szCs w:val="25"/>
                <w:color w:val="auto"/>
                <w:vertAlign w:val="superscript"/>
              </w:rPr>
              <w:t>(c)</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AFUDC equity</w:t>
            </w:r>
          </w:p>
        </w:tc>
        <w:tc>
          <w:tcPr>
            <w:tcW w:w="2120" w:type="dxa"/>
            <w:vAlign w:val="bottom"/>
            <w:tcBorders>
              <w:bottom w:val="single" w:sz="8" w:color="CEFFE7"/>
            </w:tcBorders>
            <w:shd w:val="clear" w:color="auto" w:fill="CEFFE7"/>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1460" w:type="dxa"/>
            <w:vAlign w:val="bottom"/>
            <w:tcBorders>
              <w:bottom w:val="single" w:sz="8" w:color="CEFFE7"/>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Jurisdictional simplification project </w:t>
            </w:r>
            <w:r>
              <w:rPr>
                <w:rFonts w:ascii="Times New Roman" w:cs="Times New Roman" w:eastAsia="Times New Roman" w:hAnsi="Times New Roman"/>
                <w:sz w:val="25"/>
                <w:szCs w:val="25"/>
                <w:color w:val="auto"/>
                <w:vertAlign w:val="superscript"/>
              </w:rPr>
              <w:t>(d)</w:t>
            </w:r>
          </w:p>
        </w:tc>
        <w:tc>
          <w:tcPr>
            <w:tcW w:w="2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Times New Roman" w:cs="Times New Roman" w:eastAsia="Times New Roman" w:hAnsi="Times New Roman"/>
                <w:sz w:val="18"/>
                <w:szCs w:val="18"/>
                <w:color w:val="auto"/>
              </w:rPr>
              <w:t>Other tax differences</w:t>
            </w:r>
          </w:p>
        </w:tc>
        <w:tc>
          <w:tcPr>
            <w:tcW w:w="2120" w:type="dxa"/>
            <w:vAlign w:val="bottom"/>
            <w:tcBorders>
              <w:bottom w:val="single" w:sz="8" w:color="CEFFE7"/>
            </w:tcBorders>
            <w:shd w:val="clear" w:color="auto" w:fill="CEFFE7"/>
          </w:tcPr>
          <w:p>
            <w:pPr>
              <w:jc w:val="right"/>
              <w:ind w:right="490"/>
              <w:spacing w:after="0"/>
              <w:rPr>
                <w:sz w:val="20"/>
                <w:szCs w:val="20"/>
                <w:color w:val="auto"/>
              </w:rPr>
            </w:pPr>
            <w:r>
              <w:rPr>
                <w:rFonts w:ascii="Times New Roman" w:cs="Times New Roman" w:eastAsia="Times New Roman" w:hAnsi="Times New Roman"/>
                <w:sz w:val="18"/>
                <w:szCs w:val="18"/>
                <w:color w:val="auto"/>
              </w:rPr>
              <w:t>0.7</w:t>
            </w:r>
          </w:p>
        </w:tc>
        <w:tc>
          <w:tcPr>
            <w:tcW w:w="1460" w:type="dxa"/>
            <w:vAlign w:val="bottom"/>
            <w:tcBorders>
              <w:bottom w:val="single" w:sz="8" w:color="CEFFE7"/>
            </w:tcBorders>
            <w:shd w:val="clear" w:color="auto" w:fill="CEFFE7"/>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7"/>
        </w:trPr>
        <w:tc>
          <w:tcPr>
            <w:tcW w:w="7820" w:type="dxa"/>
            <w:vAlign w:val="bottom"/>
            <w:gridSpan w:val="2"/>
            <w:vMerge w:val="restart"/>
          </w:tcPr>
          <w:p>
            <w:pPr>
              <w:jc w:val="right"/>
              <w:ind w:right="6830"/>
              <w:spacing w:after="0"/>
              <w:rPr>
                <w:sz w:val="20"/>
                <w:szCs w:val="20"/>
                <w:color w:val="auto"/>
              </w:rPr>
            </w:pPr>
            <w:r>
              <w:rPr>
                <w:rFonts w:ascii="Times New Roman" w:cs="Times New Roman" w:eastAsia="Times New Roman" w:hAnsi="Times New Roman"/>
                <w:sz w:val="18"/>
                <w:szCs w:val="18"/>
                <w:color w:val="auto"/>
                <w:w w:val="97"/>
              </w:rPr>
              <w:t>__________</w:t>
            </w: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continue"/>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first quarter of 2017, the Company filed amended income tax returns for the years 2006 through 2008 to carryback specified liability losses in accordance with IRC172(f).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credits are due to the production tax credits for the Peak View wind farm.</w:t>
      </w:r>
    </w:p>
    <w:p>
      <w:pPr>
        <w:spacing w:after="0" w:line="5" w:lineRule="exact"/>
        <w:rPr>
          <w:rFonts w:ascii="Times New Roman" w:cs="Times New Roman" w:eastAsia="Times New Roman" w:hAnsi="Times New Roman"/>
          <w:sz w:val="16"/>
          <w:szCs w:val="16"/>
          <w:color w:val="auto"/>
        </w:rPr>
      </w:pPr>
    </w:p>
    <w:p>
      <w:pPr>
        <w:jc w:val="both"/>
        <w:ind w:left="340" w:right="100" w:hanging="332"/>
        <w:spacing w:after="0" w:line="24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TCJA was signed into law on December 22, 2017. In accordance with ASC 740, net deferred tax assets and liabilities were revalued as of December 31, 2017 due to the reduction in the federal income tax rate from 35% to 21%. During the nine months ended September 30, 2018, we recorded an additional $7.5 million of tax expense associated with changes in the prior estimated impacts of tax reform on deferred income taxes.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benefit from legal restructuring associated with amortizable goodwill as part of jurisdictional simplification.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 related to legal restructuring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part of the Company’s ongoing efforts to continue to integrate the legal entities that the Company has acquired in recent years, certain legal entity restructuring transactions occurred on March 31, 2018. As a result of these transactions, $49 million of deferred income tax assets, related to goodwill that is amortizable for tax purposes, were recorded and deferred tax benefits of $49 million were recorded to income tax benefit (expense) on the Condensed Consolidated Statements of Income. Due to this being a common control transaction, it had no effect on the other assets and liabilities of these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TCJA - Deferred Taxes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TCJA. The TCJA reduced the U.S. federal corporate tax rate from 35% to 21%. The Company remeasured deferred income taxes at the 21% federal tax rate as of December 31, 2017, which reflected our provisional estimate of the impact of the TCJA, under SEC Staff Accounting Bulletin No. 118. The entities subject to regulatory construct have made their best estimate regarding the probability of settlements of net regulatory liabilities established pursuant to the TCJA. The amount of the settlements may change based on decisions and actions by the state regulatory commissions. In addition to current year utility revenue reserves as disclosed in Note 5, we recorded additional changes in estimates of the provisional amounts recorded at December 31, 2017, primarily related to bonus depreciation and other plant and property items, after filing our 2017 tax returns which increased tax expense by $5.3 million for the three months, and decreased tax benefit by $7.5 million for the nine months ended September 30, 2018. We will continue to evaluate subsequent regulations, clarifications and interpretations of the assumptions made, which could change our estimates related to the TCJA, which we expect to finalize in the fourth quarter.</w:t>
      </w:r>
    </w:p>
    <w:p>
      <w:pPr>
        <w:spacing w:after="0" w:line="200" w:lineRule="exact"/>
        <w:rPr>
          <w:sz w:val="20"/>
          <w:szCs w:val="20"/>
          <w:color w:val="auto"/>
        </w:rPr>
      </w:pPr>
    </w:p>
    <w:p>
      <w:pPr>
        <w:spacing w:after="0" w:line="20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(20)</w:t>
        <w:tab/>
        <w:t>ACCRUED LIABILITIES</w:t>
      </w:r>
    </w:p>
    <w:p>
      <w:pPr>
        <w:spacing w:after="0" w:line="2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amounts by major classification are included in Accrued liabilities in the accompanying Condensed Consolidated Balance Sheets (in thousands) as of:</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2018</w:t>
            </w:r>
          </w:p>
        </w:tc>
        <w:tc>
          <w:tcPr>
            <w:tcW w:w="22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2017</w:t>
            </w:r>
          </w:p>
        </w:tc>
        <w:tc>
          <w:tcPr>
            <w:tcW w:w="22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2017</w:t>
            </w:r>
          </w:p>
        </w:tc>
      </w:tr>
      <w:tr>
        <w:trPr>
          <w:trHeight w:val="27"/>
        </w:trPr>
        <w:tc>
          <w:tcPr>
            <w:tcW w:w="5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benefits and withholdings</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52,467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52,841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37,660</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42,029</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36,993</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Customer deposits and prepayments</w:t>
            </w:r>
          </w:p>
        </w:tc>
        <w:tc>
          <w:tcPr>
            <w:tcW w:w="16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2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41,012</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and contract adjustment payments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33,822</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30,977</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CIAC current portion</w:t>
            </w:r>
          </w:p>
        </w:tc>
        <w:tc>
          <w:tcPr>
            <w:tcW w:w="16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1,575</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(none of which is individually significant)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43,381</w:t>
            </w:r>
          </w:p>
        </w:tc>
      </w:tr>
      <w:tr>
        <w:trPr>
          <w:trHeight w:val="27"/>
        </w:trPr>
        <w:tc>
          <w:tcPr>
            <w:tcW w:w="5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EFFE7"/>
            </w:tcBorders>
            <w:shd w:val="clear" w:color="auto" w:fill="CEFFE7"/>
          </w:tcPr>
          <w:p>
            <w:pPr>
              <w:ind w:left="2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201,353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219,462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206,779</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(21)</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subsequent events, other than those disclosed in Note 5 and Note 10.</w:t>
      </w:r>
    </w:p>
    <w:p>
      <w:pPr>
        <w:sectPr>
          <w:pgSz w:w="11900" w:h="16838" w:orient="portrait"/>
          <w:cols w:equalWidth="0" w:num="1">
            <w:col w:w="11400"/>
          </w:cols>
          <w:pgMar w:left="240" w:top="864" w:right="259" w:bottom="7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864" w:right="259" w:bottom="77" w:gutter="0" w:footer="0" w:header="0"/>
          <w:type w:val="continuous"/>
        </w:sectPr>
      </w:pPr>
    </w:p>
    <w:bookmarkStart w:id="40" w:name="page41"/>
    <w:bookmarkEnd w:id="4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 customer-focused, growth-oriented utility company operating in the United States. We report our operations and results in the following financial segments: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Electric Utilities</w:t>
      </w:r>
      <w:r>
        <w:rPr>
          <w:rFonts w:ascii="Times New Roman" w:cs="Times New Roman" w:eastAsia="Times New Roman" w:hAnsi="Times New Roman"/>
          <w:sz w:val="18"/>
          <w:szCs w:val="18"/>
          <w:color w:val="auto"/>
        </w:rPr>
        <w:t>: Our Electric Utilities segment generates, transmits and distributes electricity to approximately 210,000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Gas Utilities</w:t>
      </w:r>
      <w:r>
        <w:rPr>
          <w:rFonts w:ascii="Times New Roman" w:cs="Times New Roman" w:eastAsia="Times New Roman" w:hAnsi="Times New Roman"/>
          <w:sz w:val="18"/>
          <w:szCs w:val="18"/>
          <w:color w:val="auto"/>
        </w:rPr>
        <w:t>: Our Gas Utilities conduct natural gas utility operations through our Arkansas, Colorado, Iowa, Kansas, Nebraska and Wyoming subsidiaries. Our Gas Utilities distribute and transport natural gas through our pipeline network to approximately 1,042,000 natural gas customers. Additionally, we sell contractual pipeline capacity and gas commodities to other utilities and marketing companies, including our affiliates, on an as available basis.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Gas Utilities also provide non-regulated services through Black Hills Energy Services. Black Hills Energy Services provides approximately 52,000 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63,000 and 31,000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Power Generation</w:t>
      </w:r>
      <w:r>
        <w:rPr>
          <w:rFonts w:ascii="Times New Roman" w:cs="Times New Roman" w:eastAsia="Times New Roman" w:hAnsi="Times New Roman"/>
          <w:sz w:val="18"/>
          <w:szCs w:val="18"/>
          <w:color w:val="auto"/>
        </w:rPr>
        <w:t>: Our Power Generation segment produces electric power from its generating plants and sells the electric capacity and energy principally to our utilities under long-term contracts.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Our Mining segment produces coal at our coal mine near Gillette, Wyoming and sells the coal primarily to on-site, mine-mouth power generation facilities.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2018 and 2017, and our financial condition as of September 30, 2018, December 31, 2017 and September 30, 2017, are not necessarily indicative of the results of operations and financial condition to be expected as of or for any other period or for the entire year.</w:t>
      </w:r>
    </w:p>
    <w:p>
      <w:pPr>
        <w:spacing w:after="0" w:line="351" w:lineRule="exact"/>
        <w:rPr>
          <w:sz w:val="20"/>
          <w:szCs w:val="20"/>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Forward-Looking Information in the Liquidity and Capital Resources section of this Item 2, beginning on Page </w:t>
      </w:r>
      <w:hyperlink w:anchor="page67">
        <w:r>
          <w:rPr>
            <w:rFonts w:ascii="Times New Roman" w:cs="Times New Roman" w:eastAsia="Times New Roman" w:hAnsi="Times New Roman"/>
            <w:sz w:val="18"/>
            <w:szCs w:val="18"/>
            <w:color w:val="0000EE"/>
          </w:rPr>
          <w:t>66</w:t>
        </w:r>
      </w:hyperlink>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576" w:right="2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Significant Events and Overview</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Three Months Ended September 30, 2018 Compared to Three Months Ended September 30, 2017. </w:t>
      </w:r>
      <w:r>
        <w:rPr>
          <w:rFonts w:ascii="Times New Roman" w:cs="Times New Roman" w:eastAsia="Times New Roman" w:hAnsi="Times New Roman"/>
          <w:sz w:val="18"/>
          <w:szCs w:val="18"/>
          <w:color w:val="auto"/>
        </w:rPr>
        <w:t>Net income from continuing operations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for the three months ended September 30, 2018 was $18 million, or $0.32 per diluted share, compared to $29 million, or $0.52 per diluted share, reported for the same period in 2017. The variance to the prior year included the following:</w:t>
      </w:r>
    </w:p>
    <w:p>
      <w:pPr>
        <w:spacing w:after="0" w:line="175" w:lineRule="exact"/>
        <w:rPr>
          <w:sz w:val="20"/>
          <w:szCs w:val="20"/>
          <w:color w:val="auto"/>
        </w:rPr>
      </w:pPr>
    </w:p>
    <w:p>
      <w:pPr>
        <w:jc w:val="both"/>
        <w:ind w:left="660" w:right="34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Utilities’ earnings decreased $5.7 million primarily due a settlement agreement with the WPSC which decreased gross margins by $3.4 million, unfavorable summer weather compared to prior year, higher operating expenses driven by outside services and employee costs and $2.8 million of tax expense associated with changes in the prior estimated impact of tax reform on deferred income taxes;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Utilities’ earnings decreased $8.9 million primarily due to unfavorable weather compared to prior year, higher operating expenses driven by employee costs and outside services and $2.6 million of tax expense associated with changes in the prior estimated impact of tax reform on deferred income taxes;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Generation’s earnings increased $0.5 million primarily due to the reduction in the federal tax rate from 35% to 21% from the TCJA; and</w:t>
      </w:r>
    </w:p>
    <w:p>
      <w:pPr>
        <w:spacing w:after="0" w:line="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expenses decreased $2.9 million due to lower interest expense and higher prior year operating costs previously allocated to our Oil and Gas segment which were not reclassified to discontinued operations, largely allocated to operating segments in 2018.</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income available for common stock for the three months ended September 30, 2018 was $17 million, or $0.31 per diluted share, compared to $28 million, or $0.50 per diluted share reported for the same period in 2017. (Loss) from discontinued operations for the three months ended September 30, 2018 was $(0.9) million, or $(0.02) per diluted share compared to $(1.3) million or $(0.02) per diluted share reported for the same period in 2017.</w:t>
      </w:r>
    </w:p>
    <w:p>
      <w:pPr>
        <w:spacing w:after="0" w:line="17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30, 2018 Compared to Nine Months Ended September 30, 2017. </w:t>
      </w:r>
      <w:r>
        <w:rPr>
          <w:rFonts w:ascii="Times New Roman" w:cs="Times New Roman" w:eastAsia="Times New Roman" w:hAnsi="Times New Roman"/>
          <w:sz w:val="18"/>
          <w:szCs w:val="18"/>
          <w:color w:val="auto"/>
        </w:rPr>
        <w:t>Net income from continuing operations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for the nine months ended September 30, 2018 was $177 million, or $3.26 per diluted share, compared to $130 million, or $2.35 per diluted share, reported for the same period in 2017. The variance to the prior year included the following:</w:t>
      </w:r>
    </w:p>
    <w:p>
      <w:pPr>
        <w:spacing w:after="0" w:line="175" w:lineRule="exact"/>
        <w:rPr>
          <w:sz w:val="20"/>
          <w:szCs w:val="20"/>
          <w:color w:val="auto"/>
        </w:rPr>
      </w:pPr>
    </w:p>
    <w:p>
      <w:pPr>
        <w:ind w:left="660" w:right="42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 Utilities’ earnings increased $52 million primarily due to the recognition of a deferred tax benefit of $49 million resulting from legal entity restructuring associated with amortizable goodwill for tax purposes; earnings also benefited from colder winter weather and increased sales of natural gas, partially offset by an increase in operating expenses;</w:t>
      </w:r>
    </w:p>
    <w:p>
      <w:pPr>
        <w:spacing w:after="0" w:line="1" w:lineRule="exact"/>
        <w:rPr>
          <w:rFonts w:ascii="Times New Roman" w:cs="Times New Roman" w:eastAsia="Times New Roman" w:hAnsi="Times New Roman"/>
          <w:sz w:val="18"/>
          <w:szCs w:val="18"/>
          <w:color w:val="auto"/>
        </w:rPr>
      </w:pPr>
    </w:p>
    <w:p>
      <w:pPr>
        <w:jc w:val="both"/>
        <w:ind w:left="660" w:right="2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Utilities’ earnings decreased $5.1 million due primarily to a settlement agreement with the WPSC which decreased gross margins by $3.7 million; other variances to the prior year were due to higher operating expenses driven by outside services and employee costs and $3.2 million of tax expense associated with changes in the prior estimated impact of tax reform on deferred income taxes, partially offset by higher rider revenues from recent transmission investments, higher power marketing and wholesale margins, and favorable weather;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Generation’s earnings decreased $0.7 million primarily due to higher operating expenses;</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earnings increased $0.5 million primarily due to higher coal sales from increased price per ton sold, partially offset by higher operating expenses and tax expense.</w:t>
      </w: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expenses decreased $1.1 million primarily due to higher tax benefits recognized in the prior year and higher prior year operating costs previously allocated to our Oil and Gas segment which were not reclassified to discontinued operations, largely allocated to operating segments in 2018.</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income available for common stock for the nine months ended September 30, 2018 was $172 million, or $3.15 per diluted share, compared to $126 million, or $2.29 per diluted share reported for the same period in 2017. (Loss) from discontinued operations for the nine months ended September 30, 2018 was $(5.6) million, or $(0.10) per diluted share compared to $(3.5) million or $(0.06) per diluted share reported for the same period in 2017.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576"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16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Variance</w:t>
            </w:r>
          </w:p>
        </w:tc>
        <w:tc>
          <w:tcPr>
            <w:tcW w:w="220" w:type="dxa"/>
            <w:vAlign w:val="bottom"/>
          </w:tcPr>
          <w:p>
            <w:pPr>
              <w:spacing w:after="0"/>
              <w:rPr>
                <w:sz w:val="23"/>
                <w:szCs w:val="23"/>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3"/>
                <w:szCs w:val="23"/>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7"/>
        </w:trPr>
        <w:tc>
          <w:tcPr>
            <w:tcW w:w="4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EFFE7"/>
            </w:tcBorders>
            <w:gridSpan w:val="5"/>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357,370</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366,885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1,358,519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1,319,573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38,946</w:t>
            </w:r>
          </w:p>
        </w:tc>
        <w:tc>
          <w:tcPr>
            <w:tcW w:w="0" w:type="dxa"/>
            <w:vAlign w:val="bottom"/>
          </w:tcPr>
          <w:p>
            <w:pPr>
              <w:spacing w:after="0"/>
              <w:rPr>
                <w:sz w:val="1"/>
                <w:szCs w:val="1"/>
                <w:color w:val="auto"/>
              </w:rPr>
            </w:pPr>
          </w:p>
        </w:tc>
      </w:tr>
      <w:tr>
        <w:trPr>
          <w:trHeight w:val="243"/>
        </w:trPr>
        <w:tc>
          <w:tcPr>
            <w:tcW w:w="4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31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420" w:type="dxa"/>
            <w:vAlign w:val="bottom"/>
            <w:tcBorders>
              <w:bottom w:val="single" w:sz="8" w:color="CEFFE7"/>
            </w:tcBorders>
            <w:shd w:val="clear" w:color="auto" w:fill="CEFFE7"/>
          </w:tcPr>
          <w:p>
            <w:pPr>
              <w:spacing w:after="0"/>
              <w:rPr>
                <w:sz w:val="22"/>
                <w:szCs w:val="22"/>
                <w:color w:val="auto"/>
              </w:rPr>
            </w:pPr>
          </w:p>
        </w:tc>
        <w:tc>
          <w:tcPr>
            <w:tcW w:w="318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321,979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335,611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1,253,072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1,224,968</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28,104</w:t>
            </w:r>
          </w:p>
        </w:tc>
        <w:tc>
          <w:tcPr>
            <w:tcW w:w="0" w:type="dxa"/>
            <w:vAlign w:val="bottom"/>
          </w:tcPr>
          <w:p>
            <w:pPr>
              <w:spacing w:after="0"/>
              <w:rPr>
                <w:sz w:val="1"/>
                <w:szCs w:val="1"/>
                <w:color w:val="auto"/>
              </w:rPr>
            </w:pPr>
          </w:p>
        </w:tc>
      </w:tr>
      <w:tr>
        <w:trPr>
          <w:trHeight w:val="20"/>
        </w:trPr>
        <w:tc>
          <w:tcPr>
            <w:tcW w:w="4540" w:type="dxa"/>
            <w:vAlign w:val="bottom"/>
            <w:tcBorders>
              <w:top w:val="single" w:sz="8" w:color="CEFFE7"/>
              <w:bottom w:val="single" w:sz="8" w:color="CEFFE7"/>
            </w:tcBorders>
            <w:gridSpan w:val="5"/>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from continuing operations available for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40" w:type="dxa"/>
            <w:vAlign w:val="bottom"/>
            <w:gridSpan w:val="5"/>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Electric Utilities </w:t>
            </w:r>
            <w:r>
              <w:rPr>
                <w:rFonts w:ascii="Times New Roman" w:cs="Times New Roman" w:eastAsia="Times New Roman" w:hAnsi="Times New Roman"/>
                <w:sz w:val="25"/>
                <w:szCs w:val="25"/>
                <w:color w:val="auto"/>
                <w:vertAlign w:val="superscript"/>
              </w:rPr>
              <w:t>(b)</w:t>
            </w:r>
          </w:p>
        </w:tc>
        <w:tc>
          <w:tcPr>
            <w:tcW w:w="260" w:type="dxa"/>
            <w:vAlign w:val="bottom"/>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21,578</w:t>
            </w:r>
          </w:p>
        </w:tc>
        <w:tc>
          <w:tcPr>
            <w:tcW w:w="26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27,324</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63,313</w:t>
            </w:r>
          </w:p>
        </w:tc>
        <w:tc>
          <w:tcPr>
            <w:tcW w:w="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68,386</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70"/>
        </w:trPr>
        <w:tc>
          <w:tcPr>
            <w:tcW w:w="4540" w:type="dxa"/>
            <w:vAlign w:val="bottom"/>
            <w:gridSpan w:val="5"/>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Gas Utilities </w:t>
            </w:r>
            <w:r>
              <w:rPr>
                <w:rFonts w:ascii="Times New Roman" w:cs="Times New Roman" w:eastAsia="Times New Roman" w:hAnsi="Times New Roman"/>
                <w:sz w:val="25"/>
                <w:szCs w:val="25"/>
                <w:color w:val="auto"/>
                <w:vertAlign w:val="superscript"/>
              </w:rPr>
              <w:t>(a) (b)</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93,182</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41,409</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51,773</w:t>
            </w:r>
          </w:p>
        </w:tc>
        <w:tc>
          <w:tcPr>
            <w:tcW w:w="0" w:type="dxa"/>
            <w:vAlign w:val="bottom"/>
          </w:tcPr>
          <w:p>
            <w:pPr>
              <w:spacing w:after="0"/>
              <w:rPr>
                <w:sz w:val="1"/>
                <w:szCs w:val="1"/>
                <w:color w:val="auto"/>
              </w:rPr>
            </w:pPr>
          </w:p>
        </w:tc>
      </w:tr>
      <w:tr>
        <w:trPr>
          <w:trHeight w:val="270"/>
        </w:trPr>
        <w:tc>
          <w:tcPr>
            <w:tcW w:w="4540" w:type="dxa"/>
            <w:vAlign w:val="bottom"/>
            <w:gridSpan w:val="5"/>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(b)</w:t>
            </w:r>
          </w:p>
        </w:tc>
        <w:tc>
          <w:tcPr>
            <w:tcW w:w="260" w:type="dxa"/>
            <w:vAlign w:val="bottom"/>
            <w:shd w:val="clear" w:color="auto" w:fill="CEFFE7"/>
          </w:tcPr>
          <w:p>
            <w:pPr>
              <w:spacing w:after="0"/>
              <w:rPr>
                <w:sz w:val="23"/>
                <w:szCs w:val="23"/>
                <w:color w:val="auto"/>
              </w:rPr>
            </w:pPr>
          </w:p>
        </w:tc>
        <w:tc>
          <w:tcPr>
            <w:tcW w:w="8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c>
          <w:tcPr>
            <w:tcW w:w="26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shd w:val="clear" w:color="auto" w:fill="CEFFE7"/>
          </w:tcPr>
          <w:p>
            <w:pPr>
              <w:spacing w:after="0"/>
              <w:rPr>
                <w:sz w:val="23"/>
                <w:szCs w:val="23"/>
                <w:color w:val="auto"/>
              </w:rPr>
            </w:pPr>
          </w:p>
        </w:tc>
        <w:tc>
          <w:tcPr>
            <w:tcW w:w="92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17,319</w:t>
            </w:r>
          </w:p>
        </w:tc>
        <w:tc>
          <w:tcPr>
            <w:tcW w:w="22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18,017</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EFFE7"/>
            </w:tcBorders>
            <w:gridSpan w:val="5"/>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Mining </w:t>
            </w:r>
            <w:r>
              <w:rPr>
                <w:rFonts w:ascii="Times New Roman" w:cs="Times New Roman" w:eastAsia="Times New Roman" w:hAnsi="Times New Roman"/>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3,477</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9,561</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9,048</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31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18,564</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32,627</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183,375</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136,860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46,515</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EFFE7"/>
            </w:tcBorders>
            <w:gridSpan w:val="5"/>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2,907</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gridSpan w:val="5"/>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17,807</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28,963</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177,498</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129,866</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47,632</w:t>
            </w:r>
          </w:p>
        </w:tc>
        <w:tc>
          <w:tcPr>
            <w:tcW w:w="0" w:type="dxa"/>
            <w:vAlign w:val="bottom"/>
          </w:tcPr>
          <w:p>
            <w:pPr>
              <w:spacing w:after="0"/>
              <w:rPr>
                <w:sz w:val="1"/>
                <w:szCs w:val="1"/>
                <w:color w:val="auto"/>
              </w:rPr>
            </w:pPr>
          </w:p>
        </w:tc>
      </w:tr>
      <w:tr>
        <w:trPr>
          <w:trHeight w:val="243"/>
        </w:trPr>
        <w:tc>
          <w:tcPr>
            <w:tcW w:w="45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31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500" w:type="dxa"/>
            <w:vAlign w:val="bottom"/>
            <w:tcBorders>
              <w:bottom w:val="single" w:sz="8" w:color="CEFFE7"/>
            </w:tcBorders>
            <w:gridSpan w:val="4"/>
            <w:shd w:val="clear" w:color="auto" w:fill="CEFFE7"/>
          </w:tcPr>
          <w:p>
            <w:pPr>
              <w:ind w:left="14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16,950</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27,663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171,871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126,381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45,490</w:t>
            </w: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31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80" w:type="dxa"/>
            <w:vAlign w:val="bottom"/>
            <w:gridSpan w:val="3"/>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46"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from continuing operations for the nine months ended September 30, 2018 included a $49 million tax benefit resulting from legal entity restructuring. See Note 19 of the Notes to Condensed Consolidated Financial Statements for more information.</w:t>
      </w:r>
    </w:p>
    <w:p>
      <w:pPr>
        <w:ind w:left="340" w:right="60" w:hanging="332"/>
        <w:spacing w:after="0" w:line="250"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from continuing operations for the three and nine months ended September 30, 2018 included approximately $5.3 million and $7.5 million of income tax expense associated with changes in the prior estimated impact of tax reform on deferred income taxes. The impact to our operating segments and Corporate and Other for the three and nine months ended September 30, 2018 was: Electric Utilities $2.8 million and $3.2 million; Gas Utilities $2.6 million and $2.6 million, Mining ($0.0) million and $0.5 million; Power Generation ($0.0) million and $0.7 million; and Corporate and Other ($0.1) million and $0.6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Electric Utilities Segment</w:t>
      </w:r>
    </w:p>
    <w:p>
      <w:pPr>
        <w:spacing w:after="0" w:line="225" w:lineRule="exact"/>
        <w:rPr>
          <w:sz w:val="20"/>
          <w:szCs w:val="20"/>
          <w:color w:val="auto"/>
        </w:rPr>
      </w:pPr>
    </w:p>
    <w:p>
      <w:pPr>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31, Wyoming Electric received approval from the WPSC for a comprehensive, multi-year settlement regarding its PCA Application filed earlier in 2018. Wyoming Electric will provide a total of $7.0 million in customer credits through the PCA mechanism in 2018, 2019 and 2020 to resolve several years of disputed issues related to PCA dockets before the commission. The settlement also stipulates that the adjustment for the variable cost segment of the Wygen I Power Purchase Agreement with Wyoming Electric (an affiliate company) will escalate by 3% annually through 2022.</w:t>
      </w:r>
    </w:p>
    <w:p>
      <w:pPr>
        <w:spacing w:after="0" w:line="18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2018, Colorado Electric set a new winter peak load of 313 MW, exceeding the previous summer peak of 310 MW set in February 2011.</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degree days for the three and nine months ended September 30, 2018 were 9% higher and 29% higher than the 30-year average (normal) compared to 15% higher than normal for the same periods in 2017.</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degree days for the three and nine months ended September 30, 2018 were 20% lower and 5% higher than normal compared to 8% and 11% lower than normal for the same periods in 2017.</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Wyoming Electric and Colorado Electric set new summer peak loads:</w:t>
      </w:r>
    </w:p>
    <w:p>
      <w:pPr>
        <w:spacing w:after="0" w:line="225"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10, 2018, Wyoming Electric set a new all-time peak load of 254 MW, exceeding the previous summer peak of 249 MW set in July 2017.</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2018, Colorado Electric set a new all-time peak load of 413 MW, exceeding the previous summer peak of 412 MW set in July 2016.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580" w:right="259" w:bottom="1440" w:gutter="0" w:footer="0" w:header="0"/>
        </w:sectPr>
      </w:pPr>
    </w:p>
    <w:bookmarkStart w:id="43" w:name="page44"/>
    <w:bookmarkEnd w:id="43"/>
    <w:p>
      <w:pPr>
        <w:ind w:left="660" w:right="1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2018, South Dakota Electric placed in service the first 48-mile segment of a $70 million, 175-mile, 230-kilovolt transmission line from Rapid City, South Dakota, to Stegall, Nebraska. The remaining segment is expected to be in service by the end of 2019.</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2018, Colorado Electric received approval from the CPUC to contract with Black Hills Electric Generation for the 60 megawatt Busch Ranch II wind project. The project is currently under construction and is expected to be in service by the end of 2019. This renewable energy will enable Colorado Electric to comply with Colorado's Renewable Energy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Gas Utilities Segment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Review updates: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58"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5, 2018, Arkansas Gas received approval from the APSC for a general rate increase. The new rates will generate approximately $12 million of new revenue. The APSC’s approval also allows Arkansas Gas to include $11 million of revenue that is currently being collected through certain rider mechanisms in the new base rates. The new revenue increase is based on a return on equity of 9.61% and a capital structure of 49.1% equity and 50.9% debt. New rates, inclusive of customer benefits related to the TCJA, were effective October 15, 2018.</w:t>
      </w:r>
    </w:p>
    <w:p>
      <w:pPr>
        <w:spacing w:after="0" w:line="183"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16, 2018, the WPSC reached a bench decision approving our Wyoming Gas (Northwest Wyoming) settlement and stipulation with the OCA. We received the final order in the third quarter of 2018. The settlement provides for $1.0 million of new revenue, a return on equity of 9.6%, and a capital structure of 54.0% equity and 46.0% debt. New rates, inclusive of customer benefits related to the TCJA, were effective September 1, 2018.</w:t>
      </w:r>
    </w:p>
    <w:p>
      <w:pPr>
        <w:spacing w:after="0" w:line="180"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Colorado, new rates for RMNG went into effect June 1, 2018 after an administrative law judge recommended approval of a settlement agreement and the CPUC took no further action. The settlement included $1.1 million in annual revenue increases and an extension of SSIR to recover costs from 2018 through 2021. The annual increase is based on a return on equity of 9.9% and a capital structure of 46.63% equity and 53.37% debt. New rates are inclusive of customer benefits related to the TCJA.</w:t>
      </w:r>
    </w:p>
    <w:p>
      <w:pPr>
        <w:spacing w:after="0" w:line="18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Wyoming Gas filed for a CPCN on May 18, 2018 with the WPSC to construct a new $54 million, 35-mile natural gas pipeline (Natural Bridge Pipeline) to enhance reliability of supply for approximately 57,000 customers in its Casper division in central Wyoming.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legal entity restructuring transactions occurred on March 31, 2018 as part of the Company’s ongoing efforts to continue to integrate the legal entities that the Company has acquired in recent years. As a result of these transactions, additional deferred income tax assets of $49 million, related to goodwill that is amortizable for tax purposes, were recorded with a corresponding deferred tax benefit recorded on the Condensed Consolidated Statements of Income.</w:t>
      </w:r>
    </w:p>
    <w:p>
      <w:pPr>
        <w:spacing w:after="0" w:line="18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degree days at the Gas Utilities for the three and nine months ended September 30, 2018 were 27% lower and comparable to the 30-year average (normal), respectively, compared to 22% and 12% lower than normal for the same periods in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Power Generation</w:t>
      </w:r>
    </w:p>
    <w:p>
      <w:pPr>
        <w:spacing w:after="0" w:line="225" w:lineRule="exact"/>
        <w:rPr>
          <w:sz w:val="20"/>
          <w:szCs w:val="20"/>
          <w:color w:val="auto"/>
        </w:rPr>
      </w:pPr>
    </w:p>
    <w:p>
      <w:pPr>
        <w:ind w:left="660" w:right="1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2018, Black Hills Electric Generation was selected to provide 60 megawatts of renewable energy to Colorado Electric from the Busch Ranch II wind project, which is expected to be in service by the end of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225" w:lineRule="exact"/>
        <w:rPr>
          <w:sz w:val="20"/>
          <w:szCs w:val="20"/>
          <w:color w:val="auto"/>
        </w:rPr>
      </w:pPr>
    </w:p>
    <w:p>
      <w:pPr>
        <w:ind w:left="660" w:right="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2018, we completed settlement of the stock purchase contracts that are components of the Equity Units issued in November 2015. Upon settlement of all outstanding stock purchase obligations, the Company received gross proceeds of $299 million in exchange for approximately 6.372 million shares of common stock.</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2018, Fitch affirmed Black Hills’ credit rating at BBB+ and maintained a Stable outlook.</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797" w:right="259" w:bottom="1440" w:gutter="0" w:footer="0" w:header="0"/>
        </w:sectPr>
      </w:pPr>
    </w:p>
    <w:bookmarkStart w:id="44" w:name="page45"/>
    <w:bookmarkEnd w:id="44"/>
    <w:p>
      <w:pPr>
        <w:ind w:left="660" w:right="2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2018, we completed a public debt offering of $400 million principal amount of 4.350% senior unsecured notes. The proceeds were used to repay the $299 million principal amount of our RSNs due 2028 and pay down short-term debt.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2018, S&amp;P upgraded Black Hills’ credit rating to BBB+ with a Stable outlook and South Dakota Electric’s credit rating to A.</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the banks increasing or providing new commitments, to increase total commitments of the facility up to $1.0 billion.</w:t>
      </w:r>
    </w:p>
    <w:p>
      <w:pPr>
        <w:spacing w:after="0" w:line="180"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2018, we amended and restated our unsecured term loan due August 2019. This amended and restated term loan, with $300 million outstanding at September 30, 2018, matures on July 30, 2020.</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2018, Fitch affirmed South Dakota Electric’s credit rating at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5" w:lineRule="exact"/>
        <w:rPr>
          <w:sz w:val="20"/>
          <w:szCs w:val="20"/>
          <w:color w:val="auto"/>
        </w:rPr>
      </w:pPr>
    </w:p>
    <w:p>
      <w:pPr>
        <w:ind w:left="660" w:right="140" w:hanging="328"/>
        <w:spacing w:after="0" w:line="289"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 2017, the BHC Board of Directors approved a complete divestiture of our Oil and Gas segment. As of September 30, 2018, we have sold nearly all of our oil and gas assets and we closed our oil and gas office in August. Transaction closing for the last few assets and final accounting are expected within the fourth quarter. See Note 18 of the Notes to Condensed Consolidated Financial Statements 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discussion of operating results from our segments and Corporate activities follows. Revenues for operating segments in the following sections are presented in total and by retail class. For disaggregation of revenue by contract type and operating segment, see Note 2 of the Notes to Condensed Consolidated Financial Statements for more information.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9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Electric Utilities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4"/>
                <w:szCs w:val="24"/>
                <w:color w:val="auto"/>
              </w:rPr>
            </w:pPr>
          </w:p>
        </w:tc>
        <w:tc>
          <w:tcPr>
            <w:tcW w:w="34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184,790</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183,571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531,961</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528,048</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Total fuel and purchased power</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72,928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68,733</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204,334</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199,398</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5"/>
                <w:szCs w:val="25"/>
                <w:color w:val="auto"/>
                <w:vertAlign w:val="superscript"/>
              </w:rPr>
              <w:t>(b)</w:t>
            </w:r>
          </w:p>
        </w:tc>
        <w:tc>
          <w:tcPr>
            <w:tcW w:w="28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111,862</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114,838</w:t>
            </w:r>
          </w:p>
        </w:tc>
        <w:tc>
          <w:tcPr>
            <w:tcW w:w="22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327,627</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328,650</w:t>
            </w:r>
          </w:p>
        </w:tc>
        <w:tc>
          <w:tcPr>
            <w:tcW w:w="22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45,307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40,204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135,501</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125,302</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24,720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23,446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73,873</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69,427</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27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70,027</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63,650</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209,374</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194,729</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14,645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41,835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51,188</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118,253</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133,921</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(39,423)</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(39,049)</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13,669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21,578</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27,324</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63,313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68,386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20" w:hanging="332"/>
        <w:spacing w:after="0" w:line="248"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months ended September 30, 2018 include Horizon Point shared facility revenues of approximately $2.8 million and $8.1 million, respectively, which are allocated to all of our operating segments as facility expenses. This shared facility agreement is new in 2018 and has no impact on BHC’s consolidated operating results.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w:t>
      </w:r>
    </w:p>
    <w:p>
      <w:pPr>
        <w:spacing w:after="0" w:line="15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Electric Utilities for the Three Months Ended September 30, 2018 Compared to the Three Months Ended September 30, 2017: </w:t>
      </w:r>
      <w:r>
        <w:rPr>
          <w:rFonts w:ascii="Times New Roman" w:cs="Times New Roman" w:eastAsia="Times New Roman" w:hAnsi="Times New Roman"/>
          <w:sz w:val="18"/>
          <w:szCs w:val="18"/>
          <w:color w:val="auto"/>
        </w:rPr>
        <w:t>Net income from continuing operations available for common stock for the Electric Utilities was $22 million for the three months ended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2018, compared to Net income from continuing operations available for common stock of $27 million for the three months ended September 30, 2017, as a result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three months ended September 30, 2018 decreased $3.0 million compared to the same period in the prior year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9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TCJA revenue reserve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Wyoming Electric PCA Stipulation</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Weather</w:t>
            </w:r>
          </w:p>
        </w:tc>
        <w:tc>
          <w:tcPr>
            <w:tcW w:w="3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and industrial demand</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Horizon Point shared facility revenue </w:t>
            </w:r>
            <w:r>
              <w:rPr>
                <w:rFonts w:ascii="Times New Roman" w:cs="Times New Roman" w:eastAsia="Times New Roman" w:hAnsi="Times New Roman"/>
                <w:sz w:val="25"/>
                <w:szCs w:val="25"/>
                <w:color w:val="auto"/>
                <w:vertAlign w:val="superscript"/>
              </w:rPr>
              <w:t>(b)</w:t>
            </w:r>
          </w:p>
        </w:tc>
        <w:tc>
          <w:tcPr>
            <w:tcW w:w="38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Marketing, ancillary wheeling and Tech Services</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Residential customer growth</w:t>
            </w:r>
          </w:p>
        </w:tc>
        <w:tc>
          <w:tcPr>
            <w:tcW w:w="3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Rider recovery</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EFFE7"/>
            </w:tcBorders>
            <w:shd w:val="clear" w:color="auto" w:fill="CEFFE7"/>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(decrease) in Gross margin </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Horizon Point shared facility revenue is offset by facility expenses at our operating segments and has no impact on consolidated results.</w:t>
      </w:r>
    </w:p>
    <w:p>
      <w:pPr>
        <w:spacing w:after="0" w:line="1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Operations and maintenance</w:t>
      </w:r>
      <w:r>
        <w:rPr>
          <w:rFonts w:ascii="Times New Roman" w:cs="Times New Roman" w:eastAsia="Times New Roman" w:hAnsi="Times New Roman"/>
          <w:sz w:val="18"/>
          <w:szCs w:val="18"/>
          <w:color w:val="auto"/>
        </w:rPr>
        <w:t xml:space="preserve"> increased primarily due to $1.2 million higher facility costs, $1.3 million higher outside services primarily from distribution and transmission line surveying expenses and $1.5 million higher employee related expenses driven primarily by labor and benefits.</w:t>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67" w:right="239" w:bottom="1440" w:gutter="0" w:footer="0" w:header="0"/>
          <w:type w:val="continuous"/>
        </w:sectPr>
      </w:pPr>
    </w:p>
    <w:bookmarkStart w:id="46" w:name="page47"/>
    <w:bookmarkEnd w:id="46"/>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the prior year additions of Horizon Point and the Teckla-Lange transmission 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was comparable to the same period in the prior year.</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xml:space="preserve"> decreased due to the presentation change of non-service pension costs to Other income (expense) in the current year, previously reported in Operations and maintenance, and higher prior year AFUDC associated with higher prior year capital spend.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 benefit (expense)</w:t>
      </w:r>
      <w:r>
        <w:rPr>
          <w:rFonts w:ascii="Times New Roman" w:cs="Times New Roman" w:eastAsia="Times New Roman" w:hAnsi="Times New Roman"/>
          <w:sz w:val="18"/>
          <w:szCs w:val="18"/>
          <w:color w:val="auto"/>
        </w:rPr>
        <w:t>: The effective tax rate decreased from the prior year due to the reduction in the federal corporate income tax rate from 35% to 21% from the TCJA, effective January 1, 2018, partially offset by $2.8 million of tax expense associated with changes in the prior estimated impact of tax reform on deferred income taxes.</w:t>
      </w:r>
    </w:p>
    <w:p>
      <w:pPr>
        <w:spacing w:after="0" w:line="3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Electric Utilities for the Nine Months Ended September 30, 2018 Compared to the Nine Months Ended September 30, 2017: </w:t>
      </w:r>
      <w:r>
        <w:rPr>
          <w:rFonts w:ascii="Times New Roman" w:cs="Times New Roman" w:eastAsia="Times New Roman" w:hAnsi="Times New Roman"/>
          <w:sz w:val="18"/>
          <w:szCs w:val="18"/>
          <w:color w:val="auto"/>
        </w:rPr>
        <w:t>Net income from continuing operations available for common stock for the Electric Utilities was $63 million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compared to Net income from continuing operations available for common stock of $68 million for the nine months ended September 30, 2017, as a result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nine months ended September 30, 2018 decreased $1.0 million compared to the same period in the prior year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7"/>
        </w:trPr>
        <w:tc>
          <w:tcPr>
            <w:tcW w:w="926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8"/>
                <w:szCs w:val="18"/>
                <w:color w:val="auto"/>
              </w:rPr>
              <w:t>TCJA revenue reserve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Wyoming Electric PCA Stipulation</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shd w:val="clear" w:color="auto" w:fill="CEFFE7"/>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Horizon Point shared facility revenue </w:t>
            </w:r>
            <w:r>
              <w:rPr>
                <w:rFonts w:ascii="Times New Roman" w:cs="Times New Roman" w:eastAsia="Times New Roman" w:hAnsi="Times New Roman"/>
                <w:sz w:val="25"/>
                <w:szCs w:val="25"/>
                <w:color w:val="auto"/>
                <w:vertAlign w:val="superscript"/>
              </w:rPr>
              <w:t>(b)</w:t>
            </w:r>
          </w:p>
        </w:tc>
        <w:tc>
          <w:tcPr>
            <w:tcW w:w="380" w:type="dxa"/>
            <w:vAlign w:val="bottom"/>
            <w:shd w:val="clear" w:color="auto" w:fill="CEFFE7"/>
          </w:tcPr>
          <w:p>
            <w:pPr>
              <w:spacing w:after="0"/>
              <w:rPr>
                <w:sz w:val="23"/>
                <w:szCs w:val="23"/>
                <w:color w:val="auto"/>
              </w:rPr>
            </w:pPr>
          </w:p>
        </w:tc>
        <w:tc>
          <w:tcPr>
            <w:tcW w:w="17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Rider recovery</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8"/>
                <w:szCs w:val="18"/>
                <w:color w:val="auto"/>
              </w:rPr>
              <w:t>Weather</w:t>
            </w:r>
          </w:p>
        </w:tc>
        <w:tc>
          <w:tcPr>
            <w:tcW w:w="3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Marketing, ancillary wheeling and Tech Services</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8"/>
                <w:szCs w:val="18"/>
                <w:color w:val="auto"/>
              </w:rPr>
              <w:t>Residential customer growth</w:t>
            </w:r>
          </w:p>
        </w:tc>
        <w:tc>
          <w:tcPr>
            <w:tcW w:w="3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and industrial demand</w:t>
            </w: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926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EFFE7"/>
            </w:tcBorders>
            <w:shd w:val="clear" w:color="auto" w:fill="CEFFE7"/>
          </w:tcPr>
          <w:p>
            <w:pPr>
              <w:ind w:left="280"/>
              <w:spacing w:after="0" w:line="264" w:lineRule="exact"/>
              <w:rPr>
                <w:sz w:val="20"/>
                <w:szCs w:val="20"/>
                <w:color w:val="auto"/>
              </w:rPr>
            </w:pPr>
            <w:r>
              <w:rPr>
                <w:rFonts w:ascii="Times New Roman" w:cs="Times New Roman" w:eastAsia="Times New Roman" w:hAnsi="Times New Roman"/>
                <w:sz w:val="18"/>
                <w:szCs w:val="18"/>
                <w:color w:val="auto"/>
              </w:rPr>
              <w:t xml:space="preserve">Total (decrease) in Gross margin </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Horizon Point shared facility revenue is offset by facility expenses at our operating segments and has no impact on consolidated results.</w:t>
      </w:r>
    </w:p>
    <w:p>
      <w:pPr>
        <w:spacing w:after="0" w:line="19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Operations and maintenance</w:t>
      </w:r>
      <w:r>
        <w:rPr>
          <w:rFonts w:ascii="Times New Roman" w:cs="Times New Roman" w:eastAsia="Times New Roman" w:hAnsi="Times New Roman"/>
          <w:sz w:val="18"/>
          <w:szCs w:val="18"/>
          <w:color w:val="auto"/>
        </w:rPr>
        <w:t xml:space="preserve"> increased primarily due to $2.8 million of higher vegetation management expenses, $3.6 million of shared facility costs and $1.5 million of outside service costs primarily from distribution and transmission line surveying expenses. Higher employee costs and property taxes comprise the remainder of the increase compared to the same period in the prior year.</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the prior year additions of Horizon Point and the Teckla-Lange transmission 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was comparable to the same period in the prior year.</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xml:space="preserve"> decreased due to the presentation change of non-service pension costs to Other income (expense) in the current year, previously reported in Operations and maintenance, and higher prior year AFUDC associated with higher prior year capital spend.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 benefit (expense)</w:t>
      </w:r>
      <w:r>
        <w:rPr>
          <w:rFonts w:ascii="Times New Roman" w:cs="Times New Roman" w:eastAsia="Times New Roman" w:hAnsi="Times New Roman"/>
          <w:sz w:val="18"/>
          <w:szCs w:val="18"/>
          <w:color w:val="auto"/>
        </w:rPr>
        <w:t>: The effective tax rate decreased from the prior year due to the reduction in the federal corporate income tax rate from 35% to 21% from the TCJA, effective January 1, 2018, partially offset by $3.2 million of tax expense associated with changes in the prior estimated impact of tax reform on deferred income taxes.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8"/>
          </w:tcPr>
          <w:p>
            <w:pPr>
              <w:jc w:val="right"/>
              <w:ind w:right="28"/>
              <w:spacing w:after="0"/>
              <w:rPr>
                <w:sz w:val="20"/>
                <w:szCs w:val="20"/>
                <w:color w:val="auto"/>
              </w:rPr>
            </w:pPr>
            <w:r>
              <w:rPr>
                <w:rFonts w:ascii="Times New Roman" w:cs="Times New Roman" w:eastAsia="Times New Roman" w:hAnsi="Times New Roman"/>
                <w:sz w:val="16"/>
                <w:szCs w:val="16"/>
                <w:color w:val="auto"/>
              </w:rPr>
              <w:t>Electric Revenue (in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Quantities sold (MWh)</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4"/>
          </w:tcPr>
          <w:p>
            <w:pPr>
              <w:jc w:val="right"/>
              <w:ind w:right="85"/>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18"/>
                <w:szCs w:val="18"/>
                <w:color w:val="auto"/>
              </w:rPr>
            </w:pPr>
          </w:p>
        </w:tc>
        <w:tc>
          <w:tcPr>
            <w:tcW w:w="148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Three Months Ended</w:t>
            </w:r>
          </w:p>
        </w:tc>
        <w:tc>
          <w:tcPr>
            <w:tcW w:w="184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4"/>
          </w:tcPr>
          <w:p>
            <w:pPr>
              <w:jc w:val="right"/>
              <w:ind w:right="305"/>
              <w:spacing w:after="0"/>
              <w:rPr>
                <w:sz w:val="20"/>
                <w:szCs w:val="20"/>
                <w:color w:val="auto"/>
              </w:rPr>
            </w:pPr>
            <w:r>
              <w:rPr>
                <w:rFonts w:ascii="Times New Roman" w:cs="Times New Roman" w:eastAsia="Times New Roman" w:hAnsi="Times New Roman"/>
                <w:sz w:val="16"/>
                <w:szCs w:val="16"/>
                <w:color w:val="auto"/>
              </w:rPr>
              <w:t>September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5"/>
          </w:tcPr>
          <w:p>
            <w:pPr>
              <w:jc w:val="right"/>
              <w:ind w:right="202"/>
              <w:spacing w:after="0"/>
              <w:rPr>
                <w:sz w:val="20"/>
                <w:szCs w:val="20"/>
                <w:color w:val="auto"/>
              </w:rPr>
            </w:pPr>
            <w:r>
              <w:rPr>
                <w:rFonts w:ascii="Times New Roman" w:cs="Times New Roman" w:eastAsia="Times New Roman" w:hAnsi="Times New Roman"/>
                <w:sz w:val="16"/>
                <w:szCs w:val="16"/>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rPr>
              <w:t>September 30,</w:t>
            </w:r>
          </w:p>
        </w:tc>
        <w:tc>
          <w:tcPr>
            <w:tcW w:w="1840" w:type="dxa"/>
            <w:vAlign w:val="bottom"/>
            <w:gridSpan w:val="2"/>
          </w:tcPr>
          <w:p>
            <w:pPr>
              <w:jc w:val="right"/>
              <w:ind w:right="305"/>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2017</w:t>
            </w:r>
          </w:p>
        </w:tc>
        <w:tc>
          <w:tcPr>
            <w:tcW w:w="200" w:type="dxa"/>
            <w:vAlign w:val="bottom"/>
          </w:tcPr>
          <w:p>
            <w:pPr>
              <w:spacing w:after="0"/>
              <w:rPr>
                <w:sz w:val="23"/>
                <w:szCs w:val="23"/>
                <w:color w:val="auto"/>
              </w:rPr>
            </w:pPr>
          </w:p>
        </w:tc>
        <w:tc>
          <w:tcPr>
            <w:tcW w:w="72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23"/>
                <w:szCs w:val="23"/>
                <w:color w:val="auto"/>
              </w:rPr>
            </w:pPr>
          </w:p>
        </w:tc>
        <w:tc>
          <w:tcPr>
            <w:tcW w:w="52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2017</w:t>
            </w:r>
          </w:p>
        </w:tc>
        <w:tc>
          <w:tcPr>
            <w:tcW w:w="980" w:type="dxa"/>
            <w:vAlign w:val="bottom"/>
            <w:gridSpan w:val="4"/>
          </w:tcPr>
          <w:p>
            <w:pPr>
              <w:jc w:val="right"/>
              <w:ind w:right="83"/>
              <w:spacing w:after="0"/>
              <w:rPr>
                <w:sz w:val="20"/>
                <w:szCs w:val="20"/>
                <w:color w:val="auto"/>
              </w:rPr>
            </w:pPr>
            <w:r>
              <w:rPr>
                <w:rFonts w:ascii="Times New Roman" w:cs="Times New Roman" w:eastAsia="Times New Roman" w:hAnsi="Times New Roman"/>
                <w:sz w:val="16"/>
                <w:szCs w:val="16"/>
                <w:color w:val="auto"/>
              </w:rPr>
              <w:t>2018</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2017</w:t>
            </w: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rPr>
              <w:t>2018</w:t>
            </w: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3900" w:type="dxa"/>
            <w:vAlign w:val="bottom"/>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58,122</w:t>
            </w:r>
          </w:p>
        </w:tc>
        <w:tc>
          <w:tcPr>
            <w:tcW w:w="260" w:type="dxa"/>
            <w:vAlign w:val="bottom"/>
            <w:gridSpan w:val="2"/>
            <w:shd w:val="clear" w:color="auto" w:fill="CEFFE7"/>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55,866</w:t>
            </w:r>
          </w:p>
        </w:tc>
        <w:tc>
          <w:tcPr>
            <w:tcW w:w="2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163,979</w:t>
            </w:r>
          </w:p>
        </w:tc>
        <w:tc>
          <w:tcPr>
            <w:tcW w:w="240" w:type="dxa"/>
            <w:vAlign w:val="bottom"/>
            <w:shd w:val="clear" w:color="auto" w:fill="CEFFE7"/>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158,017</w:t>
            </w:r>
          </w:p>
        </w:tc>
        <w:tc>
          <w:tcPr>
            <w:tcW w:w="980" w:type="dxa"/>
            <w:vAlign w:val="bottom"/>
            <w:gridSpan w:val="4"/>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372,623</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369,466</w:t>
            </w:r>
          </w:p>
        </w:tc>
        <w:tc>
          <w:tcPr>
            <w:tcW w:w="980" w:type="dxa"/>
            <w:vAlign w:val="bottom"/>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1,084,531</w:t>
            </w:r>
          </w:p>
        </w:tc>
        <w:tc>
          <w:tcPr>
            <w:tcW w:w="860" w:type="dxa"/>
            <w:vAlign w:val="bottom"/>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1,038,437</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tcPr>
          <w:p>
            <w:pPr>
              <w:spacing w:after="0"/>
              <w:rPr>
                <w:sz w:val="23"/>
                <w:szCs w:val="2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65,794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68,044</w:t>
            </w:r>
          </w:p>
        </w:tc>
        <w:tc>
          <w:tcPr>
            <w:tcW w:w="200" w:type="dxa"/>
            <w:vAlign w:val="bottom"/>
          </w:tcPr>
          <w:p>
            <w:pPr>
              <w:spacing w:after="0"/>
              <w:rPr>
                <w:sz w:val="23"/>
                <w:szCs w:val="23"/>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192,680</w:t>
            </w:r>
          </w:p>
        </w:tc>
        <w:tc>
          <w:tcPr>
            <w:tcW w:w="24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195,495</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550,791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557,975</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1,560,911</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1,547,254</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3900" w:type="dxa"/>
            <w:vAlign w:val="bottom"/>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shd w:val="clear" w:color="auto" w:fill="CEFFE7"/>
          </w:tcPr>
          <w:p>
            <w:pPr>
              <w:spacing w:after="0"/>
              <w:rPr>
                <w:sz w:val="23"/>
                <w:szCs w:val="23"/>
                <w:color w:val="auto"/>
              </w:rPr>
            </w:pPr>
          </w:p>
        </w:tc>
        <w:tc>
          <w:tcPr>
            <w:tcW w:w="680" w:type="dxa"/>
            <w:vAlign w:val="bottom"/>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31,939</w:t>
            </w:r>
          </w:p>
        </w:tc>
        <w:tc>
          <w:tcPr>
            <w:tcW w:w="1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20" w:type="dxa"/>
            <w:vAlign w:val="bottom"/>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30,564</w:t>
            </w:r>
          </w:p>
        </w:tc>
        <w:tc>
          <w:tcPr>
            <w:tcW w:w="2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540" w:type="dxa"/>
            <w:vAlign w:val="bottom"/>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93,959</w:t>
            </w:r>
          </w:p>
        </w:tc>
        <w:tc>
          <w:tcPr>
            <w:tcW w:w="240" w:type="dxa"/>
            <w:vAlign w:val="bottom"/>
            <w:shd w:val="clear" w:color="auto" w:fill="CEFFE7"/>
          </w:tcPr>
          <w:p>
            <w:pPr>
              <w:spacing w:after="0"/>
              <w:rPr>
                <w:sz w:val="23"/>
                <w:szCs w:val="23"/>
                <w:color w:val="auto"/>
              </w:rPr>
            </w:pPr>
          </w:p>
        </w:tc>
        <w:tc>
          <w:tcPr>
            <w:tcW w:w="52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91,583</w:t>
            </w:r>
          </w:p>
        </w:tc>
        <w:tc>
          <w:tcPr>
            <w:tcW w:w="980" w:type="dxa"/>
            <w:vAlign w:val="bottom"/>
            <w:gridSpan w:val="4"/>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429,133</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406,946</w:t>
            </w:r>
          </w:p>
        </w:tc>
        <w:tc>
          <w:tcPr>
            <w:tcW w:w="980" w:type="dxa"/>
            <w:vAlign w:val="bottom"/>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1,248,438</w:t>
            </w:r>
          </w:p>
        </w:tc>
        <w:tc>
          <w:tcPr>
            <w:tcW w:w="860" w:type="dxa"/>
            <w:vAlign w:val="bottom"/>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1,192,316</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3900" w:type="dxa"/>
            <w:vAlign w:val="bottom"/>
            <w:tcBorders>
              <w:bottom w:val="single" w:sz="8" w:color="CEFFE7"/>
            </w:tcBorders>
            <w:gridSpan w:val="2"/>
          </w:tcPr>
          <w:p>
            <w:pPr>
              <w:ind w:left="40"/>
              <w:spacing w:after="0"/>
              <w:rPr>
                <w:sz w:val="20"/>
                <w:szCs w:val="20"/>
                <w:color w:val="auto"/>
              </w:rPr>
            </w:pPr>
            <w:r>
              <w:rPr>
                <w:rFonts w:ascii="Times New Roman" w:cs="Times New Roman" w:eastAsia="Times New Roman" w:hAnsi="Times New Roman"/>
                <w:sz w:val="16"/>
                <w:szCs w:val="16"/>
                <w:color w:val="auto"/>
              </w:rPr>
              <w:t>Municipal</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4,582</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4,958</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color w:val="auto"/>
              </w:rPr>
              <w:t>13,389</w:t>
            </w:r>
          </w:p>
        </w:tc>
        <w:tc>
          <w:tcPr>
            <w:tcW w:w="2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EFFE7"/>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43,972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47,389</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color w:val="auto"/>
              </w:rPr>
              <w:t>122,953</w:t>
            </w:r>
          </w:p>
        </w:tc>
        <w:tc>
          <w:tcPr>
            <w:tcW w:w="8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color w:val="auto"/>
              </w:rPr>
              <w:t>125,065</w:t>
            </w: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900" w:type="dxa"/>
            <w:vAlign w:val="bottom"/>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Subtotal Retail Revenue - Electric</w:t>
            </w:r>
          </w:p>
        </w:tc>
        <w:tc>
          <w:tcPr>
            <w:tcW w:w="200" w:type="dxa"/>
            <w:vAlign w:val="bottom"/>
            <w:tcBorders>
              <w:bottom w:val="single" w:sz="8" w:color="auto"/>
            </w:tcBorders>
            <w:shd w:val="clear" w:color="auto" w:fill="CEFFE7"/>
          </w:tcPr>
          <w:p>
            <w:pPr>
              <w:spacing w:after="0"/>
              <w:rPr>
                <w:sz w:val="22"/>
                <w:szCs w:val="22"/>
                <w:color w:val="auto"/>
              </w:rPr>
            </w:pPr>
          </w:p>
        </w:tc>
        <w:tc>
          <w:tcPr>
            <w:tcW w:w="680" w:type="dxa"/>
            <w:vAlign w:val="bottom"/>
            <w:tcBorders>
              <w:bottom w:val="single" w:sz="8" w:color="auto"/>
            </w:tcBorders>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160,437</w:t>
            </w:r>
          </w:p>
        </w:tc>
        <w:tc>
          <w:tcPr>
            <w:tcW w:w="12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620" w:type="dxa"/>
            <w:vAlign w:val="bottom"/>
            <w:tcBorders>
              <w:bottom w:val="single" w:sz="8" w:color="auto"/>
            </w:tcBorders>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159,432</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gridSpan w:val="2"/>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464,007</w:t>
            </w:r>
          </w:p>
        </w:tc>
        <w:tc>
          <w:tcPr>
            <w:tcW w:w="240" w:type="dxa"/>
            <w:vAlign w:val="bottom"/>
            <w:tcBorders>
              <w:bottom w:val="single" w:sz="8" w:color="auto"/>
            </w:tcBorders>
            <w:shd w:val="clear" w:color="auto" w:fill="CEFFE7"/>
          </w:tcPr>
          <w:p>
            <w:pPr>
              <w:spacing w:after="0"/>
              <w:rPr>
                <w:sz w:val="22"/>
                <w:szCs w:val="22"/>
                <w:color w:val="auto"/>
              </w:rPr>
            </w:pPr>
          </w:p>
        </w:tc>
        <w:tc>
          <w:tcPr>
            <w:tcW w:w="52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459,029</w:t>
            </w:r>
          </w:p>
        </w:tc>
        <w:tc>
          <w:tcPr>
            <w:tcW w:w="100" w:type="dxa"/>
            <w:vAlign w:val="bottom"/>
            <w:tcBorders>
              <w:bottom w:val="single" w:sz="8" w:color="auto"/>
            </w:tcBorders>
            <w:shd w:val="clear" w:color="auto" w:fill="CEFFE7"/>
          </w:tcPr>
          <w:p>
            <w:pPr>
              <w:spacing w:after="0"/>
              <w:rPr>
                <w:sz w:val="22"/>
                <w:szCs w:val="22"/>
                <w:color w:val="auto"/>
              </w:rPr>
            </w:pPr>
          </w:p>
        </w:tc>
        <w:tc>
          <w:tcPr>
            <w:tcW w:w="120" w:type="dxa"/>
            <w:vAlign w:val="bottom"/>
            <w:shd w:val="clear" w:color="auto" w:fill="CEFFE7"/>
          </w:tcPr>
          <w:p>
            <w:pPr>
              <w:spacing w:after="0"/>
              <w:rPr>
                <w:sz w:val="22"/>
                <w:szCs w:val="22"/>
                <w:color w:val="auto"/>
              </w:rPr>
            </w:pPr>
          </w:p>
        </w:tc>
        <w:tc>
          <w:tcPr>
            <w:tcW w:w="760" w:type="dxa"/>
            <w:vAlign w:val="bottom"/>
            <w:tcBorders>
              <w:bottom w:val="single" w:sz="8" w:color="auto"/>
            </w:tcBorders>
            <w:gridSpan w:val="2"/>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1,396,519</w:t>
            </w:r>
          </w:p>
        </w:tc>
        <w:tc>
          <w:tcPr>
            <w:tcW w:w="9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1,381,776</w:t>
            </w:r>
          </w:p>
        </w:tc>
        <w:tc>
          <w:tcPr>
            <w:tcW w:w="980" w:type="dxa"/>
            <w:vAlign w:val="bottom"/>
            <w:tcBorders>
              <w:bottom w:val="single" w:sz="8" w:color="auto"/>
            </w:tcBorders>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4,016,833</w:t>
            </w:r>
          </w:p>
        </w:tc>
        <w:tc>
          <w:tcPr>
            <w:tcW w:w="860" w:type="dxa"/>
            <w:vAlign w:val="bottom"/>
            <w:tcBorders>
              <w:bottom w:val="single" w:sz="8" w:color="auto"/>
            </w:tcBorders>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3,903,072</w:t>
            </w: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Contract Wholesale</w:t>
            </w:r>
          </w:p>
        </w:tc>
        <w:tc>
          <w:tcPr>
            <w:tcW w:w="200" w:type="dxa"/>
            <w:vAlign w:val="bottom"/>
          </w:tcPr>
          <w:p>
            <w:pPr>
              <w:spacing w:after="0"/>
              <w:rPr>
                <w:sz w:val="21"/>
                <w:szCs w:val="2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8,256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8,048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43"/>
              <w:spacing w:after="0"/>
              <w:rPr>
                <w:sz w:val="20"/>
                <w:szCs w:val="20"/>
                <w:color w:val="auto"/>
              </w:rPr>
            </w:pPr>
            <w:r>
              <w:rPr>
                <w:rFonts w:ascii="Times New Roman" w:cs="Times New Roman" w:eastAsia="Times New Roman" w:hAnsi="Times New Roman"/>
                <w:sz w:val="14"/>
                <w:szCs w:val="14"/>
                <w:color w:val="auto"/>
              </w:rPr>
              <w:t>25,497</w:t>
            </w:r>
          </w:p>
        </w:tc>
        <w:tc>
          <w:tcPr>
            <w:tcW w:w="24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22,593</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221,327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185,723</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677,163</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4"/>
                <w:szCs w:val="14"/>
                <w:color w:val="auto"/>
              </w:rPr>
              <w:t>537,720</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3900" w:type="dxa"/>
            <w:vAlign w:val="bottom"/>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Off-system/Power Marketing Wholesale</w:t>
            </w:r>
          </w:p>
        </w:tc>
        <w:tc>
          <w:tcPr>
            <w:tcW w:w="200" w:type="dxa"/>
            <w:vAlign w:val="bottom"/>
            <w:shd w:val="clear" w:color="auto" w:fill="CEFFE7"/>
          </w:tcPr>
          <w:p>
            <w:pPr>
              <w:spacing w:after="0"/>
              <w:rPr>
                <w:sz w:val="23"/>
                <w:szCs w:val="23"/>
                <w:color w:val="auto"/>
              </w:rPr>
            </w:pPr>
          </w:p>
        </w:tc>
        <w:tc>
          <w:tcPr>
            <w:tcW w:w="680" w:type="dxa"/>
            <w:vAlign w:val="bottom"/>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9,059</w:t>
            </w:r>
          </w:p>
        </w:tc>
        <w:tc>
          <w:tcPr>
            <w:tcW w:w="1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20" w:type="dxa"/>
            <w:vAlign w:val="bottom"/>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5,932</w:t>
            </w:r>
          </w:p>
        </w:tc>
        <w:tc>
          <w:tcPr>
            <w:tcW w:w="2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540" w:type="dxa"/>
            <w:vAlign w:val="bottom"/>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18,142</w:t>
            </w:r>
          </w:p>
        </w:tc>
        <w:tc>
          <w:tcPr>
            <w:tcW w:w="240" w:type="dxa"/>
            <w:vAlign w:val="bottom"/>
            <w:shd w:val="clear" w:color="auto" w:fill="CEFFE7"/>
          </w:tcPr>
          <w:p>
            <w:pPr>
              <w:spacing w:after="0"/>
              <w:rPr>
                <w:sz w:val="23"/>
                <w:szCs w:val="23"/>
                <w:color w:val="auto"/>
              </w:rPr>
            </w:pPr>
          </w:p>
        </w:tc>
        <w:tc>
          <w:tcPr>
            <w:tcW w:w="52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15,110</w:t>
            </w:r>
          </w:p>
        </w:tc>
        <w:tc>
          <w:tcPr>
            <w:tcW w:w="980" w:type="dxa"/>
            <w:vAlign w:val="bottom"/>
            <w:gridSpan w:val="4"/>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206,791</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159,425</w:t>
            </w:r>
          </w:p>
        </w:tc>
        <w:tc>
          <w:tcPr>
            <w:tcW w:w="980" w:type="dxa"/>
            <w:vAlign w:val="bottom"/>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514,686</w:t>
            </w:r>
          </w:p>
        </w:tc>
        <w:tc>
          <w:tcPr>
            <w:tcW w:w="860" w:type="dxa"/>
            <w:vAlign w:val="bottom"/>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477,283</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3900" w:type="dxa"/>
            <w:vAlign w:val="bottom"/>
            <w:tcBorders>
              <w:bottom w:val="single" w:sz="8" w:color="CEFFE7"/>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7,038</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10,159</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color w:val="auto"/>
              </w:rPr>
              <w:t>24,315</w:t>
            </w:r>
          </w:p>
        </w:tc>
        <w:tc>
          <w:tcPr>
            <w:tcW w:w="2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31,316</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EFFE7"/>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3900" w:type="dxa"/>
            <w:vAlign w:val="bottom"/>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Revenue and Energy Sold</w:t>
            </w:r>
          </w:p>
        </w:tc>
        <w:tc>
          <w:tcPr>
            <w:tcW w:w="200" w:type="dxa"/>
            <w:vAlign w:val="bottom"/>
            <w:shd w:val="clear" w:color="auto" w:fill="CEFFE7"/>
          </w:tcPr>
          <w:p>
            <w:pPr>
              <w:spacing w:after="0"/>
              <w:rPr>
                <w:sz w:val="22"/>
                <w:szCs w:val="22"/>
                <w:color w:val="auto"/>
              </w:rPr>
            </w:pPr>
          </w:p>
        </w:tc>
        <w:tc>
          <w:tcPr>
            <w:tcW w:w="680" w:type="dxa"/>
            <w:vAlign w:val="bottom"/>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184,790</w:t>
            </w:r>
          </w:p>
        </w:tc>
        <w:tc>
          <w:tcPr>
            <w:tcW w:w="12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620" w:type="dxa"/>
            <w:vAlign w:val="bottom"/>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183,571</w:t>
            </w:r>
          </w:p>
        </w:tc>
        <w:tc>
          <w:tcPr>
            <w:tcW w:w="200" w:type="dxa"/>
            <w:vAlign w:val="bottom"/>
            <w:shd w:val="clear" w:color="auto" w:fill="CEFFE7"/>
          </w:tcPr>
          <w:p>
            <w:pPr>
              <w:spacing w:after="0"/>
              <w:rPr>
                <w:sz w:val="22"/>
                <w:szCs w:val="22"/>
                <w:color w:val="auto"/>
              </w:rPr>
            </w:pPr>
          </w:p>
        </w:tc>
        <w:tc>
          <w:tcPr>
            <w:tcW w:w="720" w:type="dxa"/>
            <w:vAlign w:val="bottom"/>
            <w:gridSpan w:val="2"/>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531,961</w:t>
            </w:r>
          </w:p>
        </w:tc>
        <w:tc>
          <w:tcPr>
            <w:tcW w:w="240" w:type="dxa"/>
            <w:vAlign w:val="bottom"/>
            <w:shd w:val="clear" w:color="auto" w:fill="CEFFE7"/>
          </w:tcPr>
          <w:p>
            <w:pPr>
              <w:spacing w:after="0"/>
              <w:rPr>
                <w:sz w:val="22"/>
                <w:szCs w:val="22"/>
                <w:color w:val="auto"/>
              </w:rPr>
            </w:pPr>
          </w:p>
        </w:tc>
        <w:tc>
          <w:tcPr>
            <w:tcW w:w="52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528,048</w:t>
            </w:r>
          </w:p>
        </w:tc>
        <w:tc>
          <w:tcPr>
            <w:tcW w:w="980" w:type="dxa"/>
            <w:vAlign w:val="bottom"/>
            <w:gridSpan w:val="4"/>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1,824,637</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1,726,924</w:t>
            </w:r>
          </w:p>
        </w:tc>
        <w:tc>
          <w:tcPr>
            <w:tcW w:w="980" w:type="dxa"/>
            <w:vAlign w:val="bottom"/>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5,208,682</w:t>
            </w:r>
          </w:p>
        </w:tc>
        <w:tc>
          <w:tcPr>
            <w:tcW w:w="860" w:type="dxa"/>
            <w:vAlign w:val="bottom"/>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4,918,075</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3900" w:type="dxa"/>
            <w:vAlign w:val="bottom"/>
            <w:tcBorders>
              <w:bottom w:val="single" w:sz="8" w:color="CEFFE7"/>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 Uses, Losses or Generation, net</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EFFE7"/>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121,478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134,595</w:t>
            </w: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color w:val="auto"/>
              </w:rPr>
              <w:t>337,939</w:t>
            </w:r>
          </w:p>
        </w:tc>
        <w:tc>
          <w:tcPr>
            <w:tcW w:w="8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color w:val="auto"/>
              </w:rPr>
              <w:t>354,572</w:t>
            </w: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Revenue and Energy</w:t>
            </w:r>
          </w:p>
        </w:tc>
        <w:tc>
          <w:tcPr>
            <w:tcW w:w="200" w:type="dxa"/>
            <w:vAlign w:val="bottom"/>
            <w:shd w:val="clear" w:color="auto" w:fill="CEFFE7"/>
          </w:tcPr>
          <w:p>
            <w:pPr>
              <w:spacing w:after="0"/>
              <w:rPr>
                <w:sz w:val="21"/>
                <w:szCs w:val="21"/>
                <w:color w:val="auto"/>
              </w:rPr>
            </w:pPr>
          </w:p>
        </w:tc>
        <w:tc>
          <w:tcPr>
            <w:tcW w:w="680" w:type="dxa"/>
            <w:vAlign w:val="bottom"/>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184,790</w:t>
            </w:r>
          </w:p>
        </w:tc>
        <w:tc>
          <w:tcPr>
            <w:tcW w:w="12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620" w:type="dxa"/>
            <w:vAlign w:val="bottom"/>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183,571</w:t>
            </w:r>
          </w:p>
        </w:tc>
        <w:tc>
          <w:tcPr>
            <w:tcW w:w="200" w:type="dxa"/>
            <w:vAlign w:val="bottom"/>
            <w:shd w:val="clear" w:color="auto" w:fill="CEFFE7"/>
          </w:tcPr>
          <w:p>
            <w:pPr>
              <w:spacing w:after="0"/>
              <w:rPr>
                <w:sz w:val="21"/>
                <w:szCs w:val="21"/>
                <w:color w:val="auto"/>
              </w:rPr>
            </w:pPr>
          </w:p>
        </w:tc>
        <w:tc>
          <w:tcPr>
            <w:tcW w:w="720" w:type="dxa"/>
            <w:vAlign w:val="bottom"/>
            <w:gridSpan w:val="2"/>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531,961</w:t>
            </w:r>
          </w:p>
        </w:tc>
        <w:tc>
          <w:tcPr>
            <w:tcW w:w="240" w:type="dxa"/>
            <w:vAlign w:val="bottom"/>
            <w:shd w:val="clear" w:color="auto" w:fill="CEFFE7"/>
          </w:tcPr>
          <w:p>
            <w:pPr>
              <w:spacing w:after="0"/>
              <w:rPr>
                <w:sz w:val="21"/>
                <w:szCs w:val="21"/>
                <w:color w:val="auto"/>
              </w:rPr>
            </w:pPr>
          </w:p>
        </w:tc>
        <w:tc>
          <w:tcPr>
            <w:tcW w:w="520" w:type="dxa"/>
            <w:vAlign w:val="bottom"/>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528,048</w:t>
            </w:r>
          </w:p>
        </w:tc>
        <w:tc>
          <w:tcPr>
            <w:tcW w:w="980" w:type="dxa"/>
            <w:vAlign w:val="bottom"/>
            <w:gridSpan w:val="4"/>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1,946,115</w:t>
            </w:r>
          </w:p>
        </w:tc>
        <w:tc>
          <w:tcPr>
            <w:tcW w:w="9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1,861,519</w:t>
            </w:r>
          </w:p>
        </w:tc>
        <w:tc>
          <w:tcPr>
            <w:tcW w:w="980" w:type="dxa"/>
            <w:vAlign w:val="bottom"/>
            <w:shd w:val="clear" w:color="auto" w:fill="CEFFE7"/>
          </w:tcPr>
          <w:p>
            <w:pPr>
              <w:jc w:val="right"/>
              <w:ind w:right="44"/>
              <w:spacing w:after="0"/>
              <w:rPr>
                <w:sz w:val="20"/>
                <w:szCs w:val="20"/>
                <w:color w:val="auto"/>
              </w:rPr>
            </w:pPr>
            <w:r>
              <w:rPr>
                <w:rFonts w:ascii="Times New Roman" w:cs="Times New Roman" w:eastAsia="Times New Roman" w:hAnsi="Times New Roman"/>
                <w:sz w:val="14"/>
                <w:szCs w:val="14"/>
                <w:color w:val="auto"/>
              </w:rPr>
              <w:t>5,546,621</w:t>
            </w:r>
          </w:p>
        </w:tc>
        <w:tc>
          <w:tcPr>
            <w:tcW w:w="860" w:type="dxa"/>
            <w:vAlign w:val="bottom"/>
            <w:shd w:val="clear" w:color="auto" w:fill="CEFFE7"/>
          </w:tcPr>
          <w:p>
            <w:pPr>
              <w:jc w:val="right"/>
              <w:ind w:right="25"/>
              <w:spacing w:after="0"/>
              <w:rPr>
                <w:sz w:val="20"/>
                <w:szCs w:val="20"/>
                <w:color w:val="auto"/>
              </w:rPr>
            </w:pPr>
            <w:r>
              <w:rPr>
                <w:rFonts w:ascii="Times New Roman" w:cs="Times New Roman" w:eastAsia="Times New Roman" w:hAnsi="Times New Roman"/>
                <w:sz w:val="14"/>
                <w:szCs w:val="14"/>
                <w:color w:val="auto"/>
              </w:rPr>
              <w:t>5,272,647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CEFFE7"/>
              <w:bottom w:val="single" w:sz="8" w:color="CEFFE7"/>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Less cost of fuel and purchased power</w:t>
            </w:r>
          </w:p>
        </w:tc>
        <w:tc>
          <w:tcPr>
            <w:tcW w:w="200" w:type="dxa"/>
            <w:vAlign w:val="bottom"/>
            <w:tcBorders>
              <w:top w:val="single" w:sz="8" w:color="CEFFE7"/>
            </w:tcBorders>
          </w:tcPr>
          <w:p>
            <w:pPr>
              <w:spacing w:after="0" w:line="20" w:lineRule="exact"/>
              <w:rPr>
                <w:sz w:val="1"/>
                <w:szCs w:val="1"/>
                <w:color w:val="auto"/>
              </w:rPr>
            </w:pPr>
          </w:p>
        </w:tc>
        <w:tc>
          <w:tcPr>
            <w:tcW w:w="680" w:type="dxa"/>
            <w:vAlign w:val="bottom"/>
            <w:tcBorders>
              <w:top w:val="single" w:sz="8" w:color="CEFFE7"/>
              <w:bottom w:val="single" w:sz="8" w:color="CEFFE7"/>
            </w:tcBorders>
            <w:vMerge w:val="restart"/>
          </w:tcPr>
          <w:p>
            <w:pPr>
              <w:jc w:val="right"/>
              <w:ind w:right="6"/>
              <w:spacing w:after="0"/>
              <w:rPr>
                <w:sz w:val="20"/>
                <w:szCs w:val="20"/>
                <w:color w:val="auto"/>
              </w:rPr>
            </w:pPr>
            <w:r>
              <w:rPr>
                <w:rFonts w:ascii="Times New Roman" w:cs="Times New Roman" w:eastAsia="Times New Roman" w:hAnsi="Times New Roman"/>
                <w:sz w:val="14"/>
                <w:szCs w:val="14"/>
                <w:color w:val="auto"/>
              </w:rPr>
              <w:t>72,928</w:t>
            </w:r>
          </w:p>
        </w:tc>
        <w:tc>
          <w:tcPr>
            <w:tcW w:w="1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bottom w:val="single" w:sz="8" w:color="CEFFE7"/>
            </w:tcBorders>
            <w:vMerge w:val="restart"/>
          </w:tcPr>
          <w:p>
            <w:pPr>
              <w:jc w:val="right"/>
              <w:ind w:right="5"/>
              <w:spacing w:after="0"/>
              <w:rPr>
                <w:sz w:val="20"/>
                <w:szCs w:val="20"/>
                <w:color w:val="auto"/>
              </w:rPr>
            </w:pPr>
            <w:r>
              <w:rPr>
                <w:rFonts w:ascii="Times New Roman" w:cs="Times New Roman" w:eastAsia="Times New Roman" w:hAnsi="Times New Roman"/>
                <w:sz w:val="14"/>
                <w:szCs w:val="14"/>
                <w:color w:val="auto"/>
              </w:rPr>
              <w:t>68,733</w:t>
            </w:r>
          </w:p>
        </w:tc>
        <w:tc>
          <w:tcPr>
            <w:tcW w:w="20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bottom w:val="single" w:sz="8" w:color="CEFFE7"/>
            </w:tcBorders>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204,334</w:t>
            </w:r>
          </w:p>
        </w:tc>
        <w:tc>
          <w:tcPr>
            <w:tcW w:w="240" w:type="dxa"/>
            <w:vAlign w:val="bottom"/>
            <w:tcBorders>
              <w:top w:val="single" w:sz="8" w:color="CEFFE7"/>
            </w:tcBorders>
          </w:tcPr>
          <w:p>
            <w:pPr>
              <w:spacing w:after="0" w:line="20" w:lineRule="exact"/>
              <w:rPr>
                <w:sz w:val="1"/>
                <w:szCs w:val="1"/>
                <w:color w:val="auto"/>
              </w:rPr>
            </w:pPr>
          </w:p>
        </w:tc>
        <w:tc>
          <w:tcPr>
            <w:tcW w:w="520" w:type="dxa"/>
            <w:vAlign w:val="bottom"/>
            <w:tcBorders>
              <w:top w:val="single" w:sz="8" w:color="CEFFE7"/>
              <w:bottom w:val="single" w:sz="8" w:color="CEFFE7"/>
            </w:tcBorders>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199,398</w:t>
            </w: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40" w:type="dxa"/>
            <w:vAlign w:val="bottom"/>
          </w:tcPr>
          <w:p>
            <w:pPr>
              <w:spacing w:after="0"/>
              <w:rPr>
                <w:sz w:val="21"/>
                <w:szCs w:val="21"/>
                <w:color w:val="auto"/>
              </w:rPr>
            </w:pPr>
          </w:p>
        </w:tc>
        <w:tc>
          <w:tcPr>
            <w:tcW w:w="3900" w:type="dxa"/>
            <w:vAlign w:val="bottom"/>
            <w:tcBorders>
              <w:bottom w:val="single" w:sz="8" w:color="CEFFE7"/>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EFFE7"/>
            </w:tcBorders>
          </w:tcPr>
          <w:p>
            <w:pPr>
              <w:spacing w:after="0"/>
              <w:rPr>
                <w:sz w:val="21"/>
                <w:szCs w:val="21"/>
                <w:color w:val="auto"/>
              </w:rPr>
            </w:pPr>
          </w:p>
        </w:tc>
        <w:tc>
          <w:tcPr>
            <w:tcW w:w="360" w:type="dxa"/>
            <w:vAlign w:val="bottom"/>
            <w:tcBorders>
              <w:bottom w:val="single" w:sz="8" w:color="CEFFE7"/>
            </w:tcBorders>
          </w:tcPr>
          <w:p>
            <w:pPr>
              <w:spacing w:after="0"/>
              <w:rPr>
                <w:sz w:val="21"/>
                <w:szCs w:val="21"/>
                <w:color w:val="auto"/>
              </w:rPr>
            </w:pPr>
          </w:p>
        </w:tc>
        <w:tc>
          <w:tcPr>
            <w:tcW w:w="400" w:type="dxa"/>
            <w:vAlign w:val="bottom"/>
            <w:tcBorders>
              <w:bottom w:val="single" w:sz="8" w:color="CEFFE7"/>
            </w:tcBorders>
          </w:tcPr>
          <w:p>
            <w:pPr>
              <w:spacing w:after="0"/>
              <w:rPr>
                <w:sz w:val="21"/>
                <w:szCs w:val="21"/>
                <w:color w:val="auto"/>
              </w:rPr>
            </w:pPr>
          </w:p>
        </w:tc>
        <w:tc>
          <w:tcPr>
            <w:tcW w:w="900" w:type="dxa"/>
            <w:vAlign w:val="bottom"/>
            <w:tcBorders>
              <w:bottom w:val="single" w:sz="8" w:color="CEFFE7"/>
            </w:tcBorders>
          </w:tcPr>
          <w:p>
            <w:pPr>
              <w:spacing w:after="0"/>
              <w:rPr>
                <w:sz w:val="21"/>
                <w:szCs w:val="21"/>
                <w:color w:val="auto"/>
              </w:rPr>
            </w:pPr>
          </w:p>
        </w:tc>
        <w:tc>
          <w:tcPr>
            <w:tcW w:w="980" w:type="dxa"/>
            <w:vAlign w:val="bottom"/>
            <w:tcBorders>
              <w:bottom w:val="single" w:sz="8" w:color="CEFFE7"/>
            </w:tcBorders>
          </w:tcPr>
          <w:p>
            <w:pPr>
              <w:spacing w:after="0"/>
              <w:rPr>
                <w:sz w:val="21"/>
                <w:szCs w:val="21"/>
                <w:color w:val="auto"/>
              </w:rPr>
            </w:pPr>
          </w:p>
        </w:tc>
        <w:tc>
          <w:tcPr>
            <w:tcW w:w="860" w:type="dxa"/>
            <w:vAlign w:val="bottom"/>
            <w:tcBorders>
              <w:bottom w:val="single" w:sz="8" w:color="CEFFE7"/>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90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 xml:space="preserve">Gross Margin </w:t>
            </w:r>
            <w:r>
              <w:rPr>
                <w:rFonts w:ascii="Times New Roman" w:cs="Times New Roman" w:eastAsia="Times New Roman" w:hAnsi="Times New Roman"/>
                <w:sz w:val="21"/>
                <w:szCs w:val="21"/>
                <w:color w:val="auto"/>
                <w:vertAlign w:val="superscript"/>
              </w:rPr>
              <w:t>(a)</w:t>
            </w:r>
          </w:p>
        </w:tc>
        <w:tc>
          <w:tcPr>
            <w:tcW w:w="200" w:type="dxa"/>
            <w:vAlign w:val="bottom"/>
            <w:tcBorders>
              <w:bottom w:val="single" w:sz="8" w:color="auto"/>
            </w:tcBorders>
            <w:shd w:val="clear" w:color="auto" w:fill="CEFFE7"/>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EFFE7"/>
          </w:tcPr>
          <w:p>
            <w:pPr>
              <w:jc w:val="right"/>
              <w:ind w:right="6"/>
              <w:spacing w:after="0"/>
              <w:rPr>
                <w:sz w:val="20"/>
                <w:szCs w:val="20"/>
                <w:color w:val="auto"/>
              </w:rPr>
            </w:pPr>
            <w:r>
              <w:rPr>
                <w:rFonts w:ascii="Times New Roman" w:cs="Times New Roman" w:eastAsia="Times New Roman" w:hAnsi="Times New Roman"/>
                <w:sz w:val="14"/>
                <w:szCs w:val="14"/>
                <w:color w:val="auto"/>
              </w:rPr>
              <w:t>111,862</w:t>
            </w:r>
          </w:p>
        </w:tc>
        <w:tc>
          <w:tcPr>
            <w:tcW w:w="260" w:type="dxa"/>
            <w:vAlign w:val="bottom"/>
            <w:tcBorders>
              <w:bottom w:val="single" w:sz="8" w:color="auto"/>
            </w:tcBorders>
            <w:gridSpan w:val="2"/>
            <w:shd w:val="clear" w:color="auto" w:fill="CEFFE7"/>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EFFE7"/>
          </w:tcPr>
          <w:p>
            <w:pPr>
              <w:jc w:val="right"/>
              <w:ind w:right="5"/>
              <w:spacing w:after="0"/>
              <w:rPr>
                <w:sz w:val="20"/>
                <w:szCs w:val="20"/>
                <w:color w:val="auto"/>
              </w:rPr>
            </w:pPr>
            <w:r>
              <w:rPr>
                <w:rFonts w:ascii="Times New Roman" w:cs="Times New Roman" w:eastAsia="Times New Roman" w:hAnsi="Times New Roman"/>
                <w:sz w:val="14"/>
                <w:szCs w:val="14"/>
                <w:color w:val="auto"/>
              </w:rPr>
              <w:t>114,838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shd w:val="clear" w:color="auto" w:fill="CEFFE7"/>
          </w:tcPr>
          <w:p>
            <w:pPr>
              <w:jc w:val="right"/>
              <w:ind w:right="43"/>
              <w:spacing w:after="0"/>
              <w:rPr>
                <w:sz w:val="20"/>
                <w:szCs w:val="20"/>
                <w:color w:val="auto"/>
              </w:rPr>
            </w:pPr>
            <w:r>
              <w:rPr>
                <w:rFonts w:ascii="Times New Roman" w:cs="Times New Roman" w:eastAsia="Times New Roman" w:hAnsi="Times New Roman"/>
                <w:sz w:val="14"/>
                <w:szCs w:val="14"/>
                <w:color w:val="auto"/>
              </w:rPr>
              <w:t>327,627</w:t>
            </w:r>
          </w:p>
        </w:tc>
        <w:tc>
          <w:tcPr>
            <w:tcW w:w="240" w:type="dxa"/>
            <w:vAlign w:val="bottom"/>
            <w:tcBorders>
              <w:bottom w:val="single" w:sz="8" w:color="auto"/>
            </w:tcBorders>
            <w:shd w:val="clear" w:color="auto" w:fill="CEFFE7"/>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4"/>
                <w:szCs w:val="14"/>
                <w:color w:val="auto"/>
              </w:rPr>
              <w:t>328,650</w:t>
            </w:r>
          </w:p>
        </w:tc>
        <w:tc>
          <w:tcPr>
            <w:tcW w:w="100" w:type="dxa"/>
            <w:vAlign w:val="bottom"/>
            <w:tcBorders>
              <w:bottom w:val="single" w:sz="8" w:color="auto"/>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Non-GAAP measure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Electric Revenue (in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xml:space="preserve">Gross Margin </w:t>
            </w:r>
            <w:r>
              <w:rPr>
                <w:rFonts w:ascii="Times New Roman" w:cs="Times New Roman" w:eastAsia="Times New Roman" w:hAnsi="Times New Roman"/>
                <w:sz w:val="21"/>
                <w:szCs w:val="21"/>
                <w:color w:val="auto"/>
                <w:vertAlign w:val="superscript"/>
              </w:rPr>
              <w:t>(a)</w:t>
            </w: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(in</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6"/>
                <w:szCs w:val="16"/>
                <w:color w:val="auto"/>
              </w:rPr>
              <w:t>thousands)</w:t>
            </w: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84"/>
              <w:spacing w:after="0"/>
              <w:rPr>
                <w:sz w:val="20"/>
                <w:szCs w:val="20"/>
                <w:color w:val="auto"/>
              </w:rPr>
            </w:pPr>
            <w:r>
              <w:rPr>
                <w:rFonts w:ascii="Times New Roman" w:cs="Times New Roman" w:eastAsia="Times New Roman" w:hAnsi="Times New Roman"/>
                <w:sz w:val="16"/>
                <w:szCs w:val="16"/>
                <w:color w:val="auto"/>
              </w:rPr>
              <w:t>thousands)</w:t>
            </w:r>
          </w:p>
        </w:tc>
        <w:tc>
          <w:tcPr>
            <w:tcW w:w="184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99"/>
              </w:rPr>
              <w:t xml:space="preserve">Quantities Sold (MWh) </w:t>
            </w:r>
            <w:r>
              <w:rPr>
                <w:rFonts w:ascii="Times New Roman" w:cs="Times New Roman" w:eastAsia="Times New Roman" w:hAnsi="Times New Roman"/>
                <w:sz w:val="21"/>
                <w:szCs w:val="21"/>
                <w:color w:val="auto"/>
                <w:w w:val="99"/>
                <w:vertAlign w:val="superscript"/>
              </w:rPr>
              <w:t>(b)</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3"/>
          </w:tcPr>
          <w:p>
            <w:pPr>
              <w:jc w:val="right"/>
              <w:ind w:right="183"/>
              <w:spacing w:after="0"/>
              <w:rPr>
                <w:sz w:val="20"/>
                <w:szCs w:val="20"/>
                <w:color w:val="auto"/>
              </w:rPr>
            </w:pPr>
            <w:r>
              <w:rPr>
                <w:rFonts w:ascii="Times New Roman" w:cs="Times New Roman" w:eastAsia="Times New Roman" w:hAnsi="Times New Roman"/>
                <w:sz w:val="16"/>
                <w:szCs w:val="16"/>
                <w:color w:val="auto"/>
                <w:w w:val="93"/>
              </w:rPr>
              <w:t>2018</w:t>
            </w:r>
          </w:p>
        </w:tc>
        <w:tc>
          <w:tcPr>
            <w:tcW w:w="400" w:type="dxa"/>
            <w:vAlign w:val="bottom"/>
          </w:tcPr>
          <w:p>
            <w:pPr>
              <w:spacing w:after="0"/>
              <w:rPr>
                <w:sz w:val="20"/>
                <w:szCs w:val="20"/>
                <w:color w:val="auto"/>
              </w:rPr>
            </w:pPr>
          </w:p>
        </w:tc>
        <w:tc>
          <w:tcPr>
            <w:tcW w:w="900" w:type="dxa"/>
            <w:vAlign w:val="bottom"/>
          </w:tcPr>
          <w:p>
            <w:pPr>
              <w:jc w:val="right"/>
              <w:ind w:right="484"/>
              <w:spacing w:after="0"/>
              <w:rPr>
                <w:sz w:val="20"/>
                <w:szCs w:val="20"/>
                <w:color w:val="auto"/>
              </w:rPr>
            </w:pPr>
            <w:r>
              <w:rPr>
                <w:rFonts w:ascii="Times New Roman" w:cs="Times New Roman" w:eastAsia="Times New Roman" w:hAnsi="Times New Roman"/>
                <w:sz w:val="16"/>
                <w:szCs w:val="16"/>
                <w:color w:val="auto"/>
                <w:w w:val="99"/>
              </w:rPr>
              <w:t>2017</w:t>
            </w:r>
          </w:p>
        </w:tc>
        <w:tc>
          <w:tcPr>
            <w:tcW w:w="980" w:type="dxa"/>
            <w:vAlign w:val="bottom"/>
          </w:tcPr>
          <w:p>
            <w:pPr>
              <w:jc w:val="right"/>
              <w:ind w:right="384"/>
              <w:spacing w:after="0"/>
              <w:rPr>
                <w:sz w:val="20"/>
                <w:szCs w:val="20"/>
                <w:color w:val="auto"/>
              </w:rPr>
            </w:pPr>
            <w:r>
              <w:rPr>
                <w:rFonts w:ascii="Times New Roman" w:cs="Times New Roman" w:eastAsia="Times New Roman" w:hAnsi="Times New Roman"/>
                <w:sz w:val="16"/>
                <w:szCs w:val="16"/>
                <w:color w:val="auto"/>
              </w:rPr>
              <w:t>2018</w:t>
            </w:r>
          </w:p>
        </w:tc>
        <w:tc>
          <w:tcPr>
            <w:tcW w:w="86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South Dakota Electric</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78,067</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73,939</w:t>
            </w:r>
          </w:p>
        </w:tc>
        <w:tc>
          <w:tcPr>
            <w:tcW w:w="52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52,860</w:t>
            </w: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51,096</w:t>
            </w: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874,962</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835,285</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0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Wyoming Electric</w:t>
            </w:r>
          </w:p>
        </w:tc>
        <w:tc>
          <w:tcPr>
            <w:tcW w:w="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38,671</w:t>
            </w:r>
          </w:p>
        </w:tc>
        <w:tc>
          <w:tcPr>
            <w:tcW w:w="1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40,670</w:t>
            </w: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gridSpan w:val="3"/>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18,843</w:t>
            </w:r>
          </w:p>
        </w:tc>
        <w:tc>
          <w:tcPr>
            <w:tcW w:w="40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264"/>
              <w:spacing w:after="0"/>
              <w:rPr>
                <w:sz w:val="20"/>
                <w:szCs w:val="20"/>
                <w:color w:val="auto"/>
              </w:rPr>
            </w:pPr>
            <w:r>
              <w:rPr>
                <w:rFonts w:ascii="Times New Roman" w:cs="Times New Roman" w:eastAsia="Times New Roman" w:hAnsi="Times New Roman"/>
                <w:sz w:val="16"/>
                <w:szCs w:val="16"/>
                <w:color w:val="auto"/>
              </w:rPr>
              <w:t>22,990</w:t>
            </w:r>
          </w:p>
        </w:tc>
        <w:tc>
          <w:tcPr>
            <w:tcW w:w="980" w:type="dxa"/>
            <w:vAlign w:val="bottom"/>
            <w:tcBorders>
              <w:bottom w:val="single" w:sz="8" w:color="CEFFE7"/>
            </w:tcBorders>
            <w:shd w:val="clear" w:color="auto" w:fill="CEFFE7"/>
          </w:tcPr>
          <w:p>
            <w:pPr>
              <w:jc w:val="right"/>
              <w:ind w:right="144"/>
              <w:spacing w:after="0"/>
              <w:rPr>
                <w:sz w:val="20"/>
                <w:szCs w:val="20"/>
                <w:color w:val="auto"/>
              </w:rPr>
            </w:pPr>
            <w:r>
              <w:rPr>
                <w:rFonts w:ascii="Times New Roman" w:cs="Times New Roman" w:eastAsia="Times New Roman" w:hAnsi="Times New Roman"/>
                <w:sz w:val="16"/>
                <w:szCs w:val="16"/>
                <w:color w:val="auto"/>
              </w:rPr>
              <w:t>461,074</w:t>
            </w:r>
          </w:p>
        </w:tc>
        <w:tc>
          <w:tcPr>
            <w:tcW w:w="860" w:type="dxa"/>
            <w:vAlign w:val="bottom"/>
            <w:tcBorders>
              <w:bottom w:val="single" w:sz="8" w:color="CEFFE7"/>
            </w:tcBorders>
            <w:shd w:val="clear" w:color="auto" w:fill="CEFFE7"/>
          </w:tcPr>
          <w:p>
            <w:pPr>
              <w:jc w:val="right"/>
              <w:ind w:right="25"/>
              <w:spacing w:after="0"/>
              <w:rPr>
                <w:sz w:val="20"/>
                <w:szCs w:val="20"/>
                <w:color w:val="auto"/>
              </w:rPr>
            </w:pPr>
            <w:r>
              <w:rPr>
                <w:rFonts w:ascii="Times New Roman" w:cs="Times New Roman" w:eastAsia="Times New Roman" w:hAnsi="Times New Roman"/>
                <w:sz w:val="16"/>
                <w:szCs w:val="16"/>
                <w:color w:val="auto"/>
              </w:rPr>
              <w:t>434,945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Colorado Electric</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68,052</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40,159</w:t>
            </w:r>
          </w:p>
        </w:tc>
        <w:tc>
          <w:tcPr>
            <w:tcW w:w="400" w:type="dxa"/>
            <w:vAlign w:val="bottom"/>
          </w:tcPr>
          <w:p>
            <w:pPr>
              <w:spacing w:after="0"/>
              <w:rPr>
                <w:sz w:val="20"/>
                <w:szCs w:val="20"/>
                <w:color w:val="auto"/>
              </w:rPr>
            </w:pPr>
          </w:p>
        </w:tc>
        <w:tc>
          <w:tcPr>
            <w:tcW w:w="90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40,752</w:t>
            </w: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610,079</w:t>
            </w: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591,289</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Borders>
              <w:bottom w:val="single" w:sz="8" w:color="CEFFE7"/>
            </w:tcBorders>
            <w:gridSpan w:val="3"/>
          </w:tcPr>
          <w:p>
            <w:pPr>
              <w:spacing w:after="0"/>
              <w:rPr>
                <w:sz w:val="2"/>
                <w:szCs w:val="2"/>
                <w:color w:val="auto"/>
              </w:rPr>
            </w:pPr>
          </w:p>
        </w:tc>
        <w:tc>
          <w:tcPr>
            <w:tcW w:w="6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100" w:type="dxa"/>
            <w:vAlign w:val="bottom"/>
            <w:tcBorders>
              <w:bottom w:val="single" w:sz="8" w:color="CEFFE7"/>
            </w:tcBorders>
            <w:gridSpan w:val="3"/>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Electric Revenue, Gross Margin, and Quantities Sold</w:t>
            </w:r>
          </w:p>
        </w:tc>
        <w:tc>
          <w:tcPr>
            <w:tcW w:w="680" w:type="dxa"/>
            <w:vAlign w:val="bottom"/>
            <w:tcBorders>
              <w:bottom w:val="single" w:sz="8" w:color="CEFFE7"/>
            </w:tcBorders>
            <w:shd w:val="clear" w:color="auto" w:fill="CEFFE7"/>
          </w:tcPr>
          <w:p>
            <w:pPr>
              <w:spacing w:after="0"/>
              <w:rPr>
                <w:sz w:val="22"/>
                <w:szCs w:val="22"/>
                <w:color w:val="auto"/>
              </w:rPr>
            </w:pPr>
          </w:p>
        </w:tc>
        <w:tc>
          <w:tcPr>
            <w:tcW w:w="1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184,790</w:t>
            </w:r>
          </w:p>
        </w:tc>
        <w:tc>
          <w:tcPr>
            <w:tcW w:w="180" w:type="dxa"/>
            <w:vAlign w:val="bottom"/>
            <w:tcBorders>
              <w:bottom w:val="single" w:sz="8" w:color="auto"/>
            </w:tcBorders>
            <w:shd w:val="clear" w:color="auto" w:fill="CEFFE7"/>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2"/>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183,571</w:t>
            </w:r>
          </w:p>
        </w:tc>
        <w:tc>
          <w:tcPr>
            <w:tcW w:w="80" w:type="dxa"/>
            <w:vAlign w:val="bottom"/>
            <w:tcBorders>
              <w:bottom w:val="single" w:sz="8" w:color="auto"/>
            </w:tcBorders>
            <w:shd w:val="clear" w:color="auto" w:fill="CEFFE7"/>
          </w:tcPr>
          <w:p>
            <w:pPr>
              <w:spacing w:after="0"/>
              <w:rPr>
                <w:sz w:val="22"/>
                <w:szCs w:val="22"/>
                <w:color w:val="auto"/>
              </w:rPr>
            </w:pPr>
          </w:p>
        </w:tc>
        <w:tc>
          <w:tcPr>
            <w:tcW w:w="120" w:type="dxa"/>
            <w:vAlign w:val="bottom"/>
            <w:tcBorders>
              <w:bottom w:val="single" w:sz="8" w:color="CEFFE7"/>
            </w:tcBorders>
            <w:shd w:val="clear" w:color="auto" w:fill="CEFFE7"/>
          </w:tcPr>
          <w:p>
            <w:pPr>
              <w:spacing w:after="0"/>
              <w:rPr>
                <w:sz w:val="22"/>
                <w:szCs w:val="22"/>
                <w:color w:val="auto"/>
              </w:rPr>
            </w:pPr>
          </w:p>
        </w:tc>
        <w:tc>
          <w:tcPr>
            <w:tcW w:w="320" w:type="dxa"/>
            <w:vAlign w:val="bottom"/>
            <w:tcBorders>
              <w:bottom w:val="single" w:sz="8" w:color="auto"/>
            </w:tcBorders>
            <w:shd w:val="clear" w:color="auto" w:fill="CEFFE7"/>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gridSpan w:val="3"/>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111,862</w:t>
            </w:r>
          </w:p>
        </w:tc>
        <w:tc>
          <w:tcPr>
            <w:tcW w:w="400" w:type="dxa"/>
            <w:vAlign w:val="bottom"/>
            <w:tcBorders>
              <w:bottom w:val="single" w:sz="8" w:color="auto"/>
            </w:tcBorders>
            <w:shd w:val="clear" w:color="auto" w:fill="CEFFE7"/>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EFFE7"/>
          </w:tcPr>
          <w:p>
            <w:pPr>
              <w:jc w:val="right"/>
              <w:ind w:right="264"/>
              <w:spacing w:after="0"/>
              <w:rPr>
                <w:sz w:val="20"/>
                <w:szCs w:val="20"/>
                <w:color w:val="auto"/>
              </w:rPr>
            </w:pPr>
            <w:r>
              <w:rPr>
                <w:rFonts w:ascii="Times New Roman" w:cs="Times New Roman" w:eastAsia="Times New Roman" w:hAnsi="Times New Roman"/>
                <w:sz w:val="16"/>
                <w:szCs w:val="16"/>
                <w:color w:val="auto"/>
              </w:rPr>
              <w:t>114,838</w:t>
            </w:r>
          </w:p>
        </w:tc>
        <w:tc>
          <w:tcPr>
            <w:tcW w:w="980" w:type="dxa"/>
            <w:vAlign w:val="bottom"/>
            <w:tcBorders>
              <w:bottom w:val="single" w:sz="8" w:color="auto"/>
            </w:tcBorders>
            <w:shd w:val="clear" w:color="auto" w:fill="CEFFE7"/>
          </w:tcPr>
          <w:p>
            <w:pPr>
              <w:jc w:val="right"/>
              <w:ind w:right="144"/>
              <w:spacing w:after="0"/>
              <w:rPr>
                <w:sz w:val="20"/>
                <w:szCs w:val="20"/>
                <w:color w:val="auto"/>
              </w:rPr>
            </w:pPr>
            <w:r>
              <w:rPr>
                <w:rFonts w:ascii="Times New Roman" w:cs="Times New Roman" w:eastAsia="Times New Roman" w:hAnsi="Times New Roman"/>
                <w:sz w:val="16"/>
                <w:szCs w:val="16"/>
                <w:color w:val="auto"/>
              </w:rPr>
              <w:t>1,946,115</w:t>
            </w:r>
          </w:p>
        </w:tc>
        <w:tc>
          <w:tcPr>
            <w:tcW w:w="860" w:type="dxa"/>
            <w:vAlign w:val="bottom"/>
            <w:tcBorders>
              <w:bottom w:val="single" w:sz="8" w:color="auto"/>
            </w:tcBorders>
            <w:shd w:val="clear" w:color="auto" w:fill="CEFFE7"/>
          </w:tcPr>
          <w:p>
            <w:pPr>
              <w:jc w:val="right"/>
              <w:ind w:right="25"/>
              <w:spacing w:after="0"/>
              <w:rPr>
                <w:sz w:val="20"/>
                <w:szCs w:val="20"/>
                <w:color w:val="auto"/>
              </w:rPr>
            </w:pPr>
            <w:r>
              <w:rPr>
                <w:rFonts w:ascii="Times New Roman" w:cs="Times New Roman" w:eastAsia="Times New Roman" w:hAnsi="Times New Roman"/>
                <w:sz w:val="16"/>
                <w:szCs w:val="16"/>
                <w:color w:val="auto"/>
              </w:rPr>
              <w:t>1,861,519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w:t>
      </w:r>
    </w:p>
    <w:p>
      <w:pPr>
        <w:spacing w:after="0" w:line="9" w:lineRule="exact"/>
        <w:rPr>
          <w:rFonts w:ascii="Times New Roman" w:cs="Times New Roman" w:eastAsia="Times New Roman" w:hAnsi="Times New Roman"/>
          <w:sz w:val="16"/>
          <w:szCs w:val="16"/>
          <w:color w:val="auto"/>
        </w:rPr>
      </w:pPr>
    </w:p>
    <w:p>
      <w:pPr>
        <w:ind w:left="340" w:right="500" w:hanging="332"/>
        <w:spacing w:after="0" w:line="257"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MWh includes Other Uses, Losses or Generation, net, which are approximately 5%, 7%, and 7% for South Dakota Electric, Wyoming Electric, and Colorado Electric, respectively.</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Electric Revenue (in</w:t>
            </w:r>
          </w:p>
        </w:tc>
        <w:tc>
          <w:tcPr>
            <w:tcW w:w="220" w:type="dxa"/>
            <w:vAlign w:val="bottom"/>
          </w:tcPr>
          <w:p>
            <w:pPr>
              <w:spacing w:after="0"/>
              <w:rPr>
                <w:sz w:val="20"/>
                <w:szCs w:val="20"/>
                <w:color w:val="auto"/>
              </w:rPr>
            </w:pPr>
          </w:p>
        </w:tc>
        <w:tc>
          <w:tcPr>
            <w:tcW w:w="18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 xml:space="preserve">Gross Margin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(in</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220" w:type="dxa"/>
            <w:vAlign w:val="bottom"/>
          </w:tcPr>
          <w:p>
            <w:pPr>
              <w:spacing w:after="0"/>
              <w:rPr>
                <w:sz w:val="21"/>
                <w:szCs w:val="21"/>
                <w:color w:val="auto"/>
              </w:rPr>
            </w:pPr>
          </w:p>
        </w:tc>
        <w:tc>
          <w:tcPr>
            <w:tcW w:w="190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thousands)</w:t>
            </w:r>
          </w:p>
        </w:tc>
        <w:tc>
          <w:tcPr>
            <w:tcW w:w="220" w:type="dxa"/>
            <w:vAlign w:val="bottom"/>
          </w:tcPr>
          <w:p>
            <w:pPr>
              <w:spacing w:after="0"/>
              <w:rPr>
                <w:sz w:val="21"/>
                <w:szCs w:val="21"/>
                <w:color w:val="auto"/>
              </w:rPr>
            </w:pPr>
          </w:p>
        </w:tc>
        <w:tc>
          <w:tcPr>
            <w:tcW w:w="182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thousands)</w:t>
            </w:r>
          </w:p>
        </w:tc>
        <w:tc>
          <w:tcPr>
            <w:tcW w:w="20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Quantities Sold (MWh) </w:t>
            </w:r>
            <w:r>
              <w:rPr>
                <w:rFonts w:ascii="Times New Roman" w:cs="Times New Roman" w:eastAsia="Times New Roman" w:hAnsi="Times New Roman"/>
                <w:sz w:val="21"/>
                <w:szCs w:val="21"/>
                <w:color w:val="auto"/>
                <w:vertAlign w:val="superscript"/>
              </w:rPr>
              <w:t>(b)</w:t>
            </w:r>
          </w:p>
        </w:tc>
      </w:tr>
      <w:tr>
        <w:trPr>
          <w:trHeight w:val="231"/>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2017</w:t>
            </w:r>
          </w:p>
        </w:tc>
        <w:tc>
          <w:tcPr>
            <w:tcW w:w="10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2018</w:t>
            </w: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South Dakota Electric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222,558</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213,785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154,158</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149,182</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2,541,082</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2,399,995</w:t>
            </w: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Wyoming Electric</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120,466</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123,299</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62,489</w:t>
            </w:r>
          </w:p>
        </w:tc>
        <w:tc>
          <w:tcPr>
            <w:tcW w:w="2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68,215</w:t>
            </w:r>
          </w:p>
        </w:tc>
        <w:tc>
          <w:tcPr>
            <w:tcW w:w="1080" w:type="dxa"/>
            <w:vAlign w:val="bottom"/>
            <w:tcBorders>
              <w:bottom w:val="single" w:sz="8" w:color="CEFFE7"/>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1,365,932</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1,298,009</w:t>
            </w:r>
          </w:p>
        </w:tc>
      </w:tr>
      <w:tr>
        <w:trPr>
          <w:trHeight w:val="237"/>
        </w:trPr>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Colorado Electric</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188,937</w:t>
            </w:r>
          </w:p>
        </w:tc>
        <w:tc>
          <w:tcPr>
            <w:tcW w:w="26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190,964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110,980</w:t>
            </w:r>
          </w:p>
        </w:tc>
        <w:tc>
          <w:tcPr>
            <w:tcW w:w="2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111,253</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1,639,607</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1,574,643</w:t>
            </w: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Electric Revenue, Gross Margin, and Quantities Sold</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531,961</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EFFE7"/>
          </w:tcPr>
          <w:p>
            <w:pPr>
              <w:ind w:left="140"/>
              <w:spacing w:after="0"/>
              <w:rPr>
                <w:sz w:val="20"/>
                <w:szCs w:val="20"/>
                <w:color w:val="auto"/>
              </w:rPr>
            </w:pPr>
            <w:r>
              <w:rPr>
                <w:rFonts w:ascii="Times New Roman" w:cs="Times New Roman" w:eastAsia="Times New Roman" w:hAnsi="Times New Roman"/>
                <w:sz w:val="16"/>
                <w:szCs w:val="16"/>
                <w:color w:val="auto"/>
              </w:rPr>
              <w:t>528,048</w:t>
            </w:r>
          </w:p>
        </w:tc>
        <w:tc>
          <w:tcPr>
            <w:tcW w:w="12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327,627</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EFFE7"/>
          </w:tcPr>
          <w:p>
            <w:pPr>
              <w:jc w:val="right"/>
              <w:ind w:right="99"/>
              <w:spacing w:after="0"/>
              <w:rPr>
                <w:sz w:val="20"/>
                <w:szCs w:val="20"/>
                <w:color w:val="auto"/>
              </w:rPr>
            </w:pPr>
            <w:r>
              <w:rPr>
                <w:rFonts w:ascii="Times New Roman" w:cs="Times New Roman" w:eastAsia="Times New Roman" w:hAnsi="Times New Roman"/>
                <w:sz w:val="16"/>
                <w:szCs w:val="16"/>
                <w:color w:val="auto"/>
              </w:rPr>
              <w:t>328,650</w:t>
            </w:r>
          </w:p>
        </w:tc>
        <w:tc>
          <w:tcPr>
            <w:tcW w:w="1080" w:type="dxa"/>
            <w:vAlign w:val="bottom"/>
            <w:tcBorders>
              <w:bottom w:val="single" w:sz="8" w:color="auto"/>
            </w:tcBorders>
            <w:shd w:val="clear" w:color="auto" w:fill="CEFFE7"/>
          </w:tcPr>
          <w:p>
            <w:pPr>
              <w:jc w:val="right"/>
              <w:ind w:right="79"/>
              <w:spacing w:after="0"/>
              <w:rPr>
                <w:sz w:val="20"/>
                <w:szCs w:val="20"/>
                <w:color w:val="auto"/>
              </w:rPr>
            </w:pPr>
            <w:r>
              <w:rPr>
                <w:rFonts w:ascii="Times New Roman" w:cs="Times New Roman" w:eastAsia="Times New Roman" w:hAnsi="Times New Roman"/>
                <w:sz w:val="16"/>
                <w:szCs w:val="16"/>
                <w:color w:val="auto"/>
              </w:rPr>
              <w:t>5,546,621</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5,272,647</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w:t>
      </w:r>
    </w:p>
    <w:p>
      <w:pPr>
        <w:spacing w:after="0" w:line="9" w:lineRule="exact"/>
        <w:rPr>
          <w:rFonts w:ascii="Times New Roman" w:cs="Times New Roman" w:eastAsia="Times New Roman" w:hAnsi="Times New Roman"/>
          <w:sz w:val="16"/>
          <w:szCs w:val="16"/>
          <w:color w:val="auto"/>
        </w:rPr>
      </w:pPr>
    </w:p>
    <w:p>
      <w:pPr>
        <w:ind w:left="340" w:right="500" w:hanging="332"/>
        <w:spacing w:after="0" w:line="257"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MWh includes Other Uses, Losses or Generation, net, which are approximately 5%, 6%, and 7% for South Dakota Electric, Wyoming Electric, and Colorado Electric, respectively.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565" w:right="259" w:bottom="1440" w:gutter="0" w:footer="0" w:header="0"/>
        </w:sectPr>
      </w:pPr>
    </w:p>
    <w:bookmarkStart w:id="48" w:name="page49"/>
    <w:bookmarkEnd w:id="48"/>
    <w:tbl>
      <w:tblPr>
        <w:tblLayout w:type="fixed"/>
        <w:tblInd w:w="34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Three Months Ended</w:t>
            </w:r>
          </w:p>
        </w:tc>
        <w:tc>
          <w:tcPr>
            <w:tcW w:w="24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5760" w:type="dxa"/>
            <w:vAlign w:val="bottom"/>
          </w:tcPr>
          <w:p>
            <w:pPr>
              <w:spacing w:after="0"/>
              <w:rPr>
                <w:sz w:val="18"/>
                <w:szCs w:val="18"/>
                <w:color w:val="auto"/>
              </w:rPr>
            </w:pPr>
          </w:p>
        </w:tc>
        <w:tc>
          <w:tcPr>
            <w:tcW w:w="18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September 30,</w:t>
            </w:r>
          </w:p>
        </w:tc>
        <w:tc>
          <w:tcPr>
            <w:tcW w:w="1040" w:type="dxa"/>
            <w:vAlign w:val="bottom"/>
          </w:tcPr>
          <w:p>
            <w:pPr>
              <w:spacing w:after="0"/>
              <w:rPr>
                <w:sz w:val="18"/>
                <w:szCs w:val="18"/>
                <w:color w:val="auto"/>
              </w:rPr>
            </w:pPr>
          </w:p>
        </w:tc>
        <w:tc>
          <w:tcPr>
            <w:tcW w:w="16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September 30,</w:t>
            </w:r>
          </w:p>
        </w:tc>
        <w:tc>
          <w:tcPr>
            <w:tcW w:w="820" w:type="dxa"/>
            <w:vAlign w:val="bottom"/>
          </w:tcPr>
          <w:p>
            <w:pPr>
              <w:spacing w:after="0"/>
              <w:rPr>
                <w:sz w:val="18"/>
                <w:szCs w:val="18"/>
                <w:color w:val="auto"/>
              </w:rPr>
            </w:pPr>
          </w:p>
        </w:tc>
      </w:tr>
      <w:tr>
        <w:trPr>
          <w:trHeight w:val="257"/>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Quantities Generated and Purchased (MWh)</w:t>
            </w:r>
          </w:p>
        </w:tc>
        <w:tc>
          <w:tcPr>
            <w:tcW w:w="18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2017</w:t>
            </w:r>
          </w:p>
        </w:tc>
        <w:tc>
          <w:tcPr>
            <w:tcW w:w="16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3"/>
              </w:rPr>
              <w:t>2017</w:t>
            </w:r>
          </w:p>
        </w:tc>
      </w:tr>
      <w:tr>
        <w:trPr>
          <w:trHeight w:val="33"/>
        </w:trPr>
        <w:tc>
          <w:tcPr>
            <w:tcW w:w="5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5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7"/>
        </w:trPr>
        <w:tc>
          <w:tcPr>
            <w:tcW w:w="57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Coal-fired</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608,417</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625,590</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1,772,750</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1,663,935</w:t>
            </w:r>
          </w:p>
        </w:tc>
      </w:tr>
      <w:tr>
        <w:trPr>
          <w:trHeight w:val="224"/>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Natural Gas and Oil</w:t>
            </w: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199,351</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156,465</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345,978</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249,065</w:t>
            </w:r>
          </w:p>
        </w:tc>
      </w:tr>
      <w:tr>
        <w:trPr>
          <w:trHeight w:val="33"/>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Wind</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54,450</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38,773</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196,932</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167,429</w:t>
            </w:r>
          </w:p>
        </w:tc>
      </w:tr>
      <w:tr>
        <w:trPr>
          <w:trHeight w:val="217"/>
        </w:trPr>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Generated</w:t>
            </w:r>
          </w:p>
        </w:tc>
        <w:tc>
          <w:tcPr>
            <w:tcW w:w="18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862,218</w:t>
            </w:r>
          </w:p>
        </w:tc>
        <w:tc>
          <w:tcPr>
            <w:tcW w:w="10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820,828</w:t>
            </w:r>
          </w:p>
        </w:tc>
        <w:tc>
          <w:tcPr>
            <w:tcW w:w="16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2,315,660</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2,080,429</w:t>
            </w:r>
          </w:p>
        </w:tc>
      </w:tr>
      <w:tr>
        <w:trPr>
          <w:trHeight w:val="33"/>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Purchased</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1,083,897</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1,040,691</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3,230,961</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3,192,218</w:t>
            </w:r>
          </w:p>
        </w:tc>
      </w:tr>
      <w:tr>
        <w:trPr>
          <w:trHeight w:val="244"/>
        </w:trPr>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Generated and Purchased</w:t>
            </w:r>
          </w:p>
        </w:tc>
        <w:tc>
          <w:tcPr>
            <w:tcW w:w="18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1,946,115</w:t>
            </w:r>
          </w:p>
        </w:tc>
        <w:tc>
          <w:tcPr>
            <w:tcW w:w="10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1,861,519</w:t>
            </w:r>
          </w:p>
        </w:tc>
        <w:tc>
          <w:tcPr>
            <w:tcW w:w="16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5,546,621</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5,272,647</w:t>
            </w:r>
          </w:p>
        </w:tc>
      </w:tr>
      <w:tr>
        <w:trPr>
          <w:trHeight w:val="20"/>
        </w:trPr>
        <w:tc>
          <w:tcPr>
            <w:tcW w:w="5760" w:type="dxa"/>
            <w:vAlign w:val="bottom"/>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r>
      <w:tr>
        <w:trPr>
          <w:trHeight w:val="527"/>
        </w:trPr>
        <w:tc>
          <w:tcPr>
            <w:tcW w:w="5760" w:type="dxa"/>
            <w:vAlign w:val="bottom"/>
          </w:tcPr>
          <w:p>
            <w:pPr>
              <w:spacing w:after="0"/>
              <w:rPr>
                <w:sz w:val="24"/>
                <w:szCs w:val="24"/>
                <w:color w:val="auto"/>
              </w:rPr>
            </w:pPr>
          </w:p>
        </w:tc>
        <w:tc>
          <w:tcPr>
            <w:tcW w:w="28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Three Months Ended</w:t>
            </w:r>
          </w:p>
        </w:tc>
        <w:tc>
          <w:tcPr>
            <w:tcW w:w="24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5760" w:type="dxa"/>
            <w:vAlign w:val="bottom"/>
          </w:tcPr>
          <w:p>
            <w:pPr>
              <w:spacing w:after="0"/>
              <w:rPr>
                <w:sz w:val="18"/>
                <w:szCs w:val="18"/>
                <w:color w:val="auto"/>
              </w:rPr>
            </w:pPr>
          </w:p>
        </w:tc>
        <w:tc>
          <w:tcPr>
            <w:tcW w:w="182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September 30,</w:t>
            </w:r>
          </w:p>
        </w:tc>
        <w:tc>
          <w:tcPr>
            <w:tcW w:w="1040" w:type="dxa"/>
            <w:vAlign w:val="bottom"/>
          </w:tcPr>
          <w:p>
            <w:pPr>
              <w:spacing w:after="0"/>
              <w:rPr>
                <w:sz w:val="18"/>
                <w:szCs w:val="18"/>
                <w:color w:val="auto"/>
              </w:rPr>
            </w:pPr>
          </w:p>
        </w:tc>
        <w:tc>
          <w:tcPr>
            <w:tcW w:w="16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September 30,</w:t>
            </w:r>
          </w:p>
        </w:tc>
        <w:tc>
          <w:tcPr>
            <w:tcW w:w="820" w:type="dxa"/>
            <w:vAlign w:val="bottom"/>
          </w:tcPr>
          <w:p>
            <w:pPr>
              <w:spacing w:after="0"/>
              <w:rPr>
                <w:sz w:val="18"/>
                <w:szCs w:val="18"/>
                <w:color w:val="auto"/>
              </w:rPr>
            </w:pPr>
          </w:p>
        </w:tc>
      </w:tr>
      <w:tr>
        <w:trPr>
          <w:trHeight w:val="257"/>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Quantities Generated and Purchased (MWh)</w:t>
            </w:r>
          </w:p>
        </w:tc>
        <w:tc>
          <w:tcPr>
            <w:tcW w:w="18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2017</w:t>
            </w:r>
          </w:p>
        </w:tc>
        <w:tc>
          <w:tcPr>
            <w:tcW w:w="16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3"/>
              </w:rPr>
              <w:t>2017</w:t>
            </w:r>
          </w:p>
        </w:tc>
      </w:tr>
      <w:tr>
        <w:trPr>
          <w:trHeight w:val="33"/>
        </w:trPr>
        <w:tc>
          <w:tcPr>
            <w:tcW w:w="5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Generated:</w:t>
            </w: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South Dakota Electric</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469,680</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478,232</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1,293,713</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1,177,131</w:t>
            </w:r>
          </w:p>
        </w:tc>
      </w:tr>
      <w:tr>
        <w:trPr>
          <w:trHeight w:val="224"/>
        </w:trPr>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Wyoming Electric</w:t>
            </w: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229,262</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227,391</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633,696</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601,780</w:t>
            </w:r>
          </w:p>
        </w:tc>
      </w:tr>
      <w:tr>
        <w:trPr>
          <w:trHeight w:val="33"/>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Colorado Electric</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163,276</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115,205</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388,251</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301,518</w:t>
            </w:r>
          </w:p>
        </w:tc>
      </w:tr>
      <w:tr>
        <w:trPr>
          <w:trHeight w:val="217"/>
        </w:trPr>
        <w:tc>
          <w:tcPr>
            <w:tcW w:w="5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Generated</w:t>
            </w:r>
          </w:p>
        </w:tc>
        <w:tc>
          <w:tcPr>
            <w:tcW w:w="18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862,218</w:t>
            </w:r>
          </w:p>
        </w:tc>
        <w:tc>
          <w:tcPr>
            <w:tcW w:w="10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820,828</w:t>
            </w:r>
          </w:p>
        </w:tc>
        <w:tc>
          <w:tcPr>
            <w:tcW w:w="16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2,315,660</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2,080,429</w:t>
            </w:r>
          </w:p>
        </w:tc>
      </w:tr>
      <w:tr>
        <w:trPr>
          <w:trHeight w:val="33"/>
        </w:trPr>
        <w:tc>
          <w:tcPr>
            <w:tcW w:w="576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Purchased:</w:t>
            </w:r>
          </w:p>
        </w:tc>
        <w:tc>
          <w:tcPr>
            <w:tcW w:w="18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r>
      <w:tr>
        <w:trPr>
          <w:trHeight w:val="224"/>
        </w:trPr>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 Dakota Electric</w:t>
            </w: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405,282</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357,053</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1,247,369</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1,222,864</w:t>
            </w:r>
          </w:p>
        </w:tc>
      </w:tr>
      <w:tr>
        <w:trPr>
          <w:trHeight w:val="33"/>
        </w:trPr>
        <w:tc>
          <w:tcPr>
            <w:tcW w:w="5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Wyoming Electric</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231,812</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207,554</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732,236</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696,229</w:t>
            </w:r>
          </w:p>
        </w:tc>
      </w:tr>
      <w:tr>
        <w:trPr>
          <w:trHeight w:val="224"/>
        </w:trPr>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Colorado Electric</w:t>
            </w:r>
          </w:p>
        </w:tc>
        <w:tc>
          <w:tcPr>
            <w:tcW w:w="18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446,803</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476,084</w:t>
            </w:r>
          </w:p>
        </w:tc>
        <w:tc>
          <w:tcPr>
            <w:tcW w:w="16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1,251,356</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1,273,125</w:t>
            </w:r>
          </w:p>
        </w:tc>
      </w:tr>
      <w:tr>
        <w:trPr>
          <w:trHeight w:val="33"/>
        </w:trPr>
        <w:tc>
          <w:tcPr>
            <w:tcW w:w="576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EFFE7"/>
            </w:tcBorders>
            <w:shd w:val="clear" w:color="auto" w:fill="CEFFE7"/>
          </w:tcPr>
          <w:p>
            <w:pPr>
              <w:ind w:left="500"/>
              <w:spacing w:after="0"/>
              <w:rPr>
                <w:sz w:val="20"/>
                <w:szCs w:val="20"/>
                <w:color w:val="auto"/>
              </w:rPr>
            </w:pPr>
            <w:r>
              <w:rPr>
                <w:rFonts w:ascii="Times New Roman" w:cs="Times New Roman" w:eastAsia="Times New Roman" w:hAnsi="Times New Roman"/>
                <w:sz w:val="16"/>
                <w:szCs w:val="16"/>
                <w:color w:val="auto"/>
              </w:rPr>
              <w:t>Total Purchased</w:t>
            </w: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1,083,897</w:t>
            </w:r>
          </w:p>
        </w:tc>
        <w:tc>
          <w:tcPr>
            <w:tcW w:w="1040" w:type="dxa"/>
            <w:vAlign w:val="bottom"/>
            <w:tcBorders>
              <w:bottom w:val="single" w:sz="8" w:color="CEFFE7"/>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1,040,691</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3,230,961</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3,192,218</w:t>
            </w:r>
          </w:p>
        </w:tc>
      </w:tr>
      <w:tr>
        <w:trPr>
          <w:trHeight w:val="223"/>
        </w:trPr>
        <w:tc>
          <w:tcPr>
            <w:tcW w:w="576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50"/>
        </w:trPr>
        <w:tc>
          <w:tcPr>
            <w:tcW w:w="57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Generated and Purchased</w:t>
            </w:r>
          </w:p>
        </w:tc>
        <w:tc>
          <w:tcPr>
            <w:tcW w:w="1820" w:type="dxa"/>
            <w:vAlign w:val="bottom"/>
            <w:tcBorders>
              <w:bottom w:val="single" w:sz="8" w:color="auto"/>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1,946,115</w:t>
            </w:r>
          </w:p>
        </w:tc>
        <w:tc>
          <w:tcPr>
            <w:tcW w:w="1040" w:type="dxa"/>
            <w:vAlign w:val="bottom"/>
            <w:tcBorders>
              <w:bottom w:val="single" w:sz="8" w:color="auto"/>
            </w:tcBorders>
            <w:shd w:val="clear" w:color="auto" w:fill="CEFFE7"/>
          </w:tcPr>
          <w:p>
            <w:pPr>
              <w:jc w:val="right"/>
              <w:ind w:right="219"/>
              <w:spacing w:after="0"/>
              <w:rPr>
                <w:sz w:val="20"/>
                <w:szCs w:val="20"/>
                <w:color w:val="auto"/>
              </w:rPr>
            </w:pPr>
            <w:r>
              <w:rPr>
                <w:rFonts w:ascii="Times New Roman" w:cs="Times New Roman" w:eastAsia="Times New Roman" w:hAnsi="Times New Roman"/>
                <w:sz w:val="16"/>
                <w:szCs w:val="16"/>
                <w:color w:val="auto"/>
              </w:rPr>
              <w:t>1,861,519</w:t>
            </w:r>
          </w:p>
        </w:tc>
        <w:tc>
          <w:tcPr>
            <w:tcW w:w="1620" w:type="dxa"/>
            <w:vAlign w:val="bottom"/>
            <w:tcBorders>
              <w:bottom w:val="single" w:sz="8" w:color="auto"/>
            </w:tcBorders>
            <w:shd w:val="clear" w:color="auto" w:fill="CEFFE7"/>
          </w:tcPr>
          <w:p>
            <w:pPr>
              <w:jc w:val="right"/>
              <w:ind w:right="519"/>
              <w:spacing w:after="0"/>
              <w:rPr>
                <w:sz w:val="20"/>
                <w:szCs w:val="20"/>
                <w:color w:val="auto"/>
              </w:rPr>
            </w:pPr>
            <w:r>
              <w:rPr>
                <w:rFonts w:ascii="Times New Roman" w:cs="Times New Roman" w:eastAsia="Times New Roman" w:hAnsi="Times New Roman"/>
                <w:sz w:val="16"/>
                <w:szCs w:val="16"/>
                <w:color w:val="auto"/>
              </w:rPr>
              <w:t>5,546,621</w:t>
            </w: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5,272,647</w:t>
            </w:r>
          </w:p>
        </w:tc>
      </w:tr>
      <w:tr>
        <w:trPr>
          <w:trHeight w:val="20"/>
        </w:trPr>
        <w:tc>
          <w:tcPr>
            <w:tcW w:w="57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40" w:type="dxa"/>
            <w:vAlign w:val="bottom"/>
            <w:gridSpan w:val="2"/>
          </w:tcPr>
          <w:p>
            <w:pPr>
              <w:jc w:val="center"/>
              <w:ind w:left="125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0"/>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Degree Days</w:t>
            </w:r>
          </w:p>
        </w:tc>
        <w:tc>
          <w:tcPr>
            <w:tcW w:w="660" w:type="dxa"/>
            <w:vAlign w:val="bottom"/>
          </w:tcPr>
          <w:p>
            <w:pPr>
              <w:spacing w:after="0"/>
              <w:rPr>
                <w:sz w:val="23"/>
                <w:szCs w:val="23"/>
                <w:color w:val="auto"/>
              </w:rPr>
            </w:pPr>
          </w:p>
        </w:tc>
        <w:tc>
          <w:tcPr>
            <w:tcW w:w="1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2018</w:t>
            </w:r>
          </w:p>
        </w:tc>
        <w:tc>
          <w:tcPr>
            <w:tcW w:w="2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8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2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9"/>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Variance from</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Actual Variance to Prior</w:t>
            </w:r>
          </w:p>
        </w:tc>
        <w:tc>
          <w:tcPr>
            <w:tcW w:w="1180" w:type="dxa"/>
            <w:vAlign w:val="bottom"/>
          </w:tcPr>
          <w:p>
            <w:pPr>
              <w:spacing w:after="0"/>
              <w:rPr>
                <w:sz w:val="18"/>
                <w:szCs w:val="18"/>
                <w:color w:val="auto"/>
              </w:rPr>
            </w:pPr>
          </w:p>
        </w:tc>
        <w:tc>
          <w:tcPr>
            <w:tcW w:w="19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Variance from</w:t>
            </w:r>
          </w:p>
        </w:tc>
      </w:tr>
      <w:tr>
        <w:trPr>
          <w:trHeight w:val="210"/>
        </w:trPr>
        <w:tc>
          <w:tcPr>
            <w:tcW w:w="2360" w:type="dxa"/>
            <w:vAlign w:val="bottom"/>
          </w:tcPr>
          <w:p>
            <w:pPr>
              <w:spacing w:after="0"/>
              <w:rPr>
                <w:sz w:val="18"/>
                <w:szCs w:val="18"/>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Actual</w:t>
            </w:r>
          </w:p>
        </w:tc>
        <w:tc>
          <w:tcPr>
            <w:tcW w:w="660" w:type="dxa"/>
            <w:vAlign w:val="bottom"/>
          </w:tcPr>
          <w:p>
            <w:pPr>
              <w:spacing w:after="0"/>
              <w:rPr>
                <w:sz w:val="18"/>
                <w:szCs w:val="18"/>
                <w:color w:val="auto"/>
              </w:rPr>
            </w:pPr>
          </w:p>
        </w:tc>
        <w:tc>
          <w:tcPr>
            <w:tcW w:w="1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30-Year Average</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w w:val="96"/>
              </w:rPr>
              <w:t>Year</w:t>
            </w: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Actual</w:t>
            </w:r>
          </w:p>
        </w:tc>
        <w:tc>
          <w:tcPr>
            <w:tcW w:w="1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30-Year Average</w:t>
            </w:r>
          </w:p>
        </w:tc>
      </w:tr>
      <w:tr>
        <w:trPr>
          <w:trHeight w:val="33"/>
        </w:trPr>
        <w:tc>
          <w:tcPr>
            <w:tcW w:w="236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Heating Degree Days:</w:t>
            </w:r>
          </w:p>
        </w:tc>
        <w:tc>
          <w:tcPr>
            <w:tcW w:w="66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22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35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South Dakota Electric</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236</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5 %</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17%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2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40" w:type="dxa"/>
            <w:vAlign w:val="bottom"/>
            <w:tcBorders>
              <w:bottom w:val="single" w:sz="8" w:color="CEFFE7"/>
            </w:tcBorders>
            <w:gridSpan w:val="2"/>
            <w:shd w:val="clear" w:color="auto" w:fill="CEFFE7"/>
          </w:tcPr>
          <w:p>
            <w:pPr>
              <w:ind w:left="420"/>
              <w:spacing w:after="0"/>
              <w:rPr>
                <w:sz w:val="20"/>
                <w:szCs w:val="20"/>
                <w:color w:val="auto"/>
              </w:rPr>
            </w:pPr>
            <w:r>
              <w:rPr>
                <w:rFonts w:ascii="Times New Roman" w:cs="Times New Roman" w:eastAsia="Times New Roman" w:hAnsi="Times New Roman"/>
                <w:sz w:val="16"/>
                <w:szCs w:val="16"/>
                <w:color w:val="auto"/>
              </w:rPr>
              <w:t>Wyoming Electric</w:t>
            </w:r>
          </w:p>
        </w:tc>
        <w:tc>
          <w:tcPr>
            <w:tcW w:w="66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248</w:t>
            </w:r>
          </w:p>
        </w:tc>
        <w:tc>
          <w:tcPr>
            <w:tcW w:w="17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60" w:type="dxa"/>
            <w:vAlign w:val="bottom"/>
            <w:tcBorders>
              <w:bottom w:val="single" w:sz="8" w:color="CEFFE7"/>
            </w:tcBorders>
            <w:shd w:val="clear" w:color="auto" w:fill="CEFFE7"/>
          </w:tcPr>
          <w:p>
            <w:pPr>
              <w:jc w:val="center"/>
              <w:ind w:right="399"/>
              <w:spacing w:after="0"/>
              <w:rPr>
                <w:sz w:val="20"/>
                <w:szCs w:val="20"/>
                <w:color w:val="auto"/>
              </w:rPr>
            </w:pPr>
            <w:r>
              <w:rPr>
                <w:rFonts w:ascii="Times New Roman" w:cs="Times New Roman" w:eastAsia="Times New Roman" w:hAnsi="Times New Roman"/>
                <w:sz w:val="16"/>
                <w:szCs w:val="16"/>
                <w:color w:val="auto"/>
              </w:rPr>
              <w:t>(15)%</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35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Colorado Electric</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(60)%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2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540" w:type="dxa"/>
            <w:vAlign w:val="bottom"/>
            <w:gridSpan w:val="2"/>
            <w:shd w:val="clear" w:color="auto" w:fill="CEFFE7"/>
          </w:tcPr>
          <w:p>
            <w:pPr>
              <w:ind w:left="72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60" w:type="dxa"/>
            <w:vAlign w:val="bottom"/>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147</w:t>
            </w:r>
          </w:p>
        </w:tc>
        <w:tc>
          <w:tcPr>
            <w:tcW w:w="17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60" w:type="dxa"/>
            <w:vAlign w:val="bottom"/>
            <w:shd w:val="clear" w:color="auto" w:fill="CEFFE7"/>
          </w:tcPr>
          <w:p>
            <w:pPr>
              <w:jc w:val="center"/>
              <w:ind w:right="399"/>
              <w:spacing w:after="0"/>
              <w:rPr>
                <w:sz w:val="20"/>
                <w:szCs w:val="20"/>
                <w:color w:val="auto"/>
              </w:rPr>
            </w:pPr>
            <w:r>
              <w:rPr>
                <w:rFonts w:ascii="Times New Roman" w:cs="Times New Roman" w:eastAsia="Times New Roman" w:hAnsi="Times New Roman"/>
                <w:sz w:val="16"/>
                <w:szCs w:val="16"/>
                <w:color w:val="auto"/>
              </w:rPr>
              <w:t>(13)%</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24"/>
        </w:trPr>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Cooling Degree Days:</w:t>
            </w:r>
          </w:p>
        </w:tc>
        <w:tc>
          <w:tcPr>
            <w:tcW w:w="66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22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35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South Dakota Electric</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356</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(40)%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33"/>
        </w:trPr>
        <w:tc>
          <w:tcPr>
            <w:tcW w:w="2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40" w:type="dxa"/>
            <w:vAlign w:val="bottom"/>
            <w:tcBorders>
              <w:bottom w:val="single" w:sz="8" w:color="CEFFE7"/>
            </w:tcBorders>
            <w:gridSpan w:val="2"/>
            <w:shd w:val="clear" w:color="auto" w:fill="CEFFE7"/>
          </w:tcPr>
          <w:p>
            <w:pPr>
              <w:ind w:left="420"/>
              <w:spacing w:after="0"/>
              <w:rPr>
                <w:sz w:val="20"/>
                <w:szCs w:val="20"/>
                <w:color w:val="auto"/>
              </w:rPr>
            </w:pPr>
            <w:r>
              <w:rPr>
                <w:rFonts w:ascii="Times New Roman" w:cs="Times New Roman" w:eastAsia="Times New Roman" w:hAnsi="Times New Roman"/>
                <w:sz w:val="16"/>
                <w:szCs w:val="16"/>
                <w:color w:val="auto"/>
              </w:rPr>
              <w:t>Wyoming Electric</w:t>
            </w:r>
          </w:p>
        </w:tc>
        <w:tc>
          <w:tcPr>
            <w:tcW w:w="66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328</w:t>
            </w:r>
          </w:p>
        </w:tc>
        <w:tc>
          <w:tcPr>
            <w:tcW w:w="1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2260" w:type="dxa"/>
            <w:vAlign w:val="bottom"/>
            <w:tcBorders>
              <w:bottom w:val="single" w:sz="8" w:color="CEFFE7"/>
            </w:tcBorders>
            <w:shd w:val="clear" w:color="auto" w:fill="CEFFE7"/>
          </w:tcPr>
          <w:p>
            <w:pPr>
              <w:jc w:val="center"/>
              <w:ind w:right="399"/>
              <w:spacing w:after="0"/>
              <w:rPr>
                <w:sz w:val="20"/>
                <w:szCs w:val="20"/>
                <w:color w:val="auto"/>
              </w:rPr>
            </w:pPr>
            <w:r>
              <w:rPr>
                <w:rFonts w:ascii="Times New Roman" w:cs="Times New Roman" w:eastAsia="Times New Roman" w:hAnsi="Times New Roman"/>
                <w:sz w:val="16"/>
                <w:szCs w:val="16"/>
                <w:color w:val="auto"/>
              </w:rPr>
              <w:t>(15)%</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7"/>
        </w:trPr>
        <w:tc>
          <w:tcPr>
            <w:tcW w:w="35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Colorado Electric</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910</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33 %</w:t>
            </w:r>
          </w:p>
        </w:tc>
        <w:tc>
          <w:tcPr>
            <w:tcW w:w="226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33"/>
        </w:trPr>
        <w:tc>
          <w:tcPr>
            <w:tcW w:w="2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540" w:type="dxa"/>
            <w:vAlign w:val="bottom"/>
            <w:gridSpan w:val="2"/>
            <w:shd w:val="clear" w:color="auto" w:fill="CEFFE7"/>
          </w:tcPr>
          <w:p>
            <w:pPr>
              <w:ind w:left="72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660" w:type="dxa"/>
            <w:vAlign w:val="bottom"/>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603</w:t>
            </w:r>
          </w:p>
        </w:tc>
        <w:tc>
          <w:tcPr>
            <w:tcW w:w="178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9 %</w:t>
            </w:r>
          </w:p>
        </w:tc>
        <w:tc>
          <w:tcPr>
            <w:tcW w:w="2260" w:type="dxa"/>
            <w:vAlign w:val="bottom"/>
            <w:shd w:val="clear" w:color="auto" w:fill="CEFFE7"/>
          </w:tcPr>
          <w:p>
            <w:pPr>
              <w:jc w:val="center"/>
              <w:ind w:right="399"/>
              <w:spacing w:after="0"/>
              <w:rPr>
                <w:sz w:val="20"/>
                <w:szCs w:val="20"/>
                <w:color w:val="auto"/>
              </w:rPr>
            </w:pPr>
            <w:r>
              <w:rPr>
                <w:rFonts w:ascii="Times New Roman" w:cs="Times New Roman" w:eastAsia="Times New Roman" w:hAnsi="Times New Roman"/>
                <w:sz w:val="16"/>
                <w:szCs w:val="16"/>
                <w:color w:val="auto"/>
              </w:rPr>
              <w:t>(6)%</w:t>
            </w:r>
          </w:p>
        </w:tc>
        <w:tc>
          <w:tcPr>
            <w:tcW w:w="11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9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19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Combined actuals are calculated based on the weighted average number of total customers by state.</w:t>
      </w:r>
    </w:p>
    <w:p>
      <w:pPr>
        <w:spacing w:after="0" w:line="225"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747"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60" w:type="dxa"/>
            <w:vAlign w:val="bottom"/>
            <w:gridSpan w:val="2"/>
          </w:tcPr>
          <w:p>
            <w:pPr>
              <w:jc w:val="center"/>
              <w:ind w:left="155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Degree Days</w:t>
            </w:r>
          </w:p>
        </w:tc>
        <w:tc>
          <w:tcPr>
            <w:tcW w:w="500" w:type="dxa"/>
            <w:vAlign w:val="bottom"/>
          </w:tcPr>
          <w:p>
            <w:pPr>
              <w:spacing w:after="0"/>
              <w:rPr>
                <w:sz w:val="23"/>
                <w:szCs w:val="23"/>
                <w:color w:val="auto"/>
              </w:rPr>
            </w:pPr>
          </w:p>
        </w:tc>
        <w:tc>
          <w:tcPr>
            <w:tcW w:w="200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w w:val="93"/>
              </w:rPr>
              <w:t>2018</w:t>
            </w:r>
          </w:p>
        </w:tc>
        <w:tc>
          <w:tcPr>
            <w:tcW w:w="2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6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Variance from</w:t>
            </w:r>
          </w:p>
        </w:tc>
        <w:tc>
          <w:tcPr>
            <w:tcW w:w="216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Actual Variance to Prior</w:t>
            </w:r>
          </w:p>
        </w:tc>
        <w:tc>
          <w:tcPr>
            <w:tcW w:w="1280" w:type="dxa"/>
            <w:vAlign w:val="bottom"/>
          </w:tcPr>
          <w:p>
            <w:pPr>
              <w:spacing w:after="0"/>
              <w:rPr>
                <w:sz w:val="18"/>
                <w:szCs w:val="18"/>
                <w:color w:val="auto"/>
              </w:rPr>
            </w:pPr>
          </w:p>
        </w:tc>
        <w:tc>
          <w:tcPr>
            <w:tcW w:w="19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Variance from</w:t>
            </w: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Actual</w:t>
            </w:r>
          </w:p>
        </w:tc>
        <w:tc>
          <w:tcPr>
            <w:tcW w:w="500" w:type="dxa"/>
            <w:vAlign w:val="bottom"/>
          </w:tcPr>
          <w:p>
            <w:pPr>
              <w:spacing w:after="0"/>
              <w:rPr>
                <w:sz w:val="18"/>
                <w:szCs w:val="18"/>
                <w:color w:val="auto"/>
              </w:rPr>
            </w:pPr>
          </w:p>
        </w:tc>
        <w:tc>
          <w:tcPr>
            <w:tcW w:w="20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30-Year Average</w:t>
            </w:r>
          </w:p>
        </w:tc>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w w:val="96"/>
              </w:rPr>
              <w:t>Year</w:t>
            </w: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Actual</w:t>
            </w:r>
          </w:p>
        </w:tc>
        <w:tc>
          <w:tcPr>
            <w:tcW w:w="1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30-Year Average</w:t>
            </w:r>
          </w:p>
        </w:tc>
      </w:tr>
      <w:tr>
        <w:trPr>
          <w:trHeight w:val="33"/>
        </w:trPr>
        <w:tc>
          <w:tcPr>
            <w:tcW w:w="20" w:type="dxa"/>
            <w:vAlign w:val="bottom"/>
          </w:tcPr>
          <w:p>
            <w:pPr>
              <w:spacing w:after="0"/>
              <w:rPr>
                <w:sz w:val="2"/>
                <w:szCs w:val="2"/>
                <w:color w:val="auto"/>
              </w:rPr>
            </w:pPr>
          </w:p>
        </w:tc>
        <w:tc>
          <w:tcPr>
            <w:tcW w:w="236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Heating Degree Days:</w:t>
            </w:r>
          </w:p>
        </w:tc>
        <w:tc>
          <w:tcPr>
            <w:tcW w:w="5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21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South Dakota Electric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11 %</w:t>
            </w:r>
          </w:p>
        </w:tc>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17%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2"/>
            <w:shd w:val="clear" w:color="auto" w:fill="CEFFE7"/>
          </w:tcPr>
          <w:p>
            <w:pPr>
              <w:ind w:left="400"/>
              <w:spacing w:after="0"/>
              <w:rPr>
                <w:sz w:val="20"/>
                <w:szCs w:val="20"/>
                <w:color w:val="auto"/>
              </w:rPr>
            </w:pPr>
            <w:r>
              <w:rPr>
                <w:rFonts w:ascii="Times New Roman" w:cs="Times New Roman" w:eastAsia="Times New Roman" w:hAnsi="Times New Roman"/>
                <w:sz w:val="16"/>
                <w:szCs w:val="16"/>
                <w:color w:val="auto"/>
              </w:rPr>
              <w:t>Wyoming Electric</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20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2160" w:type="dxa"/>
            <w:vAlign w:val="bottom"/>
            <w:tcBorders>
              <w:bottom w:val="single" w:sz="8" w:color="CEFFE7"/>
            </w:tcBorders>
            <w:shd w:val="clear" w:color="auto" w:fill="CEFFE7"/>
          </w:tcPr>
          <w:p>
            <w:pPr>
              <w:jc w:val="center"/>
              <w:ind w:right="299"/>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Colorado Electric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9 %</w:t>
            </w:r>
          </w:p>
        </w:tc>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80" w:type="dxa"/>
            <w:vAlign w:val="bottom"/>
            <w:gridSpan w:val="2"/>
            <w:shd w:val="clear" w:color="auto" w:fill="CEFFE7"/>
          </w:tcPr>
          <w:p>
            <w:pPr>
              <w:ind w:left="70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5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0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5 %</w:t>
            </w:r>
          </w:p>
        </w:tc>
        <w:tc>
          <w:tcPr>
            <w:tcW w:w="2160" w:type="dxa"/>
            <w:vAlign w:val="bottom"/>
            <w:shd w:val="clear" w:color="auto" w:fill="CEFFE7"/>
          </w:tcPr>
          <w:p>
            <w:pPr>
              <w:jc w:val="center"/>
              <w:ind w:right="299"/>
              <w:spacing w:after="0"/>
              <w:rPr>
                <w:sz w:val="20"/>
                <w:szCs w:val="20"/>
                <w:color w:val="auto"/>
              </w:rPr>
            </w:pPr>
            <w:r>
              <w:rPr>
                <w:rFonts w:ascii="Times New Roman" w:cs="Times New Roman" w:eastAsia="Times New Roman" w:hAnsi="Times New Roman"/>
                <w:sz w:val="16"/>
                <w:szCs w:val="16"/>
                <w:color w:val="auto"/>
              </w:rPr>
              <w:t>9%</w:t>
            </w: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1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24"/>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Cooling Degree Days:</w:t>
            </w:r>
          </w:p>
        </w:tc>
        <w:tc>
          <w:tcPr>
            <w:tcW w:w="5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21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South Dakota Electric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16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2"/>
            <w:shd w:val="clear" w:color="auto" w:fill="CEFFE7"/>
          </w:tcPr>
          <w:p>
            <w:pPr>
              <w:ind w:left="400"/>
              <w:spacing w:after="0"/>
              <w:rPr>
                <w:sz w:val="20"/>
                <w:szCs w:val="20"/>
                <w:color w:val="auto"/>
              </w:rPr>
            </w:pPr>
            <w:r>
              <w:rPr>
                <w:rFonts w:ascii="Times New Roman" w:cs="Times New Roman" w:eastAsia="Times New Roman" w:hAnsi="Times New Roman"/>
                <w:sz w:val="16"/>
                <w:szCs w:val="16"/>
                <w:color w:val="auto"/>
              </w:rPr>
              <w:t>Wyoming Electric</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0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24 %</w:t>
            </w:r>
          </w:p>
        </w:tc>
        <w:tc>
          <w:tcPr>
            <w:tcW w:w="2160" w:type="dxa"/>
            <w:vAlign w:val="bottom"/>
            <w:tcBorders>
              <w:bottom w:val="single" w:sz="8" w:color="CEFFE7"/>
            </w:tcBorders>
            <w:shd w:val="clear" w:color="auto" w:fill="CEFFE7"/>
          </w:tcPr>
          <w:p>
            <w:pPr>
              <w:jc w:val="center"/>
              <w:ind w:right="2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Colorado Electric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57 %</w:t>
            </w:r>
          </w:p>
        </w:tc>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37%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80" w:type="dxa"/>
            <w:vAlign w:val="bottom"/>
            <w:gridSpan w:val="2"/>
            <w:shd w:val="clear" w:color="auto" w:fill="CEFFE7"/>
          </w:tcPr>
          <w:p>
            <w:pPr>
              <w:ind w:left="700"/>
              <w:spacing w:after="0"/>
              <w:rPr>
                <w:sz w:val="20"/>
                <w:szCs w:val="20"/>
                <w:color w:val="auto"/>
              </w:rPr>
            </w:pPr>
            <w:r>
              <w:rPr>
                <w:rFonts w:ascii="Times New Roman" w:cs="Times New Roman" w:eastAsia="Times New Roman" w:hAnsi="Times New Roman"/>
                <w:sz w:val="16"/>
                <w:szCs w:val="16"/>
                <w:color w:val="auto"/>
              </w:rPr>
              <w:t xml:space="preserve">Combined </w:t>
            </w:r>
            <w:r>
              <w:rPr>
                <w:rFonts w:ascii="Times New Roman" w:cs="Times New Roman" w:eastAsia="Times New Roman" w:hAnsi="Times New Roman"/>
                <w:sz w:val="21"/>
                <w:szCs w:val="21"/>
                <w:color w:val="auto"/>
                <w:vertAlign w:val="superscript"/>
              </w:rPr>
              <w:t>(a)</w:t>
            </w:r>
          </w:p>
        </w:tc>
        <w:tc>
          <w:tcPr>
            <w:tcW w:w="5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000" w:type="dxa"/>
            <w:vAlign w:val="bottom"/>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29 %</w:t>
            </w:r>
          </w:p>
        </w:tc>
        <w:tc>
          <w:tcPr>
            <w:tcW w:w="2160" w:type="dxa"/>
            <w:vAlign w:val="bottom"/>
            <w:shd w:val="clear" w:color="auto" w:fill="CEFFE7"/>
          </w:tcPr>
          <w:p>
            <w:pPr>
              <w:jc w:val="center"/>
              <w:ind w:right="299"/>
              <w:spacing w:after="0"/>
              <w:rPr>
                <w:sz w:val="20"/>
                <w:szCs w:val="20"/>
                <w:color w:val="auto"/>
              </w:rPr>
            </w:pPr>
            <w:r>
              <w:rPr>
                <w:rFonts w:ascii="Times New Roman" w:cs="Times New Roman" w:eastAsia="Times New Roman" w:hAnsi="Times New Roman"/>
                <w:sz w:val="16"/>
                <w:szCs w:val="16"/>
                <w:color w:val="auto"/>
              </w:rPr>
              <w:t>12%</w:t>
            </w:r>
          </w:p>
        </w:tc>
        <w:tc>
          <w:tcPr>
            <w:tcW w:w="12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175"/>
        </w:trPr>
        <w:tc>
          <w:tcPr>
            <w:tcW w:w="20" w:type="dxa"/>
            <w:vAlign w:val="bottom"/>
          </w:tcPr>
          <w:p>
            <w:pPr>
              <w:spacing w:after="0"/>
              <w:rPr>
                <w:sz w:val="15"/>
                <w:szCs w:val="15"/>
                <w:color w:val="auto"/>
              </w:rPr>
            </w:pPr>
          </w:p>
        </w:tc>
        <w:tc>
          <w:tcPr>
            <w:tcW w:w="2360" w:type="dxa"/>
            <w:vAlign w:val="bottom"/>
          </w:tcPr>
          <w:p>
            <w:pPr>
              <w:jc w:val="right"/>
              <w:ind w:right="1479"/>
              <w:spacing w:after="0" w:line="175" w:lineRule="exact"/>
              <w:rPr>
                <w:sz w:val="20"/>
                <w:szCs w:val="20"/>
                <w:color w:val="auto"/>
              </w:rPr>
            </w:pPr>
            <w:r>
              <w:rPr>
                <w:rFonts w:ascii="Times New Roman" w:cs="Times New Roman" w:eastAsia="Times New Roman" w:hAnsi="Times New Roman"/>
                <w:sz w:val="16"/>
                <w:szCs w:val="16"/>
                <w:color w:val="auto"/>
                <w:w w:val="97"/>
              </w:rPr>
              <w:t>__________</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10"/>
        </w:trPr>
        <w:tc>
          <w:tcPr>
            <w:tcW w:w="8160" w:type="dxa"/>
            <w:vAlign w:val="bottom"/>
            <w:gridSpan w:val="6"/>
          </w:tcPr>
          <w:p>
            <w:pPr>
              <w:jc w:val="right"/>
              <w:ind w:right="1299"/>
              <w:spacing w:after="0"/>
              <w:rPr>
                <w:sz w:val="20"/>
                <w:szCs w:val="20"/>
                <w:color w:val="auto"/>
              </w:rPr>
            </w:pPr>
            <w:r>
              <w:rPr>
                <w:rFonts w:ascii="Times New Roman" w:cs="Times New Roman" w:eastAsia="Times New Roman" w:hAnsi="Times New Roman"/>
                <w:sz w:val="16"/>
                <w:szCs w:val="16"/>
                <w:color w:val="auto"/>
              </w:rPr>
              <w:t>(a)  Combined actuals are calculated based on the weighted average number of total customers by state.</w:t>
            </w: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67"/>
        </w:trPr>
        <w:tc>
          <w:tcPr>
            <w:tcW w:w="20" w:type="dxa"/>
            <w:vAlign w:val="bottom"/>
          </w:tcPr>
          <w:p>
            <w:pPr>
              <w:spacing w:after="0"/>
              <w:rPr>
                <w:sz w:val="24"/>
                <w:szCs w:val="24"/>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Electric Utilities Power Plant Availability</w:t>
            </w:r>
          </w:p>
        </w:tc>
        <w:tc>
          <w:tcPr>
            <w:tcW w:w="500" w:type="dxa"/>
            <w:vAlign w:val="bottom"/>
          </w:tcPr>
          <w:p>
            <w:pPr>
              <w:spacing w:after="0"/>
              <w:rPr>
                <w:sz w:val="24"/>
                <w:szCs w:val="24"/>
                <w:color w:val="auto"/>
              </w:rPr>
            </w:pPr>
          </w:p>
        </w:tc>
        <w:tc>
          <w:tcPr>
            <w:tcW w:w="4160" w:type="dxa"/>
            <w:vAlign w:val="bottom"/>
            <w:gridSpan w:val="2"/>
          </w:tcPr>
          <w:p>
            <w:pPr>
              <w:jc w:val="right"/>
              <w:ind w:right="103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24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33"/>
        </w:trPr>
        <w:tc>
          <w:tcPr>
            <w:tcW w:w="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2018</w:t>
            </w:r>
          </w:p>
        </w:tc>
        <w:tc>
          <w:tcPr>
            <w:tcW w:w="216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rPr>
              <w:t>2017</w:t>
            </w:r>
          </w:p>
        </w:tc>
        <w:tc>
          <w:tcPr>
            <w:tcW w:w="128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2018</w:t>
            </w:r>
          </w:p>
        </w:tc>
        <w:tc>
          <w:tcPr>
            <w:tcW w:w="196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20" w:type="dxa"/>
            <w:vAlign w:val="bottom"/>
            <w:tcBorders>
              <w:bottom w:val="single" w:sz="8" w:color="CEFFE7"/>
            </w:tcBorders>
          </w:tcPr>
          <w:p>
            <w:pPr>
              <w:spacing w:after="0"/>
              <w:rPr>
                <w:sz w:val="2"/>
                <w:szCs w:val="2"/>
                <w:color w:val="auto"/>
              </w:rPr>
            </w:pPr>
          </w:p>
        </w:tc>
        <w:tc>
          <w:tcPr>
            <w:tcW w:w="3480" w:type="dxa"/>
            <w:vAlign w:val="bottom"/>
            <w:tcBorders>
              <w:bottom w:val="single" w:sz="8" w:color="CEFFE7"/>
            </w:tcBorders>
            <w:gridSpan w:val="2"/>
          </w:tcPr>
          <w:p>
            <w:pPr>
              <w:spacing w:after="0"/>
              <w:rPr>
                <w:sz w:val="2"/>
                <w:szCs w:val="2"/>
                <w:color w:val="auto"/>
              </w:rPr>
            </w:pPr>
          </w:p>
        </w:tc>
        <w:tc>
          <w:tcPr>
            <w:tcW w:w="500" w:type="dxa"/>
            <w:vAlign w:val="bottom"/>
            <w:tcBorders>
              <w:bottom w:val="single" w:sz="8" w:color="CEFFE7"/>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EFFE7"/>
          </w:tcPr>
          <w:p>
            <w:pPr>
              <w:spacing w:after="0"/>
              <w:rPr>
                <w:sz w:val="22"/>
                <w:szCs w:val="22"/>
                <w:color w:val="auto"/>
              </w:rPr>
            </w:pPr>
          </w:p>
        </w:tc>
        <w:tc>
          <w:tcPr>
            <w:tcW w:w="3480" w:type="dxa"/>
            <w:vAlign w:val="bottom"/>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 xml:space="preserve">Coal-fired plants </w:t>
            </w:r>
            <w:r>
              <w:rPr>
                <w:rFonts w:ascii="Times New Roman" w:cs="Times New Roman" w:eastAsia="Times New Roman" w:hAnsi="Times New Roman"/>
                <w:sz w:val="21"/>
                <w:szCs w:val="21"/>
                <w:color w:val="auto"/>
                <w:vertAlign w:val="superscript"/>
              </w:rPr>
              <w:t>(a)</w:t>
            </w:r>
          </w:p>
        </w:tc>
        <w:tc>
          <w:tcPr>
            <w:tcW w:w="500" w:type="dxa"/>
            <w:vAlign w:val="bottom"/>
            <w:shd w:val="clear" w:color="auto" w:fill="CEFFE7"/>
          </w:tcPr>
          <w:p>
            <w:pPr>
              <w:spacing w:after="0"/>
              <w:rPr>
                <w:sz w:val="22"/>
                <w:szCs w:val="22"/>
                <w:color w:val="auto"/>
              </w:rPr>
            </w:pPr>
          </w:p>
        </w:tc>
        <w:tc>
          <w:tcPr>
            <w:tcW w:w="2000" w:type="dxa"/>
            <w:vAlign w:val="bottom"/>
            <w:shd w:val="clear" w:color="auto" w:fill="CEFFE7"/>
          </w:tcPr>
          <w:p>
            <w:pPr>
              <w:jc w:val="right"/>
              <w:ind w:right="439"/>
              <w:spacing w:after="0"/>
              <w:rPr>
                <w:sz w:val="20"/>
                <w:szCs w:val="20"/>
                <w:color w:val="auto"/>
              </w:rPr>
            </w:pPr>
            <w:r>
              <w:rPr>
                <w:rFonts w:ascii="Times New Roman" w:cs="Times New Roman" w:eastAsia="Times New Roman" w:hAnsi="Times New Roman"/>
                <w:sz w:val="16"/>
                <w:szCs w:val="16"/>
                <w:color w:val="auto"/>
              </w:rPr>
              <w:t>95.7%</w:t>
            </w:r>
          </w:p>
        </w:tc>
        <w:tc>
          <w:tcPr>
            <w:tcW w:w="2160" w:type="dxa"/>
            <w:vAlign w:val="bottom"/>
            <w:shd w:val="clear" w:color="auto" w:fill="CEFFE7"/>
          </w:tcPr>
          <w:p>
            <w:pPr>
              <w:jc w:val="right"/>
              <w:ind w:right="759"/>
              <w:spacing w:after="0"/>
              <w:rPr>
                <w:sz w:val="20"/>
                <w:szCs w:val="20"/>
                <w:color w:val="auto"/>
              </w:rPr>
            </w:pPr>
            <w:r>
              <w:rPr>
                <w:rFonts w:ascii="Times New Roman" w:cs="Times New Roman" w:eastAsia="Times New Roman" w:hAnsi="Times New Roman"/>
                <w:sz w:val="16"/>
                <w:szCs w:val="16"/>
                <w:color w:val="auto"/>
              </w:rPr>
              <w:t>98.3%</w:t>
            </w:r>
          </w:p>
        </w:tc>
        <w:tc>
          <w:tcPr>
            <w:tcW w:w="1280" w:type="dxa"/>
            <w:vAlign w:val="bottom"/>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94.0%</w:t>
            </w:r>
          </w:p>
        </w:tc>
        <w:tc>
          <w:tcPr>
            <w:tcW w:w="1960" w:type="dxa"/>
            <w:vAlign w:val="bottom"/>
            <w:shd w:val="clear" w:color="auto" w:fill="CEFFE7"/>
          </w:tcPr>
          <w:p>
            <w:pPr>
              <w:jc w:val="right"/>
              <w:ind w:right="299"/>
              <w:spacing w:after="0"/>
              <w:rPr>
                <w:sz w:val="20"/>
                <w:szCs w:val="20"/>
                <w:color w:val="auto"/>
              </w:rPr>
            </w:pPr>
            <w:r>
              <w:rPr>
                <w:rFonts w:ascii="Times New Roman" w:cs="Times New Roman" w:eastAsia="Times New Roman" w:hAnsi="Times New Roman"/>
                <w:sz w:val="16"/>
                <w:szCs w:val="16"/>
                <w:color w:val="auto"/>
              </w:rPr>
              <w:t>88.1%</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Natural gas-fired plants and Other plants</w:t>
            </w:r>
          </w:p>
        </w:tc>
        <w:tc>
          <w:tcPr>
            <w:tcW w:w="500" w:type="dxa"/>
            <w:vAlign w:val="bottom"/>
          </w:tcPr>
          <w:p>
            <w:pPr>
              <w:spacing w:after="0"/>
              <w:rPr>
                <w:sz w:val="20"/>
                <w:szCs w:val="20"/>
                <w:color w:val="auto"/>
              </w:rPr>
            </w:pPr>
          </w:p>
        </w:tc>
        <w:tc>
          <w:tcPr>
            <w:tcW w:w="20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97.0%</w:t>
            </w:r>
          </w:p>
        </w:tc>
        <w:tc>
          <w:tcPr>
            <w:tcW w:w="21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94.6%</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97.2%</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95.8%</w:t>
            </w:r>
          </w:p>
        </w:tc>
      </w:tr>
      <w:tr>
        <w:trPr>
          <w:trHeight w:val="33"/>
        </w:trPr>
        <w:tc>
          <w:tcPr>
            <w:tcW w:w="2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6"/>
                <w:szCs w:val="16"/>
                <w:color w:val="auto"/>
              </w:rPr>
              <w:t>Wind</w:t>
            </w:r>
          </w:p>
        </w:tc>
        <w:tc>
          <w:tcPr>
            <w:tcW w:w="5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439"/>
              <w:spacing w:after="0"/>
              <w:rPr>
                <w:sz w:val="20"/>
                <w:szCs w:val="20"/>
                <w:color w:val="auto"/>
              </w:rPr>
            </w:pPr>
            <w:r>
              <w:rPr>
                <w:rFonts w:ascii="Times New Roman" w:cs="Times New Roman" w:eastAsia="Times New Roman" w:hAnsi="Times New Roman"/>
                <w:sz w:val="16"/>
                <w:szCs w:val="16"/>
                <w:color w:val="auto"/>
              </w:rPr>
              <w:t>96.9%</w:t>
            </w:r>
          </w:p>
        </w:tc>
        <w:tc>
          <w:tcPr>
            <w:tcW w:w="2160" w:type="dxa"/>
            <w:vAlign w:val="bottom"/>
            <w:tcBorders>
              <w:bottom w:val="single" w:sz="8" w:color="CEFFE7"/>
            </w:tcBorders>
            <w:shd w:val="clear" w:color="auto" w:fill="CEFFE7"/>
          </w:tcPr>
          <w:p>
            <w:pPr>
              <w:jc w:val="right"/>
              <w:ind w:right="759"/>
              <w:spacing w:after="0"/>
              <w:rPr>
                <w:sz w:val="20"/>
                <w:szCs w:val="20"/>
                <w:color w:val="auto"/>
              </w:rPr>
            </w:pPr>
            <w:r>
              <w:rPr>
                <w:rFonts w:ascii="Times New Roman" w:cs="Times New Roman" w:eastAsia="Times New Roman" w:hAnsi="Times New Roman"/>
                <w:sz w:val="16"/>
                <w:szCs w:val="16"/>
                <w:color w:val="auto"/>
              </w:rPr>
              <w:t>91.0%</w:t>
            </w:r>
          </w:p>
        </w:tc>
        <w:tc>
          <w:tcPr>
            <w:tcW w:w="1280" w:type="dxa"/>
            <w:vAlign w:val="bottom"/>
            <w:tcBorders>
              <w:bottom w:val="single" w:sz="8" w:color="CEFFE7"/>
            </w:tcBorders>
            <w:shd w:val="clear" w:color="auto" w:fill="CEFFE7"/>
          </w:tcPr>
          <w:p>
            <w:pPr>
              <w:jc w:val="right"/>
              <w:ind w:right="179"/>
              <w:spacing w:after="0"/>
              <w:rPr>
                <w:sz w:val="20"/>
                <w:szCs w:val="20"/>
                <w:color w:val="auto"/>
              </w:rPr>
            </w:pPr>
            <w:r>
              <w:rPr>
                <w:rFonts w:ascii="Times New Roman" w:cs="Times New Roman" w:eastAsia="Times New Roman" w:hAnsi="Times New Roman"/>
                <w:sz w:val="16"/>
                <w:szCs w:val="16"/>
                <w:color w:val="auto"/>
              </w:rPr>
              <w:t>96.9%</w:t>
            </w:r>
          </w:p>
        </w:tc>
        <w:tc>
          <w:tcPr>
            <w:tcW w:w="1960" w:type="dxa"/>
            <w:vAlign w:val="bottom"/>
            <w:tcBorders>
              <w:bottom w:val="single" w:sz="8" w:color="CEFFE7"/>
            </w:tcBorders>
            <w:shd w:val="clear" w:color="auto" w:fill="CEFFE7"/>
          </w:tcPr>
          <w:p>
            <w:pPr>
              <w:jc w:val="right"/>
              <w:ind w:right="299"/>
              <w:spacing w:after="0"/>
              <w:rPr>
                <w:sz w:val="20"/>
                <w:szCs w:val="20"/>
                <w:color w:val="auto"/>
              </w:rPr>
            </w:pPr>
            <w:r>
              <w:rPr>
                <w:rFonts w:ascii="Times New Roman" w:cs="Times New Roman" w:eastAsia="Times New Roman" w:hAnsi="Times New Roman"/>
                <w:sz w:val="16"/>
                <w:szCs w:val="16"/>
                <w:color w:val="auto"/>
              </w:rPr>
              <w:t>92.0%</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availability</w:t>
            </w:r>
          </w:p>
        </w:tc>
        <w:tc>
          <w:tcPr>
            <w:tcW w:w="500" w:type="dxa"/>
            <w:vAlign w:val="bottom"/>
          </w:tcPr>
          <w:p>
            <w:pPr>
              <w:spacing w:after="0"/>
              <w:rPr>
                <w:sz w:val="20"/>
                <w:szCs w:val="20"/>
                <w:color w:val="auto"/>
              </w:rPr>
            </w:pPr>
          </w:p>
        </w:tc>
        <w:tc>
          <w:tcPr>
            <w:tcW w:w="20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96.6%</w:t>
            </w:r>
          </w:p>
        </w:tc>
        <w:tc>
          <w:tcPr>
            <w:tcW w:w="21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95.5%</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96.1%</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93.0%</w:t>
            </w:r>
          </w:p>
        </w:tc>
      </w:tr>
      <w:tr>
        <w:trPr>
          <w:trHeight w:val="33"/>
        </w:trPr>
        <w:tc>
          <w:tcPr>
            <w:tcW w:w="2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0"/>
        </w:trPr>
        <w:tc>
          <w:tcPr>
            <w:tcW w:w="20" w:type="dxa"/>
            <w:vAlign w:val="bottom"/>
            <w:shd w:val="clear" w:color="auto" w:fill="CEFFE7"/>
          </w:tcPr>
          <w:p>
            <w:pPr>
              <w:spacing w:after="0"/>
              <w:rPr>
                <w:sz w:val="19"/>
                <w:szCs w:val="19"/>
                <w:color w:val="auto"/>
              </w:rPr>
            </w:pPr>
          </w:p>
        </w:tc>
        <w:tc>
          <w:tcPr>
            <w:tcW w:w="3480" w:type="dxa"/>
            <w:vAlign w:val="bottom"/>
            <w:gridSpan w:val="2"/>
            <w:shd w:val="clear" w:color="auto" w:fill="CEFFE7"/>
          </w:tcPr>
          <w:p>
            <w:pPr>
              <w:spacing w:after="0"/>
              <w:rPr>
                <w:sz w:val="19"/>
                <w:szCs w:val="19"/>
                <w:color w:val="auto"/>
              </w:rPr>
            </w:pPr>
          </w:p>
        </w:tc>
        <w:tc>
          <w:tcPr>
            <w:tcW w:w="50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216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1960" w:type="dxa"/>
            <w:vAlign w:val="bottom"/>
            <w:shd w:val="clear" w:color="auto" w:fill="CEFFE7"/>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Wind capacity factor</w:t>
            </w:r>
          </w:p>
        </w:tc>
        <w:tc>
          <w:tcPr>
            <w:tcW w:w="500" w:type="dxa"/>
            <w:vAlign w:val="bottom"/>
          </w:tcPr>
          <w:p>
            <w:pPr>
              <w:spacing w:after="0"/>
              <w:rPr>
                <w:sz w:val="20"/>
                <w:szCs w:val="20"/>
                <w:color w:val="auto"/>
              </w:rPr>
            </w:pPr>
          </w:p>
        </w:tc>
        <w:tc>
          <w:tcPr>
            <w:tcW w:w="20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33.1%</w:t>
            </w:r>
          </w:p>
        </w:tc>
        <w:tc>
          <w:tcPr>
            <w:tcW w:w="21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23.6%</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41.8%</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34.3%</w:t>
            </w:r>
          </w:p>
        </w:tc>
      </w:tr>
      <w:tr>
        <w:trPr>
          <w:trHeight w:val="226"/>
        </w:trPr>
        <w:tc>
          <w:tcPr>
            <w:tcW w:w="2380" w:type="dxa"/>
            <w:vAlign w:val="bottom"/>
            <w:gridSpan w:val="2"/>
          </w:tcPr>
          <w:p>
            <w:pPr>
              <w:jc w:val="right"/>
              <w:ind w:right="1479"/>
              <w:spacing w:after="0"/>
              <w:rPr>
                <w:sz w:val="20"/>
                <w:szCs w:val="20"/>
                <w:color w:val="auto"/>
              </w:rPr>
            </w:pPr>
            <w:r>
              <w:rPr>
                <w:rFonts w:ascii="Times New Roman" w:cs="Times New Roman" w:eastAsia="Times New Roman" w:hAnsi="Times New Roman"/>
                <w:sz w:val="16"/>
                <w:szCs w:val="16"/>
                <w:color w:val="auto"/>
                <w:w w:val="99"/>
              </w:rPr>
              <w:t>__________</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2017 included planned outages at Neil Simpson II, Wygen II and Wygen III.</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2017 Annual Report on Form 10-K filed with the SEC.</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882"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 Utilities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4"/>
                <w:szCs w:val="24"/>
                <w:color w:val="auto"/>
              </w:rPr>
            </w:pPr>
          </w:p>
        </w:tc>
        <w:tc>
          <w:tcPr>
            <w:tcW w:w="348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6"/>
                <w:szCs w:val="16"/>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6"/>
                <w:szCs w:val="16"/>
                <w:color w:val="auto"/>
              </w:rPr>
              <w:t>Variance</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Natural gas — regulated</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117,070</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123,210</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648,550</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602,745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45,805</w:t>
            </w: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 non-regulated services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19,684</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58,090</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71,506</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EFFE7"/>
            </w:tcBorders>
            <w:gridSpan w:val="2"/>
            <w:shd w:val="clear" w:color="auto" w:fill="CEFFE7"/>
          </w:tcPr>
          <w:p>
            <w:pPr>
              <w:ind w:left="6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131,676</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142,894</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706,640</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674,251</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32,389</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Natural gas — regulated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30,612</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298,149</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255,410</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42,739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2"/>
            <w:shd w:val="clear" w:color="auto" w:fill="CEFFE7"/>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 non-regulated services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11,917</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15,716</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33,615</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0" w:type="dxa"/>
            <w:vAlign w:val="bottom"/>
          </w:tcPr>
          <w:p>
            <w:pPr>
              <w:spacing w:after="0"/>
              <w:rPr>
                <w:sz w:val="1"/>
                <w:szCs w:val="1"/>
                <w:color w:val="auto"/>
              </w:rPr>
            </w:pPr>
          </w:p>
        </w:tc>
      </w:tr>
      <w:tr>
        <w:trPr>
          <w:trHeight w:val="237"/>
        </w:trPr>
        <w:tc>
          <w:tcPr>
            <w:tcW w:w="3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36,126</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45,293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313,865</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289,025</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24,840</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95,550</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97,601</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392,775</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385,226</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91"/>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69,746</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65,390</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4,356</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212,319</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201,105</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20,937</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64,288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62,658</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37"/>
        </w:trPr>
        <w:tc>
          <w:tcPr>
            <w:tcW w:w="3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86,327</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4,983</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276,607</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263,763</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116,168</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121,463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58,395</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93,182</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41,516</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51,666</w:t>
            </w:r>
          </w:p>
        </w:tc>
        <w:tc>
          <w:tcPr>
            <w:tcW w:w="0" w:type="dxa"/>
            <w:vAlign w:val="bottom"/>
          </w:tcPr>
          <w:p>
            <w:pPr>
              <w:spacing w:after="0"/>
              <w:rPr>
                <w:sz w:val="1"/>
                <w:szCs w:val="1"/>
                <w:color w:val="auto"/>
              </w:rPr>
            </w:pPr>
          </w:p>
        </w:tc>
      </w:tr>
      <w:tr>
        <w:trPr>
          <w:trHeight w:val="225"/>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income (loss)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93,182</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41,409</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51,773</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9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nine months ended September 30, 2018 include certain non-utility trading activities which are reported on a net basis. These trading activities are presented on a gross basis in the prior year. This change in presentation had no impact on gross margin.</w:t>
      </w: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measure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83" w:right="239" w:bottom="1440" w:gutter="0" w:footer="0" w:header="0"/>
        </w:sectPr>
      </w:pPr>
    </w:p>
    <w:bookmarkStart w:id="51" w:name="page52"/>
    <w:bookmarkEnd w:id="51"/>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Gas Utilities for the Three Months Ended September 30, 2018 Compared to the Three Months Ended September 30, 2017: </w:t>
      </w:r>
      <w:r>
        <w:rPr>
          <w:rFonts w:ascii="Times New Roman" w:cs="Times New Roman" w:eastAsia="Times New Roman" w:hAnsi="Times New Roman"/>
          <w:sz w:val="18"/>
          <w:szCs w:val="18"/>
          <w:color w:val="auto"/>
        </w:rPr>
        <w:t>Net (loss) from continuing operations available for common stock for the Gas Utilities was $(13.3) million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compared to Net loss from continuing operations available for common stock of $(4.3) million for the three months ended September 30, 2017, as a result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three months ended September 30, 2018 decreased $2.1 million compared to the same period in the prior year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Weather</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TCJA revenue reserve</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Rate review and rider recovery</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Non-utility - Tech Services and appliance repair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Mark-to-market gains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4"/>
        </w:trPr>
        <w:tc>
          <w:tcPr>
            <w:tcW w:w="91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increase (decrease) in Gross margin </w:t>
            </w:r>
            <w:r>
              <w:rPr>
                <w:rFonts w:ascii="Times New Roman" w:cs="Times New Roman" w:eastAsia="Times New Roman" w:hAnsi="Times New Roman"/>
                <w:sz w:val="25"/>
                <w:szCs w:val="25"/>
                <w:color w:val="auto"/>
                <w:vertAlign w:val="superscript"/>
              </w:rPr>
              <w:t>(a)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  Non-GAAP measure</w:t>
            </w: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Operations and maintenance</w:t>
      </w:r>
      <w:r>
        <w:rPr>
          <w:rFonts w:ascii="Times New Roman" w:cs="Times New Roman" w:eastAsia="Times New Roman" w:hAnsi="Times New Roman"/>
          <w:sz w:val="18"/>
          <w:szCs w:val="18"/>
          <w:color w:val="auto"/>
        </w:rPr>
        <w:t xml:space="preserve"> increased primarily due to $1.4 million higher facility costs, higher bad debt expense of approximately $0.5 million related to increased year-to-date revenues, $1.3 million of higher outside services primarily from line locating services and $0.3 million higher employee costs driven primarily by increased headcount.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primarily due to a higher asset base driven by previous year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 increased</w:t>
      </w:r>
      <w:r>
        <w:rPr>
          <w:rFonts w:ascii="Times New Roman" w:cs="Times New Roman" w:eastAsia="Times New Roman" w:hAnsi="Times New Roman"/>
          <w:sz w:val="18"/>
          <w:szCs w:val="18"/>
          <w:color w:val="auto"/>
        </w:rPr>
        <w:t xml:space="preserve"> due to higher corporate allocations from financing activities compared to the same period in the prior year.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xml:space="preserve"> decreased from the prior year due primarily to the presentation change of non-service pension costs to Other income (expense) in the current year, previously reported in Operations and maintenance.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 benefit (expense)</w:t>
      </w:r>
      <w:r>
        <w:rPr>
          <w:rFonts w:ascii="Times New Roman" w:cs="Times New Roman" w:eastAsia="Times New Roman" w:hAnsi="Times New Roman"/>
          <w:sz w:val="18"/>
          <w:szCs w:val="18"/>
          <w:color w:val="auto"/>
        </w:rPr>
        <w:t xml:space="preserve"> decreased from the prior year due to the lower tax rate as a result of the reduction of the federal corporate income tax rate from 35% to 21% from the TCJA, effective January 1, 2018 partially offset by $2.6 million of tax expense associated with changes in the prior estimated impact of tax reform on deferred income taxes.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2" w:name="page53"/>
    <w:bookmarkEnd w:id="52"/>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Gas Utilities for the Nine Months Ended September 30, 2018 Compared to the Nine Months Ended September 30, 2017: </w:t>
      </w:r>
      <w:r>
        <w:rPr>
          <w:rFonts w:ascii="Times New Roman" w:cs="Times New Roman" w:eastAsia="Times New Roman" w:hAnsi="Times New Roman"/>
          <w:sz w:val="18"/>
          <w:szCs w:val="18"/>
          <w:color w:val="auto"/>
        </w:rPr>
        <w:t>Net income from continuing operations available for common stock for the Gas Utilities was $93 million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compared to Net income from continuing operations available for common stock of $42 million for the nine months ended September 30, 2017, as a result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for the nine months ended September 30, 2018 increased $7.5 million compared to the same period in the prior year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Weather</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growth - distribution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Mark-to-market gains on non-utility natural gas commodity contracts</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review and rider recovery</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Natural gas volumes sold</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Transportation and Transmission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Non-utility - Tech Services and appliance repair</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TCJA revenue reserve</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64"/>
        </w:trPr>
        <w:tc>
          <w:tcPr>
            <w:tcW w:w="91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increase (decrease) in Gross margin </w:t>
            </w:r>
            <w:r>
              <w:rPr>
                <w:rFonts w:ascii="Times New Roman" w:cs="Times New Roman" w:eastAsia="Times New Roman" w:hAnsi="Times New Roman"/>
                <w:sz w:val="25"/>
                <w:szCs w:val="25"/>
                <w:color w:val="auto"/>
                <w:vertAlign w:val="superscript"/>
              </w:rPr>
              <w:t>(a)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  Non-GAAP measure</w:t>
            </w: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Operations and maintenance</w:t>
      </w:r>
      <w:r>
        <w:rPr>
          <w:rFonts w:ascii="Times New Roman" w:cs="Times New Roman" w:eastAsia="Times New Roman" w:hAnsi="Times New Roman"/>
          <w:sz w:val="18"/>
          <w:szCs w:val="18"/>
          <w:color w:val="auto"/>
        </w:rPr>
        <w:t xml:space="preserve"> increased primarily due to higher employee costs of approximately $2.6 million driven by labor, benefits and increased corporate allocations, higher bad debt expense of approximately $2.6 million driven by the current year increase in revenues, $1.6 million of higher outside services primarily from line locating services and an increase in facility costs of $4.2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xml:space="preserve"> increased due to a higher asset base driven by previous year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was comparable to the same period in the prior year.</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xml:space="preserve"> decreased from the prior year due to the presentation change of non-service pension costs to Other income (expense) in the current year, previously reported in Operations and maintenance.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 benefit (expense)</w:t>
      </w:r>
      <w:r>
        <w:rPr>
          <w:rFonts w:ascii="Times New Roman" w:cs="Times New Roman" w:eastAsia="Times New Roman" w:hAnsi="Times New Roman"/>
          <w:sz w:val="18"/>
          <w:szCs w:val="18"/>
          <w:color w:val="auto"/>
        </w:rPr>
        <w:t>: The 2018 tax benefit is due to legal restructuring to enable jurisdictional simplification that resulted in the recognition of a deferred tax benefit of approximately $49 million associated with amortizable goodwill for tax purposes. The current year effective tax rate also reflects the reduction of the federal corporate income tax rate from 35% to 21% from the TCJA, effective January 1, 2018.</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Gas Revenue (in thousands)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w w:val="98"/>
              </w:rPr>
              <w:t xml:space="preserve">Gross Margin </w:t>
            </w:r>
            <w:r>
              <w:rPr>
                <w:rFonts w:ascii="Times New Roman" w:cs="Times New Roman" w:eastAsia="Times New Roman" w:hAnsi="Times New Roman"/>
                <w:sz w:val="21"/>
                <w:szCs w:val="21"/>
                <w:color w:val="auto"/>
                <w:w w:val="98"/>
                <w:vertAlign w:val="superscript"/>
              </w:rPr>
              <w:t>(a)</w:t>
            </w:r>
            <w:r>
              <w:rPr>
                <w:rFonts w:ascii="Times New Roman" w:cs="Times New Roman" w:eastAsia="Times New Roman" w:hAnsi="Times New Roman"/>
                <w:sz w:val="16"/>
                <w:szCs w:val="16"/>
                <w:color w:val="auto"/>
                <w:w w:val="98"/>
              </w:rPr>
              <w:t xml:space="preserve"> (in thousands)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Nine Months Ended</w:t>
            </w: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8"/>
                <w:szCs w:val="18"/>
                <w:color w:val="auto"/>
              </w:rPr>
            </w:pPr>
          </w:p>
        </w:tc>
        <w:tc>
          <w:tcPr>
            <w:tcW w:w="180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176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8"/>
                <w:szCs w:val="18"/>
                <w:color w:val="auto"/>
              </w:rPr>
            </w:pPr>
          </w:p>
        </w:tc>
        <w:tc>
          <w:tcPr>
            <w:tcW w:w="180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23"/>
                <w:szCs w:val="23"/>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Pr>
          <w:p>
            <w:pPr>
              <w:spacing w:after="0"/>
              <w:rPr>
                <w:sz w:val="23"/>
                <w:szCs w:val="23"/>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Pr>
          <w:p>
            <w:pPr>
              <w:spacing w:after="0"/>
              <w:rPr>
                <w:sz w:val="23"/>
                <w:szCs w:val="23"/>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58,221</w:t>
            </w:r>
          </w:p>
        </w:tc>
        <w:tc>
          <w:tcPr>
            <w:tcW w:w="240" w:type="dxa"/>
            <w:vAlign w:val="bottom"/>
            <w:tcBorders>
              <w:bottom w:val="single" w:sz="8" w:color="CEFFE7"/>
            </w:tcBorders>
            <w:shd w:val="clear" w:color="auto" w:fill="CEFFE7"/>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57,804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383,972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344,407</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42,598</w:t>
            </w:r>
          </w:p>
        </w:tc>
        <w:tc>
          <w:tcPr>
            <w:tcW w:w="260" w:type="dxa"/>
            <w:vAlign w:val="bottom"/>
            <w:tcBorders>
              <w:bottom w:val="single" w:sz="8" w:color="CEFFE7"/>
            </w:tcBorders>
            <w:shd w:val="clear" w:color="auto" w:fill="CEFFE7"/>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42,012</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192,072</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182,256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21,366</w:t>
            </w:r>
          </w:p>
        </w:tc>
        <w:tc>
          <w:tcPr>
            <w:tcW w:w="2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148,675</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57,890</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54,931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20,805</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18,699</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5,341</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4,665</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EFFE7"/>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6,363</w:t>
            </w:r>
          </w:p>
        </w:tc>
        <w:tc>
          <w:tcPr>
            <w:tcW w:w="100" w:type="dxa"/>
            <w:vAlign w:val="bottom"/>
            <w:tcBorders>
              <w:bottom w:val="single" w:sz="8" w:color="CEFFE7"/>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6,363</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Distribution</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86,605</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90,741</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546,663</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503,625</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55,993</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57,365</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248,514</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248,215</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Transportation and Transmission</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32,469</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101,887</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99,120</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32,470</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101,887</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99,121</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Regulated</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117,070</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123,210</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648,550</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602,745</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86,458</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89,835</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350,401</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347,336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Non-regulated Services</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14,606</w:t>
            </w: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19,684</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58,090</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71,506</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42,374</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37,890</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Gas Revenue &amp; Gross Margin</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131,676</w:t>
            </w:r>
          </w:p>
        </w:tc>
        <w:tc>
          <w:tcPr>
            <w:tcW w:w="240" w:type="dxa"/>
            <w:vAlign w:val="bottom"/>
            <w:tcBorders>
              <w:bottom w:val="single" w:sz="8" w:color="auto"/>
            </w:tcBorders>
            <w:shd w:val="clear" w:color="auto" w:fill="CEFFE7"/>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142,894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706,640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674,251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95,550</w:t>
            </w:r>
          </w:p>
        </w:tc>
        <w:tc>
          <w:tcPr>
            <w:tcW w:w="26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97,601</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392,775</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385,226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measure</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w:t>
      </w:r>
      <w:r>
        <w:rPr>
          <w:rFonts w:ascii="Times New Roman" w:cs="Times New Roman" w:eastAsia="Times New Roman" w:hAnsi="Times New Roman"/>
          <w:sz w:val="16"/>
          <w:szCs w:val="16"/>
          <w:color w:val="auto"/>
        </w:rPr>
        <w:t>current year reserve to revenue to reflect the reduction of the lower federal income tax rate from the TCJA on our existing rate tariffs.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Revenue (in thousands)</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w w:val="98"/>
              </w:rPr>
              <w:t xml:space="preserve">Gross Margin </w:t>
            </w:r>
            <w:r>
              <w:rPr>
                <w:rFonts w:ascii="Times New Roman" w:cs="Times New Roman" w:eastAsia="Times New Roman" w:hAnsi="Times New Roman"/>
                <w:sz w:val="21"/>
                <w:szCs w:val="21"/>
                <w:color w:val="auto"/>
                <w:w w:val="98"/>
                <w:vertAlign w:val="superscript"/>
              </w:rPr>
              <w:t>(a)</w:t>
            </w:r>
            <w:r>
              <w:rPr>
                <w:rFonts w:ascii="Times New Roman" w:cs="Times New Roman" w:eastAsia="Times New Roman" w:hAnsi="Times New Roman"/>
                <w:sz w:val="16"/>
                <w:szCs w:val="16"/>
                <w:color w:val="auto"/>
                <w:w w:val="98"/>
              </w:rPr>
              <w:t xml:space="preserve"> (in thousands)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Nine Months Ended</w:t>
            </w: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8"/>
                <w:szCs w:val="18"/>
                <w:color w:val="auto"/>
              </w:rPr>
            </w:pPr>
          </w:p>
        </w:tc>
        <w:tc>
          <w:tcPr>
            <w:tcW w:w="180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176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color w:val="auto"/>
              </w:rPr>
              <w:t>September 30,</w:t>
            </w:r>
          </w:p>
        </w:tc>
        <w:tc>
          <w:tcPr>
            <w:tcW w:w="260" w:type="dxa"/>
            <w:vAlign w:val="bottom"/>
          </w:tcPr>
          <w:p>
            <w:pPr>
              <w:spacing w:after="0"/>
              <w:rPr>
                <w:sz w:val="18"/>
                <w:szCs w:val="18"/>
                <w:color w:val="auto"/>
              </w:rPr>
            </w:pPr>
          </w:p>
        </w:tc>
        <w:tc>
          <w:tcPr>
            <w:tcW w:w="180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2018</w:t>
            </w:r>
          </w:p>
        </w:tc>
        <w:tc>
          <w:tcPr>
            <w:tcW w:w="180" w:type="dxa"/>
            <w:vAlign w:val="bottom"/>
          </w:tcPr>
          <w:p>
            <w:pPr>
              <w:spacing w:after="0"/>
              <w:rPr>
                <w:sz w:val="23"/>
                <w:szCs w:val="23"/>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23"/>
                <w:szCs w:val="23"/>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Pr>
          <w:p>
            <w:pPr>
              <w:spacing w:after="0"/>
              <w:rPr>
                <w:sz w:val="23"/>
                <w:szCs w:val="23"/>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3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Arkansas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18,743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19,276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116,226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104,519</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260" w:type="dxa"/>
            <w:vAlign w:val="bottom"/>
            <w:tcBorders>
              <w:bottom w:val="single" w:sz="8" w:color="CEFFE7"/>
            </w:tcBorders>
            <w:shd w:val="clear" w:color="auto" w:fill="CEFFE7"/>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13,485</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65,803</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66,362</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Colorado</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125,898</w:t>
            </w: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120,667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16,068</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66,917</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69,241</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Nebraska</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40,553</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47,577</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196,307</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191,288</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31,264</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33,290</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117,925</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112,418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Iowa</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111,968</w:t>
            </w: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98,619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49,630</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48,278</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Kansas</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18,497</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20,114</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81,880</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77,389</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11,129</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11,207</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40,896</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39,810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Wyoming</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74,361</w:t>
            </w:r>
          </w:p>
        </w:tc>
        <w:tc>
          <w:tcPr>
            <w:tcW w:w="2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51,604</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49,117</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Gas Revenue &amp; Gross Margin</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131,676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142,894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706,640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674,251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95,550</w:t>
            </w:r>
          </w:p>
        </w:tc>
        <w:tc>
          <w:tcPr>
            <w:tcW w:w="260" w:type="dxa"/>
            <w:vAlign w:val="bottom"/>
            <w:tcBorders>
              <w:bottom w:val="single" w:sz="8" w:color="auto"/>
            </w:tcBorders>
            <w:shd w:val="clear" w:color="auto" w:fill="CEFFE7"/>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6"/>
                <w:szCs w:val="16"/>
                <w:color w:val="auto"/>
              </w:rPr>
              <w:t>97,601</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rPr>
              <w:t>392,775</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385,226</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measure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90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Three Months Ended</w:t>
            </w:r>
          </w:p>
        </w:tc>
        <w:tc>
          <w:tcPr>
            <w:tcW w:w="25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59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1020" w:type="dxa"/>
            <w:vAlign w:val="bottom"/>
          </w:tcPr>
          <w:p>
            <w:pPr>
              <w:spacing w:after="0"/>
              <w:rPr>
                <w:sz w:val="18"/>
                <w:szCs w:val="18"/>
                <w:color w:val="auto"/>
              </w:rPr>
            </w:pPr>
          </w:p>
        </w:tc>
        <w:tc>
          <w:tcPr>
            <w:tcW w:w="25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September 30,</w:t>
            </w:r>
          </w:p>
        </w:tc>
      </w:tr>
      <w:tr>
        <w:trPr>
          <w:trHeight w:val="33"/>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Gas Utilities Quantities Sold &amp; Transported (Dth)</w:t>
            </w:r>
          </w:p>
        </w:tc>
        <w:tc>
          <w:tcPr>
            <w:tcW w:w="188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rPr>
              <w:t>2018</w:t>
            </w: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2017</w:t>
            </w: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2018</w:t>
            </w: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3,708,196</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3,682,944</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42,642,021</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36,052,414</w:t>
            </w:r>
          </w:p>
        </w:tc>
      </w:tr>
      <w:tr>
        <w:trPr>
          <w:trHeight w:val="33"/>
        </w:trPr>
        <w:tc>
          <w:tcPr>
            <w:tcW w:w="5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2,278,304</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2,445,847</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20,842,996</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18,111,118</w:t>
            </w: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2,304,098</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2,722,173</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5,235,417</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4,690,092</w:t>
            </w:r>
          </w:p>
        </w:tc>
      </w:tr>
      <w:tr>
        <w:trPr>
          <w:trHeight w:val="33"/>
        </w:trPr>
        <w:tc>
          <w:tcPr>
            <w:tcW w:w="5960" w:type="dxa"/>
            <w:vAlign w:val="bottom"/>
            <w:tcBorders>
              <w:bottom w:val="single" w:sz="8" w:color="CEFFE7"/>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Distribution Quantities Sold</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8,290,598</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8,850,964</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68,720,434</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58,853,624</w:t>
            </w:r>
          </w:p>
        </w:tc>
      </w:tr>
      <w:tr>
        <w:trPr>
          <w:trHeight w:val="223"/>
        </w:trPr>
        <w:tc>
          <w:tcPr>
            <w:tcW w:w="596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Transportation and Transmission</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29,808,567</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w w:val="99"/>
              </w:rPr>
              <w:t>30,577,487</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107,388,321</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102,314,665</w:t>
            </w:r>
          </w:p>
        </w:tc>
      </w:tr>
      <w:tr>
        <w:trPr>
          <w:trHeight w:val="230"/>
        </w:trPr>
        <w:tc>
          <w:tcPr>
            <w:tcW w:w="5960" w:type="dxa"/>
            <w:vAlign w:val="bottom"/>
            <w:tcBorders>
              <w:bottom w:val="single" w:sz="8" w:color="CEFFE7"/>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44"/>
        </w:trPr>
        <w:tc>
          <w:tcPr>
            <w:tcW w:w="5960" w:type="dxa"/>
            <w:vAlign w:val="bottom"/>
            <w:tcBorders>
              <w:bottom w:val="single" w:sz="8" w:color="CEFFE7"/>
            </w:tcBorders>
            <w:shd w:val="clear" w:color="auto" w:fill="CEFFE7"/>
          </w:tcPr>
          <w:p>
            <w:pPr>
              <w:ind w:left="280"/>
              <w:spacing w:after="0"/>
              <w:rPr>
                <w:sz w:val="20"/>
                <w:szCs w:val="20"/>
                <w:color w:val="auto"/>
              </w:rPr>
            </w:pPr>
            <w:r>
              <w:rPr>
                <w:rFonts w:ascii="Times New Roman" w:cs="Times New Roman" w:eastAsia="Times New Roman" w:hAnsi="Times New Roman"/>
                <w:sz w:val="16"/>
                <w:szCs w:val="16"/>
                <w:color w:val="auto"/>
              </w:rPr>
              <w:t>Total Quantities Sold &amp; Transported</w:t>
            </w:r>
          </w:p>
        </w:tc>
        <w:tc>
          <w:tcPr>
            <w:tcW w:w="1880" w:type="dxa"/>
            <w:vAlign w:val="bottom"/>
            <w:tcBorders>
              <w:bottom w:val="single" w:sz="8" w:color="auto"/>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38,099,165</w:t>
            </w:r>
          </w:p>
        </w:tc>
        <w:tc>
          <w:tcPr>
            <w:tcW w:w="1020" w:type="dxa"/>
            <w:vAlign w:val="bottom"/>
            <w:tcBorders>
              <w:bottom w:val="single" w:sz="8" w:color="auto"/>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w w:val="99"/>
              </w:rPr>
              <w:t>39,428,451</w:t>
            </w:r>
          </w:p>
        </w:tc>
        <w:tc>
          <w:tcPr>
            <w:tcW w:w="1380" w:type="dxa"/>
            <w:vAlign w:val="bottom"/>
            <w:tcBorders>
              <w:bottom w:val="single" w:sz="8" w:color="auto"/>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176,108,755</w:t>
            </w:r>
          </w:p>
        </w:tc>
        <w:tc>
          <w:tcPr>
            <w:tcW w:w="1180" w:type="dxa"/>
            <w:vAlign w:val="bottom"/>
            <w:tcBorders>
              <w:bottom w:val="single" w:sz="8" w:color="auto"/>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161,168,289</w:t>
            </w:r>
          </w:p>
        </w:tc>
      </w:tr>
      <w:tr>
        <w:trPr>
          <w:trHeight w:val="20"/>
        </w:trPr>
        <w:tc>
          <w:tcPr>
            <w:tcW w:w="59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5"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65"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90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Three Months Ended</w:t>
            </w:r>
          </w:p>
        </w:tc>
        <w:tc>
          <w:tcPr>
            <w:tcW w:w="25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59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1020" w:type="dxa"/>
            <w:vAlign w:val="bottom"/>
          </w:tcPr>
          <w:p>
            <w:pPr>
              <w:spacing w:after="0"/>
              <w:rPr>
                <w:sz w:val="18"/>
                <w:szCs w:val="18"/>
                <w:color w:val="auto"/>
              </w:rPr>
            </w:pPr>
          </w:p>
        </w:tc>
        <w:tc>
          <w:tcPr>
            <w:tcW w:w="25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September 30,</w:t>
            </w:r>
          </w:p>
        </w:tc>
      </w:tr>
      <w:tr>
        <w:trPr>
          <w:trHeight w:val="33"/>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Gas Utilities Quantities Sold &amp; Transported (Dth)</w:t>
            </w:r>
          </w:p>
        </w:tc>
        <w:tc>
          <w:tcPr>
            <w:tcW w:w="188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rPr>
              <w:t>2018</w:t>
            </w: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2017</w:t>
            </w: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2018</w:t>
            </w: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Arkansas</w:t>
            </w: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4,022,089</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3,950,107</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21,183,322</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18,232,131</w:t>
            </w:r>
          </w:p>
        </w:tc>
      </w:tr>
      <w:tr>
        <w:trPr>
          <w:trHeight w:val="33"/>
        </w:trPr>
        <w:tc>
          <w:tcPr>
            <w:tcW w:w="5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Colorado</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2,893,029</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3,111,653</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19,301,834</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19,156,708</w:t>
            </w: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Nebraska</w:t>
            </w: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13,831,306</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14,620,729</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58,223,856</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52,802,084</w:t>
            </w:r>
          </w:p>
        </w:tc>
      </w:tr>
      <w:tr>
        <w:trPr>
          <w:trHeight w:val="33"/>
        </w:trPr>
        <w:tc>
          <w:tcPr>
            <w:tcW w:w="5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Iowa</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5,595,205</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5,345,911</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28,527,522</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25,472,681</w:t>
            </w: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Kansas</w:t>
            </w: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6,164,821</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7,270,229</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23,391,905</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20,975,597</w:t>
            </w:r>
          </w:p>
        </w:tc>
      </w:tr>
      <w:tr>
        <w:trPr>
          <w:trHeight w:val="33"/>
        </w:trPr>
        <w:tc>
          <w:tcPr>
            <w:tcW w:w="5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96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6"/>
                <w:szCs w:val="16"/>
                <w:color w:val="auto"/>
              </w:rPr>
              <w:t>Wyoming</w:t>
            </w:r>
          </w:p>
        </w:tc>
        <w:tc>
          <w:tcPr>
            <w:tcW w:w="1880" w:type="dxa"/>
            <w:vAlign w:val="bottom"/>
            <w:tcBorders>
              <w:bottom w:val="single" w:sz="8" w:color="CEFFE7"/>
            </w:tcBorders>
            <w:shd w:val="clear" w:color="auto" w:fill="CEFFE7"/>
          </w:tcPr>
          <w:p>
            <w:pPr>
              <w:jc w:val="right"/>
              <w:ind w:right="559"/>
              <w:spacing w:after="0"/>
              <w:rPr>
                <w:sz w:val="20"/>
                <w:szCs w:val="20"/>
                <w:color w:val="auto"/>
              </w:rPr>
            </w:pPr>
            <w:r>
              <w:rPr>
                <w:rFonts w:ascii="Times New Roman" w:cs="Times New Roman" w:eastAsia="Times New Roman" w:hAnsi="Times New Roman"/>
                <w:sz w:val="16"/>
                <w:szCs w:val="16"/>
                <w:color w:val="auto"/>
              </w:rPr>
              <w:t>5,592,715</w:t>
            </w: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5,129,822</w:t>
            </w:r>
          </w:p>
        </w:tc>
        <w:tc>
          <w:tcPr>
            <w:tcW w:w="1380" w:type="dxa"/>
            <w:vAlign w:val="bottom"/>
            <w:tcBorders>
              <w:bottom w:val="single" w:sz="8" w:color="CEFFE7"/>
            </w:tcBorders>
            <w:shd w:val="clear" w:color="auto" w:fill="CEFFE7"/>
          </w:tcPr>
          <w:p>
            <w:pPr>
              <w:jc w:val="right"/>
              <w:ind w:right="199"/>
              <w:spacing w:after="0"/>
              <w:rPr>
                <w:sz w:val="20"/>
                <w:szCs w:val="20"/>
                <w:color w:val="auto"/>
              </w:rPr>
            </w:pPr>
            <w:r>
              <w:rPr>
                <w:rFonts w:ascii="Times New Roman" w:cs="Times New Roman" w:eastAsia="Times New Roman" w:hAnsi="Times New Roman"/>
                <w:sz w:val="16"/>
                <w:szCs w:val="16"/>
                <w:color w:val="auto"/>
              </w:rPr>
              <w:t>25,480,316</w:t>
            </w:r>
          </w:p>
        </w:tc>
        <w:tc>
          <w:tcPr>
            <w:tcW w:w="1180" w:type="dxa"/>
            <w:vAlign w:val="bottom"/>
            <w:tcBorders>
              <w:bottom w:val="single" w:sz="8" w:color="CEFFE7"/>
            </w:tcBorders>
            <w:shd w:val="clear" w:color="auto" w:fill="CEFFE7"/>
          </w:tcPr>
          <w:p>
            <w:pPr>
              <w:jc w:val="right"/>
              <w:ind w:right="19"/>
              <w:spacing w:after="0"/>
              <w:rPr>
                <w:sz w:val="20"/>
                <w:szCs w:val="20"/>
                <w:color w:val="auto"/>
              </w:rPr>
            </w:pPr>
            <w:r>
              <w:rPr>
                <w:rFonts w:ascii="Times New Roman" w:cs="Times New Roman" w:eastAsia="Times New Roman" w:hAnsi="Times New Roman"/>
                <w:sz w:val="16"/>
                <w:szCs w:val="16"/>
                <w:color w:val="auto"/>
              </w:rPr>
              <w:t>24,529,088</w:t>
            </w:r>
          </w:p>
        </w:tc>
      </w:tr>
      <w:tr>
        <w:trPr>
          <w:trHeight w:val="244"/>
        </w:trPr>
        <w:tc>
          <w:tcPr>
            <w:tcW w:w="5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Quantities Sold &amp; Transported</w:t>
            </w:r>
          </w:p>
        </w:tc>
        <w:tc>
          <w:tcPr>
            <w:tcW w:w="18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38,099,165</w:t>
            </w: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39,428,451</w:t>
            </w: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176,108,755</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161,168,289</w:t>
            </w:r>
          </w:p>
        </w:tc>
      </w:tr>
      <w:tr>
        <w:trPr>
          <w:trHeight w:val="20"/>
        </w:trPr>
        <w:tc>
          <w:tcPr>
            <w:tcW w:w="59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620" w:type="dxa"/>
            <w:vAlign w:val="bottom"/>
          </w:tcPr>
          <w:p>
            <w:pPr>
              <w:spacing w:after="0"/>
              <w:rPr>
                <w:sz w:val="20"/>
                <w:szCs w:val="20"/>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2018</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Variance</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from 30-Year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Actual Variance</w:t>
            </w:r>
          </w:p>
        </w:tc>
        <w:tc>
          <w:tcPr>
            <w:tcW w:w="104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from 30-Year</w:t>
            </w:r>
          </w:p>
        </w:tc>
      </w:tr>
      <w:tr>
        <w:trPr>
          <w:trHeight w:val="23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Heating Degree Days:</w:t>
            </w:r>
          </w:p>
        </w:tc>
        <w:tc>
          <w:tcPr>
            <w:tcW w:w="2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Actual</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Prior Year</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Actual</w:t>
            </w: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Times New Roman" w:cs="Times New Roman" w:eastAsia="Times New Roman" w:hAnsi="Times New Roman"/>
                <w:sz w:val="18"/>
                <w:szCs w:val="18"/>
                <w:color w:val="auto"/>
              </w:rPr>
              <w:t xml:space="preserve">Arkansas </w:t>
            </w:r>
            <w:r>
              <w:rPr>
                <w:rFonts w:ascii="Times New Roman" w:cs="Times New Roman" w:eastAsia="Times New Roman" w:hAnsi="Times New Roman"/>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Times New Roman" w:cs="Times New Roman" w:eastAsia="Times New Roman" w:hAnsi="Times New Roman"/>
                <w:sz w:val="18"/>
                <w:szCs w:val="18"/>
                <w:color w:val="auto"/>
                <w:w w:val="99"/>
              </w:rPr>
              <w:t>12</w:t>
            </w:r>
          </w:p>
        </w:tc>
        <w:tc>
          <w:tcPr>
            <w:tcW w:w="1680" w:type="dxa"/>
            <w:vAlign w:val="bottom"/>
            <w:shd w:val="clear" w:color="auto" w:fill="CEFFE7"/>
          </w:tcPr>
          <w:p>
            <w:pPr>
              <w:jc w:val="center"/>
              <w:ind w:left="210"/>
              <w:spacing w:after="0"/>
              <w:rPr>
                <w:sz w:val="20"/>
                <w:szCs w:val="20"/>
                <w:color w:val="auto"/>
              </w:rPr>
            </w:pPr>
            <w:r>
              <w:rPr>
                <w:rFonts w:ascii="Times New Roman" w:cs="Times New Roman" w:eastAsia="Times New Roman" w:hAnsi="Times New Roman"/>
                <w:sz w:val="18"/>
                <w:szCs w:val="18"/>
                <w:color w:val="auto"/>
              </w:rPr>
              <w:t>(72)%</w:t>
            </w:r>
          </w:p>
        </w:tc>
        <w:tc>
          <w:tcPr>
            <w:tcW w:w="15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EFFE7"/>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1620" w:type="dxa"/>
            <w:vAlign w:val="bottom"/>
            <w:shd w:val="clear" w:color="auto" w:fill="CEFFE7"/>
          </w:tcPr>
          <w:p>
            <w:pPr>
              <w:jc w:val="center"/>
              <w:ind w:left="170"/>
              <w:spacing w:after="0"/>
              <w:rPr>
                <w:sz w:val="20"/>
                <w:szCs w:val="20"/>
                <w:color w:val="auto"/>
              </w:rPr>
            </w:pPr>
            <w:r>
              <w:rPr>
                <w:rFonts w:ascii="Times New Roman" w:cs="Times New Roman" w:eastAsia="Times New Roman" w:hAnsi="Times New Roman"/>
                <w:sz w:val="18"/>
                <w:szCs w:val="18"/>
                <w:color w:val="auto"/>
                <w:w w:val="97"/>
              </w:rPr>
              <w:t>(66)%</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Colorado</w:t>
            </w:r>
          </w:p>
        </w:tc>
        <w:tc>
          <w:tcPr>
            <w:tcW w:w="23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6"/>
              </w:rPr>
              <w:t>109</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187</w:t>
            </w: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(13)%</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Nebraska</w:t>
            </w:r>
          </w:p>
        </w:tc>
        <w:tc>
          <w:tcPr>
            <w:tcW w:w="2360" w:type="dxa"/>
            <w:vAlign w:val="bottom"/>
            <w:tcBorders>
              <w:bottom w:val="single" w:sz="8" w:color="CEFFE7"/>
            </w:tcBorders>
            <w:shd w:val="clear" w:color="auto" w:fill="CEFFE7"/>
          </w:tcPr>
          <w:p>
            <w:pPr>
              <w:jc w:val="center"/>
              <w:ind w:left="1370"/>
              <w:spacing w:after="0"/>
              <w:rPr>
                <w:sz w:val="20"/>
                <w:szCs w:val="20"/>
                <w:color w:val="auto"/>
              </w:rPr>
            </w:pPr>
            <w:r>
              <w:rPr>
                <w:rFonts w:ascii="Times New Roman" w:cs="Times New Roman" w:eastAsia="Times New Roman" w:hAnsi="Times New Roman"/>
                <w:sz w:val="18"/>
                <w:szCs w:val="18"/>
                <w:color w:val="auto"/>
                <w:w w:val="96"/>
              </w:rPr>
              <w:t>101</w:t>
            </w:r>
          </w:p>
        </w:tc>
        <w:tc>
          <w:tcPr>
            <w:tcW w:w="1680" w:type="dxa"/>
            <w:vAlign w:val="bottom"/>
            <w:tcBorders>
              <w:bottom w:val="single" w:sz="8" w:color="CEFFE7"/>
            </w:tcBorders>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9"/>
              </w:rPr>
              <w:t>(7)%</w:t>
            </w:r>
          </w:p>
        </w:tc>
        <w:tc>
          <w:tcPr>
            <w:tcW w:w="1540" w:type="dxa"/>
            <w:vAlign w:val="bottom"/>
            <w:tcBorders>
              <w:bottom w:val="single" w:sz="8" w:color="CEFFE7"/>
            </w:tcBorders>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Borders>
              <w:bottom w:val="single" w:sz="8" w:color="CEFFE7"/>
            </w:tcBorders>
            <w:shd w:val="clear" w:color="auto" w:fill="CEFFE7"/>
          </w:tcPr>
          <w:p>
            <w:pPr>
              <w:jc w:val="center"/>
              <w:ind w:left="10"/>
              <w:spacing w:after="0"/>
              <w:rPr>
                <w:sz w:val="20"/>
                <w:szCs w:val="20"/>
                <w:color w:val="auto"/>
              </w:rPr>
            </w:pPr>
            <w:r>
              <w:rPr>
                <w:rFonts w:ascii="Times New Roman" w:cs="Times New Roman" w:eastAsia="Times New Roman" w:hAnsi="Times New Roman"/>
                <w:sz w:val="18"/>
                <w:szCs w:val="18"/>
                <w:color w:val="auto"/>
                <w:w w:val="99"/>
              </w:rPr>
              <w:t>66</w:t>
            </w:r>
          </w:p>
        </w:tc>
        <w:tc>
          <w:tcPr>
            <w:tcW w:w="1620" w:type="dxa"/>
            <w:vAlign w:val="bottom"/>
            <w:tcBorders>
              <w:bottom w:val="single" w:sz="8" w:color="CEFFE7"/>
            </w:tcBorders>
            <w:shd w:val="clear" w:color="auto" w:fill="CEFFE7"/>
          </w:tcPr>
          <w:p>
            <w:pPr>
              <w:jc w:val="center"/>
              <w:ind w:left="170"/>
              <w:spacing w:after="0"/>
              <w:rPr>
                <w:sz w:val="20"/>
                <w:szCs w:val="20"/>
                <w:color w:val="auto"/>
              </w:rPr>
            </w:pPr>
            <w:r>
              <w:rPr>
                <w:rFonts w:ascii="Times New Roman" w:cs="Times New Roman" w:eastAsia="Times New Roman" w:hAnsi="Times New Roman"/>
                <w:sz w:val="18"/>
                <w:szCs w:val="18"/>
                <w:color w:val="auto"/>
                <w:w w:val="97"/>
              </w:rPr>
              <w:t>(40)%</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Iowa</w:t>
            </w:r>
          </w:p>
        </w:tc>
        <w:tc>
          <w:tcPr>
            <w:tcW w:w="23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6"/>
              </w:rPr>
              <w:t>128</w:t>
            </w:r>
          </w:p>
        </w:tc>
        <w:tc>
          <w:tcPr>
            <w:tcW w:w="16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(7)%</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90</w:t>
            </w: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(35)%</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Kansas </w:t>
            </w:r>
            <w:r>
              <w:rPr>
                <w:rFonts w:ascii="Times New Roman" w:cs="Times New Roman" w:eastAsia="Times New Roman" w:hAnsi="Times New Roman"/>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shd w:val="clear" w:color="auto" w:fill="CEFFE7"/>
          </w:tcPr>
          <w:p>
            <w:pPr>
              <w:jc w:val="center"/>
              <w:ind w:left="230"/>
              <w:spacing w:after="0"/>
              <w:rPr>
                <w:sz w:val="20"/>
                <w:szCs w:val="20"/>
                <w:color w:val="auto"/>
              </w:rPr>
            </w:pPr>
            <w:r>
              <w:rPr>
                <w:rFonts w:ascii="Times New Roman" w:cs="Times New Roman" w:eastAsia="Times New Roman" w:hAnsi="Times New Roman"/>
                <w:sz w:val="18"/>
                <w:szCs w:val="18"/>
                <w:color w:val="auto"/>
                <w:w w:val="99"/>
              </w:rPr>
              <w:t>(2)%</w:t>
            </w:r>
          </w:p>
        </w:tc>
        <w:tc>
          <w:tcPr>
            <w:tcW w:w="15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shd w:val="clear" w:color="auto" w:fill="CEFFE7"/>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620" w:type="dxa"/>
            <w:vAlign w:val="bottom"/>
            <w:shd w:val="clear" w:color="auto" w:fill="CEFFE7"/>
          </w:tcPr>
          <w:p>
            <w:pPr>
              <w:jc w:val="center"/>
              <w:ind w:left="170"/>
              <w:spacing w:after="0"/>
              <w:rPr>
                <w:sz w:val="20"/>
                <w:szCs w:val="20"/>
                <w:color w:val="auto"/>
              </w:rPr>
            </w:pPr>
            <w:r>
              <w:rPr>
                <w:rFonts w:ascii="Times New Roman" w:cs="Times New Roman" w:eastAsia="Times New Roman" w:hAnsi="Times New Roman"/>
                <w:sz w:val="18"/>
                <w:szCs w:val="18"/>
                <w:color w:val="auto"/>
                <w:w w:val="97"/>
              </w:rPr>
              <w:t>(32)%</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Wyoming</w:t>
            </w:r>
          </w:p>
        </w:tc>
        <w:tc>
          <w:tcPr>
            <w:tcW w:w="23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6"/>
              </w:rPr>
              <w:t>236</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307</w:t>
            </w: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Combined </w:t>
            </w:r>
            <w:r>
              <w:rPr>
                <w:rFonts w:ascii="Times New Roman" w:cs="Times New Roman" w:eastAsia="Times New Roman" w:hAnsi="Times New Roman"/>
                <w:sz w:val="25"/>
                <w:szCs w:val="25"/>
                <w:color w:val="auto"/>
                <w:vertAlign w:val="superscript"/>
              </w:rPr>
              <w:t>(b)</w:t>
            </w:r>
          </w:p>
        </w:tc>
        <w:tc>
          <w:tcPr>
            <w:tcW w:w="2360" w:type="dxa"/>
            <w:vAlign w:val="bottom"/>
            <w:shd w:val="clear" w:color="auto" w:fill="CEFFE7"/>
          </w:tcPr>
          <w:p>
            <w:pPr>
              <w:jc w:val="center"/>
              <w:ind w:left="1370"/>
              <w:spacing w:after="0"/>
              <w:rPr>
                <w:sz w:val="20"/>
                <w:szCs w:val="20"/>
                <w:color w:val="auto"/>
              </w:rPr>
            </w:pPr>
            <w:r>
              <w:rPr>
                <w:rFonts w:ascii="Times New Roman" w:cs="Times New Roman" w:eastAsia="Times New Roman" w:hAnsi="Times New Roman"/>
                <w:sz w:val="18"/>
                <w:szCs w:val="18"/>
                <w:color w:val="auto"/>
                <w:w w:val="96"/>
              </w:rPr>
              <w:t>109</w:t>
            </w:r>
          </w:p>
        </w:tc>
        <w:tc>
          <w:tcPr>
            <w:tcW w:w="1680" w:type="dxa"/>
            <w:vAlign w:val="bottom"/>
            <w:shd w:val="clear" w:color="auto" w:fill="CEFFE7"/>
          </w:tcPr>
          <w:p>
            <w:pPr>
              <w:jc w:val="center"/>
              <w:ind w:left="210"/>
              <w:spacing w:after="0"/>
              <w:rPr>
                <w:sz w:val="20"/>
                <w:szCs w:val="20"/>
                <w:color w:val="auto"/>
              </w:rPr>
            </w:pPr>
            <w:r>
              <w:rPr>
                <w:rFonts w:ascii="Times New Roman" w:cs="Times New Roman" w:eastAsia="Times New Roman" w:hAnsi="Times New Roman"/>
                <w:sz w:val="18"/>
                <w:szCs w:val="18"/>
                <w:color w:val="auto"/>
              </w:rPr>
              <w:t>(27)%</w:t>
            </w:r>
          </w:p>
        </w:tc>
        <w:tc>
          <w:tcPr>
            <w:tcW w:w="154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40" w:type="dxa"/>
            <w:vAlign w:val="bottom"/>
            <w:shd w:val="clear" w:color="auto" w:fill="CEFFE7"/>
          </w:tcPr>
          <w:p>
            <w:pPr>
              <w:jc w:val="center"/>
              <w:ind w:left="10"/>
              <w:spacing w:after="0"/>
              <w:rPr>
                <w:sz w:val="20"/>
                <w:szCs w:val="20"/>
                <w:color w:val="auto"/>
              </w:rPr>
            </w:pPr>
            <w:r>
              <w:rPr>
                <w:rFonts w:ascii="Times New Roman" w:cs="Times New Roman" w:eastAsia="Times New Roman" w:hAnsi="Times New Roman"/>
                <w:sz w:val="18"/>
                <w:szCs w:val="18"/>
                <w:color w:val="auto"/>
                <w:w w:val="96"/>
              </w:rPr>
              <w:t>117</w:t>
            </w:r>
          </w:p>
        </w:tc>
        <w:tc>
          <w:tcPr>
            <w:tcW w:w="1620" w:type="dxa"/>
            <w:vAlign w:val="bottom"/>
            <w:shd w:val="clear" w:color="auto" w:fill="CEFFE7"/>
          </w:tcPr>
          <w:p>
            <w:pPr>
              <w:jc w:val="center"/>
              <w:ind w:left="170"/>
              <w:spacing w:after="0"/>
              <w:rPr>
                <w:sz w:val="20"/>
                <w:szCs w:val="20"/>
                <w:color w:val="auto"/>
              </w:rPr>
            </w:pPr>
            <w:r>
              <w:rPr>
                <w:rFonts w:ascii="Times New Roman" w:cs="Times New Roman" w:eastAsia="Times New Roman" w:hAnsi="Times New Roman"/>
                <w:sz w:val="18"/>
                <w:szCs w:val="18"/>
                <w:color w:val="auto"/>
                <w:w w:val="97"/>
              </w:rPr>
              <w:t>(22)%</w:t>
            </w:r>
          </w:p>
        </w:tc>
      </w:tr>
      <w:tr>
        <w:trPr>
          <w:trHeight w:val="500"/>
        </w:trPr>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1620" w:type="dxa"/>
            <w:vAlign w:val="bottom"/>
          </w:tcPr>
          <w:p>
            <w:pPr>
              <w:spacing w:after="0"/>
              <w:rPr>
                <w:sz w:val="24"/>
                <w:szCs w:val="24"/>
                <w:color w:val="auto"/>
              </w:rPr>
            </w:pPr>
          </w:p>
        </w:tc>
      </w:tr>
      <w:tr>
        <w:trPr>
          <w:trHeight w:val="27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2018</w:t>
            </w: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Variance</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from 30-Year</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Actual Variance</w:t>
            </w:r>
          </w:p>
        </w:tc>
        <w:tc>
          <w:tcPr>
            <w:tcW w:w="1040" w:type="dxa"/>
            <w:vAlign w:val="bottom"/>
          </w:tcPr>
          <w:p>
            <w:pPr>
              <w:spacing w:after="0"/>
              <w:rPr>
                <w:sz w:val="18"/>
                <w:szCs w:val="18"/>
                <w:color w:val="auto"/>
              </w:rPr>
            </w:pPr>
          </w:p>
        </w:tc>
        <w:tc>
          <w:tcPr>
            <w:tcW w:w="1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from 30-Year</w:t>
            </w:r>
          </w:p>
        </w:tc>
      </w:tr>
      <w:tr>
        <w:trPr>
          <w:trHeight w:val="23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Heating Degree Days:</w:t>
            </w:r>
          </w:p>
        </w:tc>
        <w:tc>
          <w:tcPr>
            <w:tcW w:w="2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Actual</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Average</w:t>
            </w: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to Prior Year</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Actual</w:t>
            </w:r>
          </w:p>
        </w:tc>
        <w:tc>
          <w:tcPr>
            <w:tcW w:w="1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Times New Roman" w:cs="Times New Roman" w:eastAsia="Times New Roman" w:hAnsi="Times New Roman"/>
                <w:sz w:val="18"/>
                <w:szCs w:val="18"/>
                <w:color w:val="auto"/>
              </w:rPr>
              <w:t xml:space="preserve">Arkansas </w:t>
            </w:r>
            <w:r>
              <w:rPr>
                <w:rFonts w:ascii="Times New Roman" w:cs="Times New Roman" w:eastAsia="Times New Roman" w:hAnsi="Times New Roman"/>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68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CEFFE7"/>
          </w:tcPr>
          <w:p>
            <w:pPr>
              <w:jc w:val="center"/>
              <w:ind w:right="11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Colorado</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Nebraska</w:t>
            </w:r>
          </w:p>
        </w:tc>
        <w:tc>
          <w:tcPr>
            <w:tcW w:w="23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540" w:type="dxa"/>
            <w:vAlign w:val="bottom"/>
            <w:tcBorders>
              <w:bottom w:val="single" w:sz="8" w:color="CEFFE7"/>
            </w:tcBorders>
            <w:shd w:val="clear" w:color="auto" w:fill="CEFFE7"/>
          </w:tcPr>
          <w:p>
            <w:pPr>
              <w:jc w:val="center"/>
              <w:ind w:right="11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Iowa</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Kansas </w:t>
            </w:r>
            <w:r>
              <w:rPr>
                <w:rFonts w:ascii="Times New Roman" w:cs="Times New Roman" w:eastAsia="Times New Roman" w:hAnsi="Times New Roman"/>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6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540" w:type="dxa"/>
            <w:vAlign w:val="bottom"/>
            <w:shd w:val="clear" w:color="auto" w:fill="CEFFE7"/>
          </w:tcPr>
          <w:p>
            <w:pPr>
              <w:jc w:val="center"/>
              <w:ind w:right="11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Wyoming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Combined </w:t>
            </w:r>
            <w:r>
              <w:rPr>
                <w:rFonts w:ascii="Times New Roman" w:cs="Times New Roman" w:eastAsia="Times New Roman" w:hAnsi="Times New Roman"/>
                <w:sz w:val="25"/>
                <w:szCs w:val="25"/>
                <w:color w:val="auto"/>
                <w:vertAlign w:val="superscript"/>
              </w:rPr>
              <w:t>(b)</w:t>
            </w:r>
          </w:p>
        </w:tc>
        <w:tc>
          <w:tcPr>
            <w:tcW w:w="23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68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EFFE7"/>
          </w:tcPr>
          <w:p>
            <w:pPr>
              <w:jc w:val="center"/>
              <w:ind w:right="11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6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80"/>
        </w:trPr>
        <w:tc>
          <w:tcPr>
            <w:tcW w:w="3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__________</w:t>
            </w:r>
          </w:p>
        </w:tc>
        <w:tc>
          <w:tcPr>
            <w:tcW w:w="2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ind w:left="340" w:right="440" w:hanging="332"/>
        <w:spacing w:after="0" w:line="246"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Arkansas has a weather normalization mechanism in effect during the months of November through April for customers with residential and certain business rate schedules. Kansas Gas has a weather normalization mechanism within its residential and business rate structure. The weather normalization mechanism in Arkansas differs from that in Kansas in that it only uses one location to calculate the weather, compared to Kansas, which uses multiple locations. The weather normalization mechanisms in both Arkansas and Kansas minimize weather impact on gross margins.</w:t>
      </w:r>
    </w:p>
    <w:p>
      <w:pPr>
        <w:spacing w:after="0" w:line="1" w:lineRule="exact"/>
        <w:rPr>
          <w:rFonts w:ascii="Times New Roman" w:cs="Times New Roman" w:eastAsia="Times New Roman" w:hAnsi="Times New Roman"/>
          <w:sz w:val="16"/>
          <w:szCs w:val="16"/>
          <w:color w:val="auto"/>
        </w:rPr>
      </w:pPr>
    </w:p>
    <w:p>
      <w:pPr>
        <w:ind w:left="340" w:right="640" w:hanging="332"/>
        <w:spacing w:after="0" w:line="257"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47" w:right="2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2017 Annual Report on Form 10-K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Power Generation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4"/>
                <w:szCs w:val="24"/>
                <w:color w:val="auto"/>
              </w:rPr>
            </w:pPr>
          </w:p>
        </w:tc>
        <w:tc>
          <w:tcPr>
            <w:tcW w:w="34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23,603</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22,927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68,590</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68,289</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7,434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7,646</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25,520</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24,228</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4,927</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60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9,126</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8,682</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30,447</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27,540</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14,477</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14,245</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38,143</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40,749</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10,685</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27,766</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28,584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25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17,319</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18,017</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5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40" w:hanging="332"/>
        <w:spacing w:after="0" w:line="252"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18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2016, Black Hills Electric Generation sold a 49.9%, noncontrolling interest in Colorado IPP. Black Hills Electric Generation continues to be the majority owner and operator of the facility, which is contracted to provide capacity and energy through 2031 to Colorado Electric. Net income available for common stock for the three months ended September 30, 2018 and September 30, 2017 was reduced by $4.0 million and $3.9 million, respectively, attributable to this noncontrolling interest.</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Power Generation for the Three Months Ended September 30, 2018 Compared to the Three Months Ended September 30, 2017: </w:t>
      </w:r>
      <w:r>
        <w:rPr>
          <w:rFonts w:ascii="Times New Roman" w:cs="Times New Roman" w:eastAsia="Times New Roman" w:hAnsi="Times New Roman"/>
          <w:sz w:val="18"/>
          <w:szCs w:val="18"/>
          <w:color w:val="auto"/>
        </w:rPr>
        <w:t>Net income from continuing operations available for common stock for the Power Generation segment was $6.7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2018, compared to Net income from continuing operations available for common stock of $6.2 million for the same period in 2017. Revenue increased in the current year due to higher PPA prices and an increase in MWh sold. Operating expenses were comparable to the same period in the prior year reflecting lower maintenance expenses, offset by higher depreciation. Interest expense increased from the same period in the prior year due to higher interest rates. The variance in tax expense reflects the reduction in the federal tax rate from 35% to 21% from the TCJA, effective January 1, 2018.</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Power Generation for the Nine Months Ended September 30, 2018 Compared to the Nine Months Ended September 30, 2017: </w:t>
      </w:r>
      <w:r>
        <w:rPr>
          <w:rFonts w:ascii="Times New Roman" w:cs="Times New Roman" w:eastAsia="Times New Roman" w:hAnsi="Times New Roman"/>
          <w:sz w:val="18"/>
          <w:szCs w:val="18"/>
          <w:color w:val="auto"/>
        </w:rPr>
        <w:t>Net income from continuing operations available for common stock for the Power Generation segment was $17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2018, compared to Net income from continuing operations available for common stock of $18 million for the same period in 2017. Revenue increased in the current year as a result of higher PPA prices and an increase in MWh sold. Operating expenses increased from the same period in the prior year due to higher maintenance expenses primarily related to outage costs at Wygen I and higher depreciation. Interest expense increased from the same period in the prior year due to higher interest rates. The variance in tax expense reflects the reduction in the federal tax rate from 35% to 21% from the TCJA, effective January 1, 2018, partially offset by $0.7 million of additional tax expense associated with changes in the prior estimated impact of tax reform on deferred income taxes.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576"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summarizes MWh for our Power Generation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2018</w:t>
            </w: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2017</w:t>
            </w:r>
          </w:p>
        </w:tc>
        <w:tc>
          <w:tcPr>
            <w:tcW w:w="18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2018</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Quantities Sold, Generated and Purchased</w:t>
            </w:r>
          </w:p>
        </w:tc>
        <w:tc>
          <w:tcPr>
            <w:tcW w:w="2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4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(MWh) </w:t>
            </w:r>
            <w:r>
              <w:rPr>
                <w:rFonts w:ascii="Times New Roman" w:cs="Times New Roman" w:eastAsia="Times New Roman" w:hAnsi="Times New Roman"/>
                <w:sz w:val="25"/>
                <w:szCs w:val="25"/>
                <w:color w:val="auto"/>
                <w:vertAlign w:val="superscript"/>
              </w:rPr>
              <w:t>(a)</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Sold</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Black Hills Colorado IPP </w:t>
            </w:r>
            <w:r>
              <w:rPr>
                <w:rFonts w:ascii="Times New Roman" w:cs="Times New Roman" w:eastAsia="Times New Roman" w:hAnsi="Times New Roman"/>
                <w:sz w:val="25"/>
                <w:szCs w:val="25"/>
                <w:color w:val="auto"/>
                <w:vertAlign w:val="superscript"/>
              </w:rPr>
              <w:t>(b)</w:t>
            </w: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304,102</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256,895</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745,365</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725,919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160,011</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Times New Roman" w:cs="Times New Roman" w:eastAsia="Times New Roman" w:hAnsi="Times New Roman"/>
                <w:sz w:val="18"/>
                <w:szCs w:val="18"/>
                <w:color w:val="auto"/>
              </w:rPr>
              <w:t>163,690</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470,072</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476,659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40" w:type="dxa"/>
            <w:vAlign w:val="bottom"/>
            <w:tcBorders>
              <w:bottom w:val="single" w:sz="8" w:color="CEFFE7"/>
            </w:tcBorders>
          </w:tcPr>
          <w:p>
            <w:pPr>
              <w:ind w:left="820"/>
              <w:spacing w:after="0"/>
              <w:rPr>
                <w:sz w:val="20"/>
                <w:szCs w:val="20"/>
                <w:color w:val="auto"/>
              </w:rPr>
            </w:pPr>
            <w:r>
              <w:rPr>
                <w:rFonts w:ascii="Times New Roman" w:cs="Times New Roman" w:eastAsia="Times New Roman" w:hAnsi="Times New Roman"/>
                <w:sz w:val="18"/>
                <w:szCs w:val="18"/>
                <w:color w:val="auto"/>
              </w:rPr>
              <w:t>Total Sold</w:t>
            </w:r>
          </w:p>
        </w:tc>
        <w:tc>
          <w:tcPr>
            <w:tcW w:w="2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464,113</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420,585</w:t>
            </w:r>
          </w:p>
        </w:tc>
        <w:tc>
          <w:tcPr>
            <w:tcW w:w="1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1,215,437</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1,202,578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6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Generated</w:t>
            </w:r>
          </w:p>
        </w:tc>
        <w:tc>
          <w:tcPr>
            <w:tcW w:w="2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Black Hills Colorado IPP </w:t>
            </w:r>
            <w:r>
              <w:rPr>
                <w:rFonts w:ascii="Times New Roman" w:cs="Times New Roman" w:eastAsia="Times New Roman" w:hAnsi="Times New Roman"/>
                <w:sz w:val="25"/>
                <w:szCs w:val="25"/>
                <w:color w:val="auto"/>
                <w:vertAlign w:val="superscript"/>
              </w:rPr>
              <w:t>(b)</w:t>
            </w:r>
          </w:p>
        </w:tc>
        <w:tc>
          <w:tcPr>
            <w:tcW w:w="2000" w:type="dxa"/>
            <w:vAlign w:val="bottom"/>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304,102</w:t>
            </w:r>
          </w:p>
        </w:tc>
        <w:tc>
          <w:tcPr>
            <w:tcW w:w="1660" w:type="dxa"/>
            <w:vAlign w:val="bottom"/>
            <w:shd w:val="clear" w:color="auto" w:fill="CEFFE7"/>
          </w:tcPr>
          <w:p>
            <w:pPr>
              <w:jc w:val="right"/>
              <w:ind w:right="250"/>
              <w:spacing w:after="0"/>
              <w:rPr>
                <w:sz w:val="20"/>
                <w:szCs w:val="20"/>
                <w:color w:val="auto"/>
              </w:rPr>
            </w:pPr>
            <w:r>
              <w:rPr>
                <w:rFonts w:ascii="Times New Roman" w:cs="Times New Roman" w:eastAsia="Times New Roman" w:hAnsi="Times New Roman"/>
                <w:sz w:val="18"/>
                <w:szCs w:val="18"/>
                <w:color w:val="auto"/>
              </w:rPr>
              <w:t>256,895</w:t>
            </w:r>
          </w:p>
        </w:tc>
        <w:tc>
          <w:tcPr>
            <w:tcW w:w="1860" w:type="dxa"/>
            <w:vAlign w:val="bottom"/>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745,365</w:t>
            </w:r>
          </w:p>
        </w:tc>
        <w:tc>
          <w:tcPr>
            <w:tcW w:w="142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725,919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5"/>
                <w:szCs w:val="25"/>
                <w:color w:val="auto"/>
                <w:vertAlign w:val="superscript"/>
              </w:rPr>
              <w:t>(c)</w:t>
            </w:r>
          </w:p>
        </w:tc>
        <w:tc>
          <w:tcPr>
            <w:tcW w:w="2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144,476</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140,081</w:t>
            </w:r>
          </w:p>
        </w:tc>
        <w:tc>
          <w:tcPr>
            <w:tcW w:w="1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407,324</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820"/>
              <w:spacing w:after="0"/>
              <w:rPr>
                <w:sz w:val="20"/>
                <w:szCs w:val="20"/>
                <w:color w:val="auto"/>
              </w:rPr>
            </w:pPr>
            <w:r>
              <w:rPr>
                <w:rFonts w:ascii="Times New Roman" w:cs="Times New Roman" w:eastAsia="Times New Roman" w:hAnsi="Times New Roman"/>
                <w:sz w:val="18"/>
                <w:szCs w:val="18"/>
                <w:color w:val="auto"/>
              </w:rPr>
              <w:t>Total Generated</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448,578</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Times New Roman" w:cs="Times New Roman" w:eastAsia="Times New Roman" w:hAnsi="Times New Roman"/>
                <w:sz w:val="18"/>
                <w:szCs w:val="18"/>
                <w:color w:val="auto"/>
              </w:rPr>
              <w:t>396,976</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1,152,689</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1,133,694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200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Black Hills Colorado IPP</w:t>
            </w: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Black Hills Wyoming </w:t>
            </w:r>
            <w:r>
              <w:rPr>
                <w:rFonts w:ascii="Times New Roman" w:cs="Times New Roman" w:eastAsia="Times New Roman" w:hAnsi="Times New Roman"/>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16,685</w:t>
            </w:r>
          </w:p>
        </w:tc>
        <w:tc>
          <w:tcPr>
            <w:tcW w:w="1660" w:type="dxa"/>
            <w:vAlign w:val="bottom"/>
            <w:tcBorders>
              <w:bottom w:val="single" w:sz="8" w:color="auto"/>
            </w:tcBorders>
            <w:shd w:val="clear" w:color="auto" w:fill="CEFFE7"/>
          </w:tcPr>
          <w:p>
            <w:pPr>
              <w:jc w:val="right"/>
              <w:ind w:right="250"/>
              <w:spacing w:after="0"/>
              <w:rPr>
                <w:sz w:val="20"/>
                <w:szCs w:val="20"/>
                <w:color w:val="auto"/>
              </w:rPr>
            </w:pPr>
            <w:r>
              <w:rPr>
                <w:rFonts w:ascii="Times New Roman" w:cs="Times New Roman" w:eastAsia="Times New Roman" w:hAnsi="Times New Roman"/>
                <w:sz w:val="18"/>
                <w:szCs w:val="18"/>
                <w:color w:val="auto"/>
              </w:rPr>
              <w:t>20,246</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65,724</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Purchased</w:t>
            </w:r>
          </w:p>
        </w:tc>
        <w:tc>
          <w:tcPr>
            <w:tcW w:w="2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16,685</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20,246</w:t>
            </w:r>
          </w:p>
        </w:tc>
        <w:tc>
          <w:tcPr>
            <w:tcW w:w="1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65,724</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390"/>
              <w:spacing w:after="0"/>
              <w:rPr>
                <w:sz w:val="20"/>
                <w:szCs w:val="20"/>
                <w:color w:val="auto"/>
              </w:rPr>
            </w:pPr>
            <w:r>
              <w:rPr>
                <w:rFonts w:ascii="Times New Roman" w:cs="Times New Roman" w:eastAsia="Times New Roman" w:hAnsi="Times New Roman"/>
                <w:sz w:val="16"/>
                <w:szCs w:val="16"/>
                <w:color w:val="auto"/>
                <w:w w:val="99"/>
              </w:rPr>
              <w:t>____________</w:t>
            </w:r>
          </w:p>
        </w:tc>
        <w:tc>
          <w:tcPr>
            <w:tcW w:w="2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uses and losses are not included in the quantities sold, generated, and purchased.</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 from the prior year is a result of the impact of Colorado Electric’s wind generation replacing natural-gas generation.</w:t>
      </w:r>
    </w:p>
    <w:p>
      <w:pPr>
        <w:spacing w:after="0" w:line="5" w:lineRule="exact"/>
        <w:rPr>
          <w:rFonts w:ascii="Times New Roman" w:cs="Times New Roman" w:eastAsia="Times New Roman" w:hAnsi="Times New Roman"/>
          <w:sz w:val="16"/>
          <w:szCs w:val="16"/>
          <w:color w:val="auto"/>
        </w:rPr>
      </w:pPr>
    </w:p>
    <w:p>
      <w:pPr>
        <w:ind w:left="340" w:hanging="332"/>
        <w:spacing w:after="0" w:line="252"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operating statistics for our plants within the Power Generation segment: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7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5460" w:type="dxa"/>
            <w:vAlign w:val="bottom"/>
            <w:gridSpan w:val="2"/>
          </w:tcPr>
          <w:p>
            <w:pPr>
              <w:ind w:left="5000"/>
              <w:spacing w:after="0"/>
              <w:rPr>
                <w:sz w:val="20"/>
                <w:szCs w:val="20"/>
                <w:color w:val="auto"/>
              </w:rPr>
            </w:pPr>
            <w:r>
              <w:rPr>
                <w:rFonts w:ascii="Times New Roman" w:cs="Times New Roman" w:eastAsia="Times New Roman" w:hAnsi="Times New Roman"/>
                <w:sz w:val="18"/>
                <w:szCs w:val="18"/>
                <w:color w:val="auto"/>
              </w:rPr>
              <w:t>2018</w:t>
            </w:r>
          </w:p>
        </w:tc>
        <w:tc>
          <w:tcPr>
            <w:tcW w:w="920" w:type="dxa"/>
            <w:vAlign w:val="bottom"/>
          </w:tcPr>
          <w:p>
            <w:pPr>
              <w:spacing w:after="0"/>
              <w:rPr>
                <w:sz w:val="23"/>
                <w:szCs w:val="23"/>
                <w:color w:val="auto"/>
              </w:rPr>
            </w:pPr>
          </w:p>
        </w:tc>
        <w:tc>
          <w:tcPr>
            <w:tcW w:w="17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2017</w:t>
            </w:r>
          </w:p>
        </w:tc>
        <w:tc>
          <w:tcPr>
            <w:tcW w:w="19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2018</w:t>
            </w: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Contracted power plant fleet availability:</w:t>
            </w: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Coal-fired plant</w:t>
            </w:r>
          </w:p>
        </w:tc>
        <w:tc>
          <w:tcPr>
            <w:tcW w:w="920" w:type="dxa"/>
            <w:vAlign w:val="bottom"/>
            <w:tcBorders>
              <w:bottom w:val="single" w:sz="8" w:color="CEFFE7"/>
            </w:tcBorders>
            <w:shd w:val="clear" w:color="auto" w:fill="CEFFE7"/>
          </w:tcPr>
          <w:p>
            <w:pPr>
              <w:jc w:val="right"/>
              <w:ind w:right="270"/>
              <w:spacing w:after="0"/>
              <w:rPr>
                <w:sz w:val="20"/>
                <w:szCs w:val="20"/>
                <w:color w:val="auto"/>
              </w:rPr>
            </w:pPr>
            <w:r>
              <w:rPr>
                <w:rFonts w:ascii="Times New Roman" w:cs="Times New Roman" w:eastAsia="Times New Roman" w:hAnsi="Times New Roman"/>
                <w:sz w:val="18"/>
                <w:szCs w:val="18"/>
                <w:color w:val="auto"/>
              </w:rPr>
              <w:t>97.9%</w:t>
            </w:r>
          </w:p>
        </w:tc>
        <w:tc>
          <w:tcPr>
            <w:tcW w:w="1700" w:type="dxa"/>
            <w:vAlign w:val="bottom"/>
            <w:tcBorders>
              <w:bottom w:val="single" w:sz="8" w:color="CEFFE7"/>
            </w:tcBorders>
            <w:shd w:val="clear" w:color="auto" w:fill="CEFFE7"/>
          </w:tcPr>
          <w:p>
            <w:pPr>
              <w:jc w:val="right"/>
              <w:ind w:right="230"/>
              <w:spacing w:after="0"/>
              <w:rPr>
                <w:sz w:val="20"/>
                <w:szCs w:val="20"/>
                <w:color w:val="auto"/>
              </w:rPr>
            </w:pPr>
            <w:r>
              <w:rPr>
                <w:rFonts w:ascii="Times New Roman" w:cs="Times New Roman" w:eastAsia="Times New Roman" w:hAnsi="Times New Roman"/>
                <w:sz w:val="18"/>
                <w:szCs w:val="18"/>
                <w:color w:val="auto"/>
              </w:rPr>
              <w:t>97.1%</w:t>
            </w:r>
          </w:p>
        </w:tc>
        <w:tc>
          <w:tcPr>
            <w:tcW w:w="1900" w:type="dxa"/>
            <w:vAlign w:val="bottom"/>
            <w:tcBorders>
              <w:bottom w:val="single" w:sz="8" w:color="CEFFE7"/>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93.9%</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43"/>
        </w:trPr>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Natural gas-fired plants</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99.3%</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99.2%</w:t>
            </w:r>
          </w:p>
        </w:tc>
        <w:tc>
          <w:tcPr>
            <w:tcW w:w="1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Times New Roman" w:cs="Times New Roman" w:eastAsia="Times New Roman" w:hAnsi="Times New Roman"/>
                <w:sz w:val="18"/>
                <w:szCs w:val="18"/>
                <w:color w:val="auto"/>
              </w:rPr>
              <w:t>Total availability</w:t>
            </w:r>
          </w:p>
        </w:tc>
        <w:tc>
          <w:tcPr>
            <w:tcW w:w="920" w:type="dxa"/>
            <w:vAlign w:val="bottom"/>
            <w:tcBorders>
              <w:bottom w:val="single" w:sz="8" w:color="CEFFE7"/>
            </w:tcBorders>
            <w:shd w:val="clear" w:color="auto" w:fill="CEFFE7"/>
          </w:tcPr>
          <w:p>
            <w:pPr>
              <w:jc w:val="right"/>
              <w:ind w:right="270"/>
              <w:spacing w:after="0"/>
              <w:rPr>
                <w:sz w:val="20"/>
                <w:szCs w:val="20"/>
                <w:color w:val="auto"/>
              </w:rPr>
            </w:pPr>
            <w:r>
              <w:rPr>
                <w:rFonts w:ascii="Times New Roman" w:cs="Times New Roman" w:eastAsia="Times New Roman" w:hAnsi="Times New Roman"/>
                <w:sz w:val="18"/>
                <w:szCs w:val="18"/>
                <w:color w:val="auto"/>
              </w:rPr>
              <w:t>98.9%</w:t>
            </w:r>
          </w:p>
        </w:tc>
        <w:tc>
          <w:tcPr>
            <w:tcW w:w="1700" w:type="dxa"/>
            <w:vAlign w:val="bottom"/>
            <w:tcBorders>
              <w:bottom w:val="single" w:sz="8" w:color="CEFFE7"/>
            </w:tcBorders>
            <w:shd w:val="clear" w:color="auto" w:fill="CEFFE7"/>
          </w:tcPr>
          <w:p>
            <w:pPr>
              <w:jc w:val="right"/>
              <w:ind w:right="230"/>
              <w:spacing w:after="0"/>
              <w:rPr>
                <w:sz w:val="20"/>
                <w:szCs w:val="20"/>
                <w:color w:val="auto"/>
              </w:rPr>
            </w:pPr>
            <w:r>
              <w:rPr>
                <w:rFonts w:ascii="Times New Roman" w:cs="Times New Roman" w:eastAsia="Times New Roman" w:hAnsi="Times New Roman"/>
                <w:sz w:val="18"/>
                <w:szCs w:val="18"/>
                <w:color w:val="auto"/>
              </w:rPr>
              <w:t>98.7%</w:t>
            </w:r>
          </w:p>
        </w:tc>
        <w:tc>
          <w:tcPr>
            <w:tcW w:w="1900" w:type="dxa"/>
            <w:vAlign w:val="bottom"/>
            <w:tcBorders>
              <w:bottom w:val="single" w:sz="8" w:color="CEFFE7"/>
            </w:tcBorders>
            <w:shd w:val="clear" w:color="auto" w:fill="CEFFE7"/>
          </w:tcPr>
          <w:p>
            <w:pPr>
              <w:jc w:val="right"/>
              <w:ind w:right="290"/>
              <w:spacing w:after="0"/>
              <w:rPr>
                <w:sz w:val="20"/>
                <w:szCs w:val="20"/>
                <w:color w:val="auto"/>
              </w:rPr>
            </w:pPr>
            <w:r>
              <w:rPr>
                <w:rFonts w:ascii="Times New Roman" w:cs="Times New Roman" w:eastAsia="Times New Roman" w:hAnsi="Times New Roman"/>
                <w:sz w:val="18"/>
                <w:szCs w:val="18"/>
                <w:color w:val="auto"/>
              </w:rPr>
              <w:t>98.0%</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675"/>
        </w:trPr>
        <w:tc>
          <w:tcPr>
            <w:tcW w:w="4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56</w:t>
            </w:r>
          </w:p>
        </w:tc>
        <w:tc>
          <w:tcPr>
            <w:tcW w:w="1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Mining</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9"/>
        </w:trPr>
        <w:tc>
          <w:tcPr>
            <w:tcW w:w="5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4"/>
                <w:szCs w:val="24"/>
                <w:color w:val="auto"/>
              </w:rPr>
            </w:pPr>
          </w:p>
        </w:tc>
        <w:tc>
          <w:tcPr>
            <w:tcW w:w="348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5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Variance</w:t>
            </w: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17,493</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51,328</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48,985</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2,343</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11,235</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32,807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32,162</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520" w:type="dxa"/>
            <w:vAlign w:val="bottom"/>
            <w:tcBorders>
              <w:bottom w:val="single" w:sz="8" w:color="CEFFE7"/>
            </w:tcBorders>
          </w:tcPr>
          <w:p>
            <w:pPr>
              <w:spacing w:after="0"/>
              <w:rPr>
                <w:sz w:val="2"/>
                <w:szCs w:val="2"/>
                <w:color w:val="auto"/>
              </w:rPr>
            </w:pPr>
          </w:p>
        </w:tc>
        <w:tc>
          <w:tcPr>
            <w:tcW w:w="33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13,239</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38,681</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38,393</w:t>
            </w:r>
          </w:p>
        </w:tc>
        <w:tc>
          <w:tcPr>
            <w:tcW w:w="2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4,254</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12,647</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10,592</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2,055</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9,561</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9,048</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r>
      <w:tr>
        <w:trPr>
          <w:trHeight w:val="20"/>
        </w:trPr>
        <w:tc>
          <w:tcPr>
            <w:tcW w:w="5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0"/>
        </w:trPr>
        <w:tc>
          <w:tcPr>
            <w:tcW w:w="40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58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2017</w:t>
            </w: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tcPr>
          <w:p>
            <w:pPr>
              <w:spacing w:after="0"/>
              <w:rPr>
                <w:sz w:val="23"/>
                <w:szCs w:val="23"/>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4000" w:type="dxa"/>
            <w:vAlign w:val="bottom"/>
            <w:tcBorders>
              <w:bottom w:val="single" w:sz="8" w:color="CEFFE7"/>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Tons of coal sold</w:t>
            </w:r>
          </w:p>
        </w:tc>
        <w:tc>
          <w:tcPr>
            <w:tcW w:w="12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36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w w:val="93"/>
              </w:rPr>
              <w:t>1,151</w:t>
            </w:r>
          </w:p>
        </w:tc>
        <w:tc>
          <w:tcPr>
            <w:tcW w:w="4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3,127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Cubic yards of overburden moved</w:t>
            </w: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3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2,316</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6,381</w:t>
            </w:r>
          </w:p>
        </w:tc>
      </w:tr>
      <w:tr>
        <w:trPr>
          <w:trHeight w:val="27"/>
        </w:trPr>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400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per ton</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3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15.20</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bl>
    <w:p>
      <w:pPr>
        <w:spacing w:after="0" w:line="2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Mining for the Three Months Ended September 30, 2018 Compared to the Three Months Ended September 30, 2017: </w:t>
      </w:r>
      <w:r>
        <w:rPr>
          <w:rFonts w:ascii="Times New Roman" w:cs="Times New Roman" w:eastAsia="Times New Roman" w:hAnsi="Times New Roman"/>
          <w:sz w:val="18"/>
          <w:szCs w:val="18"/>
          <w:color w:val="auto"/>
        </w:rPr>
        <w:t>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from continuing operations available for common stock for the Mining segment was $3.6 million for the three months ended September 30, 2018, compared to Net income from continuing operations available for common stock of $3.5 million for the same period in 2017. Revenue was comparable to the prior year reflecting a 6% decrease in tons sold and a 2% increase in price per ton sold driven by contract price adjustments based on actual mining costs. Current year revenue is also reflective of lease and rental revenue, previously reported in Other income (expense), net. During the current period, approximately 49% of the mine’s production was sold under contracts that include price adjustments based on actual mining costs, including income taxes.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Operating expenses decreased primarily due to lower royalties and production taxes on decreased revenues, and lower major maintenance expenses. Other income (expense), net decreased from the prior year due to the presentation change of lease and rental revenue to Revenue in the current year, previously reported in Other income (expense), net. The variance in tax expense to the prior year reflects the TCJA reduction in the federal corporate income tax rate from 35% to 21% , effective January 1, 2018.</w:t>
      </w:r>
    </w:p>
    <w:p>
      <w:pPr>
        <w:spacing w:after="0" w:line="17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Mining for the Nine Months Ended September 30, 2018 Compared to the Nine Months Ended September 30, 2017: </w:t>
      </w:r>
      <w:r>
        <w:rPr>
          <w:rFonts w:ascii="Times New Roman" w:cs="Times New Roman" w:eastAsia="Times New Roman" w:hAnsi="Times New Roman"/>
          <w:sz w:val="18"/>
          <w:szCs w:val="18"/>
          <w:color w:val="auto"/>
        </w:rPr>
        <w:t>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from continuing operations available for common stock for the Mining segment was $9.6 million for the nine months ended September 30, 2018, compared to Net income from continuing operations available for common stock of $9.0 million for the same period in 2017. Revenue increased primarily due to a 2% increase in price per ton sold. Current year revenue is also reflective of lease and rental revenue, previously reported in Other income (expense), net. During the current period, approximately 49% of the mine’s production was sold under contracts that include price adjustments based on actual mining costs, including income taxes.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67" w:right="239" w:bottom="1440" w:gutter="0" w:footer="0" w:header="0"/>
        </w:sectPr>
      </w:pPr>
    </w:p>
    <w:bookmarkStart w:id="58" w:name="page59"/>
    <w:bookmarkEnd w:id="58"/>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expenses increased primarily due to higher overburden removal and higher fuel expenses. Other income (expense), net decreased from the prior year due to the presentation change of lease and rental revenue to Revenue in the current year, previously reported in Other income (expense), net. The variance in tax expense to the prior year reflects the reduction in the federal corporate income tax rate from 35% to 21% from the TCJA, effective January 1, 2018, partially offset by $0.5 million of additional tax expense associated with changes in the prior estimated impact of tax reform on deferred income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74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tcPr>
          <w:p>
            <w:pPr>
              <w:spacing w:after="0"/>
              <w:rPr>
                <w:sz w:val="20"/>
                <w:szCs w:val="20"/>
                <w:color w:val="auto"/>
              </w:rPr>
            </w:pPr>
          </w:p>
        </w:tc>
        <w:tc>
          <w:tcPr>
            <w:tcW w:w="34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Variance</w:t>
            </w:r>
          </w:p>
        </w:tc>
        <w:tc>
          <w:tcPr>
            <w:tcW w:w="32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EFFE7"/>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Operating (loss) </w:t>
            </w:r>
            <w:r>
              <w:rPr>
                <w:rFonts w:ascii="Times New Roman" w:cs="Times New Roman" w:eastAsia="Times New Roman" w:hAnsi="Times New Roman"/>
                <w:sz w:val="25"/>
                <w:szCs w:val="25"/>
                <w:color w:val="auto"/>
                <w:vertAlign w:val="superscript"/>
              </w:rPr>
              <w:t>(a)</w:t>
            </w:r>
          </w:p>
        </w:tc>
        <w:tc>
          <w:tcPr>
            <w:tcW w:w="820" w:type="dxa"/>
            <w:vAlign w:val="bottom"/>
            <w:shd w:val="clear" w:color="auto" w:fill="CEFFE7"/>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80" w:type="dxa"/>
            <w:vAlign w:val="bottom"/>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2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Interest (expense) income, net </w:t>
            </w:r>
            <w:r>
              <w:rPr>
                <w:rFonts w:ascii="Times New Roman" w:cs="Times New Roman" w:eastAsia="Times New Roman" w:hAnsi="Times New Roman"/>
                <w:sz w:val="25"/>
                <w:szCs w:val="25"/>
                <w:color w:val="auto"/>
                <w:vertAlign w:val="superscript"/>
              </w:rPr>
              <w:t>(a)</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shd w:val="clear" w:color="auto" w:fill="CEFFE7"/>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(635)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EFFE7"/>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(757)</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2830"/>
              <w:spacing w:after="0"/>
              <w:rPr>
                <w:sz w:val="20"/>
                <w:szCs w:val="20"/>
                <w:color w:val="auto"/>
              </w:rPr>
            </w:pPr>
            <w:r>
              <w:rPr>
                <w:rFonts w:ascii="Times New Roman" w:cs="Times New Roman" w:eastAsia="Times New Roman" w:hAnsi="Times New Roman"/>
                <w:sz w:val="16"/>
                <w:szCs w:val="16"/>
                <w:color w:val="auto"/>
                <w:w w:val="99"/>
              </w:rPr>
              <w:t>____________</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Includes certain general and administrative expenses and interest expenses that are not reported as discontinued operations in 2017.</w:t>
      </w:r>
    </w:p>
    <w:p>
      <w:pPr>
        <w:spacing w:after="0" w:line="1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Corporate and Other for the Three Months Ended September 30, 2018 Compared to the Three Months Ended September 30, 2017: </w:t>
      </w:r>
      <w:r>
        <w:rPr>
          <w:rFonts w:ascii="Times New Roman" w:cs="Times New Roman" w:eastAsia="Times New Roman" w:hAnsi="Times New Roman"/>
          <w:sz w:val="18"/>
          <w:szCs w:val="18"/>
          <w:color w:val="auto"/>
        </w:rPr>
        <w:t>Net loss from continuing operations available for common stock for Corporate and Other was $(0.8) million for the three months ended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2018, compared to Net income from continuing operations available for common stock of $(3.7) million for the three months ended September 30, 2017. The variance was driven by higher prior year operating costs previously allocated to our Oil and Gas segment in 2017, which were not reclassified to discontinued operations in 2017, and are allocated to our operating segments in 2018. Income tax benefit (expense) increased in the current year due to higher state income tax expense.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Corporate and Other for the Nine Months Ended September 30, 2018 Compared to the Nine Months Ended September 30, 2017: </w:t>
      </w:r>
      <w:r>
        <w:rPr>
          <w:rFonts w:ascii="Times New Roman" w:cs="Times New Roman" w:eastAsia="Times New Roman" w:hAnsi="Times New Roman"/>
          <w:sz w:val="18"/>
          <w:szCs w:val="18"/>
          <w:color w:val="auto"/>
        </w:rPr>
        <w:t>Net loss from continuing operations available for common stock for Corporate and Other was $(5.9) million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compared to Net loss from continuing operations available for common stock of $(7.0) million for the nine months ended September 30, 2017. The variance to the prior year was driven by higher prior year operating costs previously allocated to our Oil and Gas segment which were not reclassified to discontinued operations in 2017, which are allocated to our operating segments in 2018 and transition and acquisition expenses which occurred in the prior year. The variance in Income tax benefit (expense) was primarily due to a prior year tax benefit of $1.4 million comprised primarily of benefits from a carryback claim for specified liability losses involving prior tax years and current year tax expense.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580"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Results of Discontinued Operations for the Three Months Ended September 30, 2018 Compared to the Three Months Ended September 30, 2017: </w:t>
      </w:r>
      <w:r>
        <w:rPr>
          <w:rFonts w:ascii="Times New Roman" w:cs="Times New Roman" w:eastAsia="Times New Roman" w:hAnsi="Times New Roman"/>
          <w:sz w:val="18"/>
          <w:szCs w:val="18"/>
          <w:color w:val="auto"/>
        </w:rPr>
        <w:t>Net loss from discontinued operations was $(0.9) million for the three months ended September 30, 2018, compared to Net loss from discontinued operations of $(1.3) million for the same period in 2017. The variance to the prior year is driven by lower revenues due to property sales and higher losses on sales of operating assets, partially offset by lower oil and gas operating expenses and lower employee costs. Depreciation and depletion expense was recorded in the prior year under full cost accounting, which ceased November 1, 2017 due to reclassification to assets held for sale.</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Results of Discontinued Operations for the Nine Months Ended September 30, 2018 Compared to the Nine Months Ended September 30, 2017: </w:t>
      </w:r>
      <w:r>
        <w:rPr>
          <w:rFonts w:ascii="Times New Roman" w:cs="Times New Roman" w:eastAsia="Times New Roman" w:hAnsi="Times New Roman"/>
          <w:sz w:val="18"/>
          <w:szCs w:val="18"/>
          <w:color w:val="auto"/>
        </w:rPr>
        <w:t>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from discontinued operations was $(5.6) million for the nine months ended September 30, 2018, compared to Net loss from discontinued operations of $(3.5) million for the same period in 2017. The variance to the prior year is driven by lower revenues due to property sales and higher losses on sales of operating assets, partially offset by lower oil and gas operating expenses and lower employee costs. Current year depreciation expense is representative of the amortization of the remaining book value of accounting software. Depreciation and depletion expense was recorded in the prior year under full cost accounting, which ceased November 1, 2017 due to reclassification to assets held for sale.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reported in our 2017 Annual Report on Form 10-K filed with the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critical accounting estimates, see Part II, Item 7 of our 2017 Annual Report on Form 10-K.</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578" w:right="29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expect an increase in working capital requirements as a result of complying with the TCJA and the impact of providing TCJA benefits to customers.</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Factors Affecting Liquidity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September 30, 2018, we had sufficient liquidity to cover collateral that could be required to be posted under these contracts.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TCJA legislation was signed into law on December 22, 2017. The new tax law required revaluation at December 31, 2017 of federal deferred tax assets and liabilities using the new lower corporate tax rate of 21%. As a result of the revaluation, deferred tax assets and liabilities were reduced by approximately $309 million. Of the $309 million, approximately $301 million is related to our regulated utilities and is reclassified to a regulatory liability. During the nine months ended September 30, 2018, we recorded approximately $16 million of additional regulatory liability associated with TJCA related items. This regulatory liability will generally be amortized over the remaining life of the related assets as specifically prescribed in the TCJA.</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expect an increase in working capital requirements as a result of complying with the TCJA and the impact of providing TCJA benefits to customers. We estimate the lower tax rate will negatively impact the Company’s cash flows by approximately $40 million to $45 million annually for the next several years. Each of our utilities is working with their respective regulators to address the impact of tax reform and the appropriate benefit to customers. See Note 5 for more information on regulatory matters.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576" w:right="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September 30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Increase</w:t>
            </w:r>
          </w:p>
        </w:tc>
      </w:tr>
      <w:tr>
        <w:trPr>
          <w:trHeight w:val="234"/>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378,722</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319,430</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59,292</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(281,771)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(255,978)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(25,793)</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360" w:type="dxa"/>
            <w:vAlign w:val="bottom"/>
            <w:shd w:val="clear" w:color="auto" w:fill="CEFFE7"/>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24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(38,837)</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2018 Compared to Year-to-Date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$379 million for the nine months ended September 30, 2018, compared to net cash provided by operating activities of $319 million for the same period in 2017 for an increase of $59 million. The variance was primarily attributable to:</w:t>
      </w:r>
    </w:p>
    <w:p>
      <w:pPr>
        <w:spacing w:after="0" w:line="162" w:lineRule="exact"/>
        <w:rPr>
          <w:sz w:val="20"/>
          <w:szCs w:val="20"/>
          <w:color w:val="auto"/>
        </w:rPr>
      </w:pPr>
    </w:p>
    <w:p>
      <w:pPr>
        <w:ind w:left="660" w:right="3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 (income from continuing operations plus non-cash adjustments) were $14 million lower for the nine months ended September 30, 2018 compared to the same period in the prior year;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inflows from changes in operating assets and liabilities were $29 million for the nine months ended September 30, 2018, compared to net cash outflows of $60 million in the same period in the prior year. This $90 million increase was primarily due to:</w:t>
      </w:r>
    </w:p>
    <w:p>
      <w:pPr>
        <w:spacing w:after="0" w:line="161" w:lineRule="exact"/>
        <w:rPr>
          <w:rFonts w:ascii="Times New Roman" w:cs="Times New Roman" w:eastAsia="Times New Roman" w:hAnsi="Times New Roman"/>
          <w:sz w:val="18"/>
          <w:szCs w:val="18"/>
          <w:color w:val="auto"/>
        </w:rPr>
      </w:pPr>
    </w:p>
    <w:p>
      <w:pPr>
        <w:ind w:left="1140" w:right="42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decreased by approximately $21 million primarily as a result of increases in pre-paid tax assets and lower collections of accounts receivable, partially offset by lower natural gas in storage for the nine months ended September 30, 2018 compared to the same period in the prior year;</w:t>
      </w:r>
    </w:p>
    <w:p>
      <w:pPr>
        <w:spacing w:after="0" w:line="176"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outflows decreased by approximately $26 million as a result of increases in accounts payable and accrued liabilities driven by changes in prior year accrued interest and contract payments and other working capital requirements;</w:t>
      </w:r>
    </w:p>
    <w:p>
      <w:pPr>
        <w:spacing w:after="0" w:line="161" w:lineRule="exact"/>
        <w:rPr>
          <w:rFonts w:ascii="Times New Roman" w:cs="Times New Roman" w:eastAsia="Times New Roman" w:hAnsi="Times New Roman"/>
          <w:sz w:val="18"/>
          <w:szCs w:val="18"/>
          <w:color w:val="auto"/>
        </w:rPr>
      </w:pPr>
    </w:p>
    <w:p>
      <w:pPr>
        <w:ind w:left="1140" w:right="820" w:hanging="322"/>
        <w:spacing w:after="0" w:line="313" w:lineRule="auto"/>
        <w:tabs>
          <w:tab w:leader="none" w:pos="114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inflows increased by approximately $66 million as a result of changes in our current regulatory assets and liabilities driven by differences in fuel cost adjustments and cash collected from customers that will be refunded due to the TCJA tax rate change; and</w:t>
      </w:r>
    </w:p>
    <w:p>
      <w:pPr>
        <w:spacing w:after="0" w:line="138"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outflows decreased by $15 million due to additional pension contributions made in the prior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$282 million for the nine months ended September 30, 2018, compared to net cash used in investing activities of $256 million for the same period in 2017 for a variance of $26 million. The variance was primarily attributable to:</w:t>
      </w:r>
    </w:p>
    <w:p>
      <w:pPr>
        <w:spacing w:after="0" w:line="162" w:lineRule="exact"/>
        <w:rPr>
          <w:sz w:val="20"/>
          <w:szCs w:val="20"/>
          <w:color w:val="auto"/>
        </w:rPr>
      </w:pPr>
    </w:p>
    <w:p>
      <w:pPr>
        <w:ind w:left="660" w:right="8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$278 million for the nine months ended September 30, 2018 compared to $239 million for the same period in the prior year. Higher current year expenditures at our gas utilities, mining and power generation segments are partially offset by higher prior year expenditures at our electric utilities which included completion of the second segment of the 144-mile long Teckla-Lange transmission line and construction of our Horizon Point facility.</w:t>
      </w:r>
    </w:p>
    <w:p>
      <w:pPr>
        <w:spacing w:after="0" w:line="18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change in net cash provided by investing activities from discontinued operations primarily due to the sale of assets held for sale partially offset by a $24 million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2018 was $102 million, compared to $63 million of net cash used in financing activities for the same period in 2017 for a variance of $39 million. This variance is primarily due to:</w:t>
      </w:r>
    </w:p>
    <w:p>
      <w:pPr>
        <w:spacing w:after="0" w:line="162" w:lineRule="exact"/>
        <w:rPr>
          <w:sz w:val="20"/>
          <w:szCs w:val="20"/>
          <w:color w:val="auto"/>
        </w:rPr>
      </w:pPr>
    </w:p>
    <w:p>
      <w:pPr>
        <w:ind w:left="660" w:right="14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borrowings increased due to the issuance of $400 million principal amount senior secured notes in 2018, a portion of which were issued in exchange for $299 million principal amount of our RSNs due 2028 (which were immediately retired) and a portion of which were sold to the public with $99 million of net proceeds used to pay down short-term debt;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our $300 million unsecured term loan due August 2019;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net short-term borrowings of $129 million offset by prior year long-term debt repayments of $104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higher current year dividend payments; and</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payments for other financing activities of approximately $3.7 million driven primarily by the July 30, 2018 and August 17, 2018 debt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Dividends paid on our common stock totaled $76 million for the nine months ended September 30, 2018, or $0.475 per share per quarter. On October 30, 2018, our board of directors declared a quarterly dividend of $0.505 per share payable December 1, 2018, equivalent to an annual dividend of $2.02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sources to meet day-to-day operating cash requirements are cash from operations, our CP Program and our corporate Revolving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 and CP Program</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See Note 9 for more information.</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a $750 million, unsecured CP Program that is backstopped by the Revolving Credit Facility. Amounts outstanding under the Revolving Credit Facility and the CP Program, either individually or in the aggregate, cannot exceed $750 million. See Note 9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CP Program Borrowings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Current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Revolver Borrowings at</w:t>
            </w:r>
          </w:p>
        </w:tc>
        <w:tc>
          <w:tcPr>
            <w:tcW w:w="260" w:type="dxa"/>
            <w:vAlign w:val="bottom"/>
          </w:tcPr>
          <w:p>
            <w:pPr>
              <w:spacing w:after="0"/>
              <w:rPr>
                <w:sz w:val="20"/>
                <w:szCs w:val="20"/>
                <w:color w:val="auto"/>
              </w:rPr>
            </w:pP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at</w:t>
            </w:r>
          </w:p>
        </w:tc>
        <w:tc>
          <w:tcPr>
            <w:tcW w:w="20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Available Capacity at</w:t>
            </w:r>
          </w:p>
        </w:tc>
      </w:tr>
      <w:tr>
        <w:trPr>
          <w:trHeight w:val="27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Expiration</w:t>
            </w:r>
          </w:p>
        </w:tc>
        <w:tc>
          <w:tcPr>
            <w:tcW w:w="16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Capacity</w:t>
            </w:r>
          </w:p>
        </w:tc>
        <w:tc>
          <w:tcPr>
            <w:tcW w:w="22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260" w:type="dxa"/>
            <w:vAlign w:val="bottom"/>
          </w:tcPr>
          <w:p>
            <w:pPr>
              <w:spacing w:after="0"/>
              <w:rPr>
                <w:sz w:val="23"/>
                <w:szCs w:val="23"/>
                <w:color w:val="auto"/>
              </w:rPr>
            </w:pPr>
          </w:p>
        </w:tc>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2018</w:t>
            </w:r>
          </w:p>
        </w:tc>
        <w:tc>
          <w:tcPr>
            <w:tcW w:w="20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200" w:type="dxa"/>
            <w:vAlign w:val="bottom"/>
          </w:tcPr>
          <w:p>
            <w:pPr>
              <w:spacing w:after="0"/>
              <w:rPr>
                <w:sz w:val="23"/>
                <w:szCs w:val="23"/>
                <w:color w:val="auto"/>
              </w:rPr>
            </w:pP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2018</w:t>
            </w:r>
          </w:p>
        </w:tc>
      </w:tr>
      <w:tr>
        <w:trPr>
          <w:trHeight w:val="27"/>
        </w:trPr>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8"/>
        </w:trPr>
        <w:tc>
          <w:tcPr>
            <w:tcW w:w="1500" w:type="dxa"/>
            <w:vAlign w:val="bottom"/>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Revolving Credit</w:t>
            </w:r>
          </w:p>
        </w:tc>
        <w:tc>
          <w:tcPr>
            <w:tcW w:w="1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70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7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7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780" w:type="dxa"/>
            <w:vAlign w:val="bottom"/>
            <w:shd w:val="clear" w:color="auto" w:fill="CEFFE7"/>
          </w:tcPr>
          <w:p>
            <w:pPr>
              <w:spacing w:after="0"/>
              <w:rPr>
                <w:sz w:val="18"/>
                <w:szCs w:val="18"/>
                <w:color w:val="auto"/>
              </w:rPr>
            </w:pPr>
          </w:p>
        </w:tc>
      </w:tr>
      <w:tr>
        <w:trPr>
          <w:trHeight w:val="241"/>
        </w:trPr>
        <w:tc>
          <w:tcPr>
            <w:tcW w:w="15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Facility</w:t>
            </w:r>
          </w:p>
        </w:tc>
        <w:tc>
          <w:tcPr>
            <w:tcW w:w="1240" w:type="dxa"/>
            <w:vAlign w:val="bottom"/>
            <w:tcBorders>
              <w:bottom w:val="single" w:sz="8" w:color="CEFFE7"/>
            </w:tcBorders>
            <w:shd w:val="clear" w:color="auto" w:fill="CEFFE7"/>
          </w:tcPr>
          <w:p>
            <w:pPr>
              <w:jc w:val="center"/>
              <w:ind w:left="50"/>
              <w:spacing w:after="0"/>
              <w:rPr>
                <w:sz w:val="20"/>
                <w:szCs w:val="20"/>
                <w:color w:val="auto"/>
              </w:rPr>
            </w:pPr>
            <w:r>
              <w:rPr>
                <w:rFonts w:ascii="Times New Roman" w:cs="Times New Roman" w:eastAsia="Times New Roman" w:hAnsi="Times New Roman"/>
                <w:sz w:val="18"/>
                <w:szCs w:val="18"/>
                <w:color w:val="auto"/>
              </w:rPr>
              <w:t>July 30, 2023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EFFE7"/>
            </w:tcBorders>
            <w:shd w:val="clear" w:color="auto" w:fill="CEFFE7"/>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675"/>
        </w:trPr>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3" w:name="page64"/>
    <w:bookmarkEnd w:id="63"/>
    <w:p>
      <w:pPr>
        <w:ind w:right="520"/>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on CP Program borrowings at September 30, 2018 was 2.42%. Revolving Credit Facility and CP Program financing activity for the nine months ended September 30, 2018 was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7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September 30, 2018</w:t>
            </w:r>
          </w:p>
        </w:tc>
      </w:tr>
      <w:tr>
        <w:trPr>
          <w:trHeight w:val="27"/>
        </w:trPr>
        <w:tc>
          <w:tcPr>
            <w:tcW w:w="7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Maximum amount outstanding - commercial paper (based on daily outstanding balances)</w:t>
            </w:r>
          </w:p>
        </w:tc>
        <w:tc>
          <w:tcPr>
            <w:tcW w:w="10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Maximum amount outstanding - revolving credit facility (based on daily outstanding balances)</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Average amount outstanding - commercial paper (based on daily outstanding balances)</w:t>
            </w:r>
          </w:p>
        </w:tc>
        <w:tc>
          <w:tcPr>
            <w:tcW w:w="106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CEFFE7"/>
            </w:tcBorders>
            <w:shd w:val="clear" w:color="auto" w:fill="CEFFE7"/>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amount outstanding - revolving credit facility (based on daily outstanding balances)</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rates - commercial paper</w:t>
            </w:r>
          </w:p>
        </w:tc>
        <w:tc>
          <w:tcPr>
            <w:tcW w:w="1060" w:type="dxa"/>
            <w:vAlign w:val="bottom"/>
            <w:tcBorders>
              <w:bottom w:val="single" w:sz="8" w:color="CEFFE7"/>
            </w:tcBorders>
            <w:shd w:val="clear" w:color="auto" w:fill="CEFFE7"/>
          </w:tcPr>
          <w:p>
            <w:pPr>
              <w:spacing w:after="0"/>
              <w:rPr>
                <w:sz w:val="21"/>
                <w:szCs w:val="21"/>
                <w:color w:val="auto"/>
              </w:rPr>
            </w:pPr>
          </w:p>
        </w:tc>
        <w:tc>
          <w:tcPr>
            <w:tcW w:w="256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rates - revolving credit facility</w:t>
            </w:r>
          </w:p>
        </w:tc>
        <w:tc>
          <w:tcPr>
            <w:tcW w:w="10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and certain guarantees issued but excludes the RSNs), by (ii) Capital, which is Consolidated Indebtedness plus Consolidated Net Worth (which excludes noncontrolling interests in subsidiaries and includes the aggregate outstanding amount of the RSNs or, with respect to the calculation as of September 30, 2018 only, the amount receivable by the Company in connection with the common stock settlement under the purchase contracts which are part of the Equity Units).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September 30, 2018.</w:t>
      </w:r>
    </w:p>
    <w:p>
      <w:pPr>
        <w:spacing w:after="0" w:line="1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for the nine months ended September 30, 2018 consisted of the following:</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from our CP Program.</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2018, we completed a public debt offering of $400 million principal amount, 4.350% senior unsecured notes due 2033. The proceeds were used to repay the $299 million principal amount of our RSNs due 2028 and pay down short-term debt. Through this offering, we successfully remarketed the $299 million principal amount of the existing subordinated notes, which were originally issued as a part of the Company's Equity Units on November 23, 2015. See Note 9 for more information.</w:t>
      </w:r>
    </w:p>
    <w:p>
      <w:pPr>
        <w:spacing w:after="0" w:line="180"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2018, we amended and restated our unsecured term loan due August 2019. This amended and restated term loan, with $300 million outstanding at September 30, 2018, will now mature July 30, 2020 and has substantially similar terms and covenants as the amended and restated Revolving Credit Facility. See Note 9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 2018, we completed settlement of the stock purchase contracts that are components of the Equity Units issued</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November 23, 2015. Upon settlement of all outstanding stock purchase obligations, the Company received gross proceeds of approximately $299 million in exchange for approximately 6.372 million shares of common stock. See Note 10 for more information.</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August 4, 2017, we renewed the ATM equity offering program which reset the size of the ATM equity offering program to an aggregate value of up to $300 million. We did not issue any shares of common stock under our ATM equity offering program for the nine months ended September 30,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Financing Plans</w:t>
      </w:r>
    </w:p>
    <w:p>
      <w:pPr>
        <w:spacing w:after="0" w:line="225" w:lineRule="exact"/>
        <w:rPr>
          <w:sz w:val="20"/>
          <w:szCs w:val="20"/>
          <w:color w:val="auto"/>
        </w:rPr>
      </w:pPr>
    </w:p>
    <w:p>
      <w:pPr>
        <w:jc w:val="center"/>
        <w:ind w:left="5620" w:right="980" w:hanging="5288"/>
        <w:spacing w:after="0" w:line="814"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refinancing options for our $200 million senior notes due July 15, 2020 and the $300 million senior notes due July 30, 2020. 63</w:t>
      </w:r>
    </w:p>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Dividend Restrictions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September 30, 2018, the restricted net assets at our Electric Utilities and Gas Utilities were approximately $257 million.</w:t>
      </w:r>
    </w:p>
    <w:p>
      <w:pPr>
        <w:spacing w:after="0" w:line="1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and certain guarantees issued but excludes the RSNs), by (ii) Capital, which is Consolidated Indebtedness plus Consolidated Net Worth (which excludes noncontrolling interests in subsidiaries and includes the aggregate outstanding amount of the RSNs or, with respect to the calculation as of September 30, 2018 only, the amount receivable by the Company in connection with the common stock settlement under the purchase contracts which are part of the Equity Units). Additionally, covenants within Cheyenne Light’s financing agreements require Cheyenne Light to maintain a debt to capitalization ratio of no more than 0.60 to 1.00. As of September 30, 2018, we were in compliance with these covenants.</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our financing transactions and short-term liquidity from those reported in Item 7 of our 2017 Annual Report on Form 10-K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the credit ratings and outlook and risk profile of BHC at September 30, 2018:</w:t>
            </w:r>
          </w:p>
        </w:tc>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Unsecured Rating</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Outlook</w:t>
            </w:r>
          </w:p>
        </w:tc>
      </w:tr>
      <w:tr>
        <w:trPr>
          <w:trHeight w:val="27"/>
        </w:trPr>
        <w:tc>
          <w:tcPr>
            <w:tcW w:w="80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000" w:type="dxa"/>
            <w:vAlign w:val="bottom"/>
            <w:shd w:val="clear" w:color="auto" w:fill="CEFFE7"/>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S&amp;P </w:t>
            </w:r>
            <w:r>
              <w:rPr>
                <w:rFonts w:ascii="Times New Roman" w:cs="Times New Roman" w:eastAsia="Times New Roman" w:hAnsi="Times New Roman"/>
                <w:sz w:val="25"/>
                <w:szCs w:val="25"/>
                <w:color w:val="auto"/>
                <w:vertAlign w:val="superscript"/>
              </w:rPr>
              <w:t>(a)</w:t>
            </w:r>
          </w:p>
        </w:tc>
        <w:tc>
          <w:tcPr>
            <w:tcW w:w="2300" w:type="dxa"/>
            <w:vAlign w:val="bottom"/>
            <w:shd w:val="clear" w:color="auto" w:fill="CEFFE7"/>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1120" w:type="dxa"/>
            <w:vAlign w:val="bottom"/>
            <w:shd w:val="clear" w:color="auto" w:fill="CEFFE7"/>
          </w:tcPr>
          <w:p>
            <w:pPr>
              <w:jc w:val="center"/>
              <w:ind w:right="30"/>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70"/>
        </w:trPr>
        <w:tc>
          <w:tcPr>
            <w:tcW w:w="8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Moody’s </w:t>
            </w:r>
            <w:r>
              <w:rPr>
                <w:rFonts w:ascii="Times New Roman" w:cs="Times New Roman" w:eastAsia="Times New Roman" w:hAnsi="Times New Roman"/>
                <w:sz w:val="25"/>
                <w:szCs w:val="25"/>
                <w:color w:val="auto"/>
                <w:vertAlign w:val="superscript"/>
              </w:rPr>
              <w:t>(b)</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Baa2</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70"/>
        </w:trPr>
        <w:tc>
          <w:tcPr>
            <w:tcW w:w="8000" w:type="dxa"/>
            <w:vAlign w:val="bottom"/>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Fitch </w:t>
            </w:r>
            <w:r>
              <w:rPr>
                <w:rFonts w:ascii="Times New Roman" w:cs="Times New Roman" w:eastAsia="Times New Roman" w:hAnsi="Times New Roman"/>
                <w:sz w:val="25"/>
                <w:szCs w:val="25"/>
                <w:color w:val="auto"/>
                <w:vertAlign w:val="superscript"/>
              </w:rPr>
              <w:t>(c)</w:t>
            </w:r>
          </w:p>
        </w:tc>
        <w:tc>
          <w:tcPr>
            <w:tcW w:w="2300" w:type="dxa"/>
            <w:vAlign w:val="bottom"/>
            <w:shd w:val="clear" w:color="auto" w:fill="CEFFE7"/>
          </w:tcPr>
          <w:p>
            <w:pPr>
              <w:ind w:left="960"/>
              <w:spacing w:after="0"/>
              <w:rPr>
                <w:sz w:val="20"/>
                <w:szCs w:val="20"/>
                <w:color w:val="auto"/>
              </w:rPr>
            </w:pPr>
            <w:r>
              <w:rPr>
                <w:rFonts w:ascii="Times New Roman" w:cs="Times New Roman" w:eastAsia="Times New Roman" w:hAnsi="Times New Roman"/>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175"/>
        </w:trPr>
        <w:tc>
          <w:tcPr>
            <w:tcW w:w="80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__________</w:t>
            </w:r>
          </w:p>
        </w:tc>
        <w:tc>
          <w:tcPr>
            <w:tcW w:w="2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  On August 9, 2018, S&amp;P upgraded to BBB+ rating and revised the outlook to Stable.</w:t>
            </w:r>
          </w:p>
        </w:tc>
        <w:tc>
          <w:tcPr>
            <w:tcW w:w="2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(b)  On December 12, 2017, Moody’s affirmed our Baa2 rating and maintained a Stable outlook.</w:t>
            </w:r>
          </w:p>
        </w:tc>
        <w:tc>
          <w:tcPr>
            <w:tcW w:w="2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  On October 11, 2018, Fitch affirmed BBB+ rating and maintained a Stable outlook.</w:t>
            </w:r>
          </w:p>
        </w:tc>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641"/>
        </w:trPr>
        <w:tc>
          <w:tcPr>
            <w:tcW w:w="80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64</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the credit ratings of South Dakota Electric at September 30, 2018:</w:t>
            </w:r>
          </w:p>
        </w:tc>
        <w:tc>
          <w:tcPr>
            <w:tcW w:w="3160" w:type="dxa"/>
            <w:vAlign w:val="bottom"/>
          </w:tcPr>
          <w:p>
            <w:pPr>
              <w:spacing w:after="0"/>
              <w:rPr>
                <w:sz w:val="20"/>
                <w:szCs w:val="20"/>
                <w:color w:val="auto"/>
              </w:rPr>
            </w:pPr>
          </w:p>
        </w:tc>
      </w:tr>
      <w:tr>
        <w:trPr>
          <w:trHeight w:val="594"/>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31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Senior Secured Rating</w:t>
            </w:r>
          </w:p>
        </w:tc>
      </w:tr>
      <w:tr>
        <w:trPr>
          <w:trHeight w:val="27"/>
        </w:trPr>
        <w:tc>
          <w:tcPr>
            <w:tcW w:w="8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64"/>
        </w:trPr>
        <w:tc>
          <w:tcPr>
            <w:tcW w:w="8260" w:type="dxa"/>
            <w:vAlign w:val="bottom"/>
            <w:shd w:val="clear" w:color="auto" w:fill="CEFFE7"/>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S&amp;P </w:t>
            </w:r>
            <w:r>
              <w:rPr>
                <w:rFonts w:ascii="Times New Roman" w:cs="Times New Roman" w:eastAsia="Times New Roman" w:hAnsi="Times New Roman"/>
                <w:sz w:val="25"/>
                <w:szCs w:val="25"/>
                <w:color w:val="auto"/>
                <w:vertAlign w:val="superscript"/>
              </w:rPr>
              <w:t>(a)</w:t>
            </w:r>
          </w:p>
        </w:tc>
        <w:tc>
          <w:tcPr>
            <w:tcW w:w="3160" w:type="dxa"/>
            <w:vAlign w:val="bottom"/>
            <w:shd w:val="clear" w:color="auto" w:fill="CEFFE7"/>
          </w:tcPr>
          <w:p>
            <w:pPr>
              <w:jc w:val="center"/>
              <w:ind w:left="101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31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A1</w:t>
            </w:r>
          </w:p>
        </w:tc>
      </w:tr>
      <w:tr>
        <w:trPr>
          <w:trHeight w:val="27"/>
        </w:trPr>
        <w:tc>
          <w:tcPr>
            <w:tcW w:w="8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70"/>
        </w:trPr>
        <w:tc>
          <w:tcPr>
            <w:tcW w:w="8260" w:type="dxa"/>
            <w:vAlign w:val="bottom"/>
            <w:shd w:val="clear" w:color="auto" w:fill="CEFFE7"/>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Fitch </w:t>
            </w:r>
            <w:r>
              <w:rPr>
                <w:rFonts w:ascii="Times New Roman" w:cs="Times New Roman" w:eastAsia="Times New Roman" w:hAnsi="Times New Roman"/>
                <w:sz w:val="25"/>
                <w:szCs w:val="25"/>
                <w:color w:val="auto"/>
                <w:vertAlign w:val="superscript"/>
              </w:rPr>
              <w:t>(b)</w:t>
            </w:r>
          </w:p>
        </w:tc>
        <w:tc>
          <w:tcPr>
            <w:tcW w:w="3160" w:type="dxa"/>
            <w:vAlign w:val="bottom"/>
            <w:shd w:val="clear" w:color="auto" w:fill="CEFFE7"/>
          </w:tcPr>
          <w:p>
            <w:pPr>
              <w:jc w:val="center"/>
              <w:ind w:left="1010"/>
              <w:spacing w:after="0"/>
              <w:rPr>
                <w:sz w:val="20"/>
                <w:szCs w:val="20"/>
                <w:color w:val="auto"/>
              </w:rPr>
            </w:pPr>
            <w:r>
              <w:rPr>
                <w:rFonts w:ascii="Times New Roman" w:cs="Times New Roman" w:eastAsia="Times New Roman" w:hAnsi="Times New Roman"/>
                <w:sz w:val="18"/>
                <w:szCs w:val="18"/>
                <w:color w:val="auto"/>
              </w:rPr>
              <w:t>A</w:t>
            </w:r>
          </w:p>
        </w:tc>
      </w:tr>
      <w:tr>
        <w:trPr>
          <w:trHeight w:val="175"/>
        </w:trPr>
        <w:tc>
          <w:tcPr>
            <w:tcW w:w="8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__________</w:t>
            </w:r>
          </w:p>
        </w:tc>
        <w:tc>
          <w:tcPr>
            <w:tcW w:w="3160" w:type="dxa"/>
            <w:vAlign w:val="bottom"/>
          </w:tcPr>
          <w:p>
            <w:pPr>
              <w:spacing w:after="0"/>
              <w:rPr>
                <w:sz w:val="15"/>
                <w:szCs w:val="15"/>
                <w:color w:val="auto"/>
              </w:rPr>
            </w:pPr>
          </w:p>
        </w:tc>
      </w:tr>
      <w:tr>
        <w:trPr>
          <w:trHeight w:val="189"/>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(a)  On August 9, 2018, S&amp;P upgraded to A rating.</w:t>
            </w:r>
          </w:p>
        </w:tc>
        <w:tc>
          <w:tcPr>
            <w:tcW w:w="3160" w:type="dxa"/>
            <w:vAlign w:val="bottom"/>
          </w:tcPr>
          <w:p>
            <w:pPr>
              <w:spacing w:after="0"/>
              <w:rPr>
                <w:sz w:val="16"/>
                <w:szCs w:val="16"/>
                <w:color w:val="auto"/>
              </w:rPr>
            </w:pPr>
          </w:p>
        </w:tc>
      </w:tr>
      <w:tr>
        <w:trPr>
          <w:trHeight w:val="210"/>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(b)  On July 19, 2018, Fitch affirmed A rating.</w:t>
            </w:r>
          </w:p>
        </w:tc>
        <w:tc>
          <w:tcPr>
            <w:tcW w:w="3160" w:type="dxa"/>
            <w:vAlign w:val="bottom"/>
          </w:tcPr>
          <w:p>
            <w:pPr>
              <w:spacing w:after="0"/>
              <w:rPr>
                <w:sz w:val="18"/>
                <w:szCs w:val="18"/>
                <w:color w:val="auto"/>
              </w:rPr>
            </w:pPr>
          </w:p>
        </w:tc>
      </w:tr>
      <w:tr>
        <w:trPr>
          <w:trHeight w:val="39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tc>
        <w:tc>
          <w:tcPr>
            <w:tcW w:w="31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and forecasted capital requirements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Expenditures for the</w:t>
            </w:r>
          </w:p>
        </w:tc>
        <w:tc>
          <w:tcPr>
            <w:tcW w:w="3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Total</w:t>
            </w: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52"/>
        </w:trPr>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300" w:type="dxa"/>
            <w:vAlign w:val="bottom"/>
          </w:tcPr>
          <w:p>
            <w:pPr>
              <w:spacing w:after="0"/>
              <w:rPr>
                <w:sz w:val="21"/>
                <w:szCs w:val="21"/>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2018 Planned</w:t>
            </w:r>
          </w:p>
        </w:tc>
        <w:tc>
          <w:tcPr>
            <w:tcW w:w="320" w:type="dxa"/>
            <w:vAlign w:val="bottom"/>
          </w:tcPr>
          <w:p>
            <w:pPr>
              <w:spacing w:after="0"/>
              <w:rPr>
                <w:sz w:val="21"/>
                <w:szCs w:val="21"/>
                <w:color w:val="auto"/>
              </w:rPr>
            </w:pP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2019 Planned</w:t>
            </w:r>
          </w:p>
        </w:tc>
        <w:tc>
          <w:tcPr>
            <w:tcW w:w="340" w:type="dxa"/>
            <w:vAlign w:val="bottom"/>
          </w:tcPr>
          <w:p>
            <w:pPr>
              <w:spacing w:after="0"/>
              <w:rPr>
                <w:sz w:val="21"/>
                <w:szCs w:val="21"/>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2020 Planned</w:t>
            </w:r>
          </w:p>
        </w:tc>
      </w:tr>
      <w:tr>
        <w:trPr>
          <w:trHeight w:val="261"/>
        </w:trPr>
        <w:tc>
          <w:tcPr>
            <w:tcW w:w="3780" w:type="dxa"/>
            <w:vAlign w:val="bottom"/>
            <w:tcBorders>
              <w:bottom w:val="single" w:sz="8" w:color="CEFFE7"/>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130"/>
              <w:spacing w:after="0" w:line="262" w:lineRule="exact"/>
              <w:rPr>
                <w:sz w:val="20"/>
                <w:szCs w:val="20"/>
                <w:color w:val="auto"/>
              </w:rPr>
            </w:pPr>
            <w:r>
              <w:rPr>
                <w:rFonts w:ascii="Times New Roman" w:cs="Times New Roman" w:eastAsia="Times New Roman" w:hAnsi="Times New Roman"/>
                <w:sz w:val="18"/>
                <w:szCs w:val="18"/>
                <w:color w:val="auto"/>
                <w:w w:val="97"/>
              </w:rPr>
              <w:t xml:space="preserve">September 30, 2018 </w:t>
            </w:r>
            <w:r>
              <w:rPr>
                <w:rFonts w:ascii="Times New Roman" w:cs="Times New Roman" w:eastAsia="Times New Roman" w:hAnsi="Times New Roman"/>
                <w:sz w:val="25"/>
                <w:szCs w:val="25"/>
                <w:color w:val="auto"/>
                <w:w w:val="97"/>
                <w:vertAlign w:val="superscript"/>
              </w:rPr>
              <w:t>(a)</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62" w:lineRule="exact"/>
              <w:rPr>
                <w:sz w:val="20"/>
                <w:szCs w:val="20"/>
                <w:color w:val="auto"/>
              </w:rPr>
            </w:pPr>
            <w:r>
              <w:rPr>
                <w:rFonts w:ascii="Times New Roman" w:cs="Times New Roman" w:eastAsia="Times New Roman" w:hAnsi="Times New Roman"/>
                <w:sz w:val="18"/>
                <w:szCs w:val="18"/>
                <w:color w:val="auto"/>
                <w:w w:val="95"/>
              </w:rPr>
              <w:t xml:space="preserve">Expenditures </w:t>
            </w:r>
            <w:r>
              <w:rPr>
                <w:rFonts w:ascii="Times New Roman" w:cs="Times New Roman" w:eastAsia="Times New Roman" w:hAnsi="Times New Roman"/>
                <w:sz w:val="25"/>
                <w:szCs w:val="25"/>
                <w:color w:val="auto"/>
                <w:w w:val="95"/>
                <w:vertAlign w:val="superscript"/>
              </w:rPr>
              <w:t>(b)</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Expenditures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Expenditures</w:t>
            </w:r>
          </w:p>
        </w:tc>
      </w:tr>
      <w:tr>
        <w:trPr>
          <w:trHeight w:val="244"/>
        </w:trPr>
        <w:tc>
          <w:tcPr>
            <w:tcW w:w="378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105,295</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141,000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192,000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165,000</w:t>
            </w:r>
          </w:p>
        </w:tc>
      </w:tr>
      <w:tr>
        <w:trPr>
          <w:trHeight w:val="270"/>
        </w:trPr>
        <w:tc>
          <w:tcPr>
            <w:tcW w:w="378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Gas Utilities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23"/>
                <w:szCs w:val="23"/>
                <w:color w:val="auto"/>
              </w:rPr>
            </w:pP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172,599</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270,000</w:t>
            </w:r>
          </w:p>
        </w:tc>
        <w:tc>
          <w:tcPr>
            <w:tcW w:w="3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374,000</w:t>
            </w:r>
          </w:p>
        </w:tc>
        <w:tc>
          <w:tcPr>
            <w:tcW w:w="3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r>
      <w:tr>
        <w:trPr>
          <w:trHeight w:val="270"/>
        </w:trPr>
        <w:tc>
          <w:tcPr>
            <w:tcW w:w="3780" w:type="dxa"/>
            <w:vAlign w:val="bottom"/>
            <w:shd w:val="clear" w:color="auto" w:fill="CEFFE7"/>
          </w:tcPr>
          <w:p>
            <w:pPr>
              <w:ind w:left="120"/>
              <w:spacing w:after="0" w:line="270" w:lineRule="exact"/>
              <w:rPr>
                <w:sz w:val="20"/>
                <w:szCs w:val="20"/>
                <w:color w:val="auto"/>
              </w:rPr>
            </w:pPr>
            <w:r>
              <w:rPr>
                <w:rFonts w:ascii="Times New Roman" w:cs="Times New Roman" w:eastAsia="Times New Roman" w:hAnsi="Times New Roman"/>
                <w:sz w:val="18"/>
                <w:szCs w:val="18"/>
                <w:color w:val="auto"/>
              </w:rPr>
              <w:t xml:space="preserve">Power Generation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EFFE7"/>
          </w:tcPr>
          <w:p>
            <w:pPr>
              <w:spacing w:after="0"/>
              <w:rPr>
                <w:sz w:val="23"/>
                <w:szCs w:val="23"/>
                <w:color w:val="auto"/>
              </w:rPr>
            </w:pPr>
          </w:p>
        </w:tc>
        <w:tc>
          <w:tcPr>
            <w:tcW w:w="2020" w:type="dxa"/>
            <w:vAlign w:val="bottom"/>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46,000</w:t>
            </w:r>
          </w:p>
        </w:tc>
        <w:tc>
          <w:tcPr>
            <w:tcW w:w="32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r>
      <w:tr>
        <w:trPr>
          <w:trHeight w:val="243"/>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w:t>
            </w:r>
          </w:p>
        </w:tc>
        <w:tc>
          <w:tcPr>
            <w:tcW w:w="200" w:type="dxa"/>
            <w:vAlign w:val="bottom"/>
          </w:tcPr>
          <w:p>
            <w:pPr>
              <w:spacing w:after="0"/>
              <w:rPr>
                <w:sz w:val="21"/>
                <w:szCs w:val="21"/>
                <w:color w:val="auto"/>
              </w:rPr>
            </w:pP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11,982</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80" w:type="dxa"/>
            <w:vAlign w:val="bottom"/>
            <w:tcBorders>
              <w:bottom w:val="single" w:sz="8" w:color="CEFFE7"/>
            </w:tcBorders>
            <w:shd w:val="clear" w:color="auto" w:fill="CEFFE7"/>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CEFFE7"/>
            </w:tcBorders>
            <w:shd w:val="clear" w:color="auto" w:fill="CEFFE7"/>
          </w:tcPr>
          <w:p>
            <w:pPr>
              <w:spacing w:after="0"/>
              <w:rPr>
                <w:sz w:val="23"/>
                <w:szCs w:val="23"/>
                <w:color w:val="auto"/>
              </w:rPr>
            </w:pPr>
          </w:p>
        </w:tc>
        <w:tc>
          <w:tcPr>
            <w:tcW w:w="202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8,426</w:t>
            </w:r>
          </w:p>
        </w:tc>
        <w:tc>
          <w:tcPr>
            <w:tcW w:w="3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32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17,000</w:t>
            </w:r>
          </w:p>
        </w:tc>
        <w:tc>
          <w:tcPr>
            <w:tcW w:w="34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r>
      <w:tr>
        <w:trPr>
          <w:trHeight w:val="237"/>
        </w:trPr>
        <w:tc>
          <w:tcPr>
            <w:tcW w:w="37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302,652</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488,000</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651,000</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17145</wp:posOffset>
            </wp:positionV>
            <wp:extent cx="48539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-116205</wp:posOffset>
            </wp:positionV>
            <wp:extent cx="48539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3"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for the nine months ended September 30, 2018 include the impact of accruals for property, plant and equipment.</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actual capital expenditures for the nine months ended September 30, 2018.</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for 2018, 2019 and 2020 increased primarily due to higher programmatic integrity spending.</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for 2018 increased due to purchase of AltaGas’s interest in Busch Ranch I.</w:t>
      </w:r>
    </w:p>
    <w:p>
      <w:pPr>
        <w:spacing w:after="0" w:line="1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contractual obligations from those previously disclosed in Note 19 of our Notes to the Consolidated Financial Statements in our 2017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guarantees from those previously disclosed in Note 20 of the Notes to the Consolidated Financial Statements in our 2017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than the pronouncements reported in our 2017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2017 Annual Report on Form 10-K including statements contained within Item 1A - Risk Factors of our 2017 Annual Report on Form 10-K, Part II, Item 1A of this Quarterly Report on Form 10-Q and other reports that we file with the SEC from time to time.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Utilities</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We also reduce the commodity price risk in the unregulated area of our business by using over-the-counter and exchange traded options and swaps with counterparties in anticipation of forecasted purchases and/or sales. The fair value of our utilities’ derivative contracts is summarized below (in thousands) as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September 30, 2018</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2017</w:t>
            </w:r>
          </w:p>
        </w:tc>
        <w:tc>
          <w:tcPr>
            <w:tcW w:w="30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September 30, 2017</w:t>
            </w:r>
          </w:p>
        </w:tc>
      </w:tr>
      <w:tr>
        <w:trPr>
          <w:trHeight w:val="27"/>
        </w:trPr>
        <w:tc>
          <w:tcPr>
            <w:tcW w:w="47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Net derivative (liabilities) assets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(6,644)</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EFFE7"/>
            </w:tcBorders>
            <w:shd w:val="clear" w:color="auto" w:fill="CEFFE7"/>
          </w:tcPr>
          <w:p>
            <w:pPr>
              <w:jc w:val="right"/>
              <w:spacing w:after="0"/>
              <w:rPr>
                <w:sz w:val="20"/>
                <w:szCs w:val="20"/>
                <w:color w:val="auto"/>
              </w:rPr>
            </w:pPr>
            <w:r>
              <w:rPr>
                <w:rFonts w:ascii="Times New Roman" w:cs="Times New Roman" w:eastAsia="Times New Roman" w:hAnsi="Times New Roman"/>
                <w:sz w:val="18"/>
                <w:szCs w:val="18"/>
                <w:color w:val="auto"/>
              </w:rPr>
              <w:t>(6,541)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 offset in Derivatives</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4,308</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7,694</w:t>
            </w:r>
          </w:p>
        </w:tc>
        <w:tc>
          <w:tcPr>
            <w:tcW w:w="3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5,452</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Times New Roman" w:cs="Times New Roman" w:eastAsia="Times New Roman" w:hAnsi="Times New Roman"/>
                <w:sz w:val="18"/>
                <w:szCs w:val="18"/>
                <w:color w:val="auto"/>
              </w:rPr>
              <w:t>Cash collateral included in Other current assets</w:t>
            </w:r>
          </w:p>
        </w:tc>
        <w:tc>
          <w:tcPr>
            <w:tcW w:w="24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Times New Roman" w:cs="Times New Roman" w:eastAsia="Times New Roman" w:hAnsi="Times New Roman"/>
                <w:sz w:val="18"/>
                <w:szCs w:val="18"/>
                <w:color w:val="auto"/>
              </w:rPr>
              <w:t>4,677</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Borders>
              <w:bottom w:val="single" w:sz="8" w:color="CEFFE7"/>
            </w:tcBorders>
            <w:shd w:val="clear" w:color="auto" w:fill="CEFFE7"/>
          </w:tcPr>
          <w:p>
            <w:pPr>
              <w:spacing w:after="0"/>
              <w:rPr>
                <w:sz w:val="23"/>
                <w:szCs w:val="23"/>
                <w:color w:val="auto"/>
              </w:rPr>
            </w:pP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asset (liability) position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7,116</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1,612</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Historically, we have entered into floating-to-fixed interest rate swap agreements to reduce our exposure to interest rate fluctuations associated with our floating rate debt obligations and anticipated debt refinancings. At September 30, 2018, December 31, 2017 and September 30, 2017, we had no outstanding interest rate swap agreements.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67" w:name="page68"/>
    <w:bookmarkEnd w:id="6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Rules 13a-15(e) and 15d-15(e) of the Securities Exchange Act of 1934) as of September 30, 2018. Based on their evaluation, they have concluded that our disclosure controls and procedures were effective at September 30, 2018.</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2018, there have been no changes in our internal control over financial reporting that have materially affected or are reasonably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auto"/>
        </w:rPr>
        <w:t>Legal Proceedings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19 in Item 8 of our 2017 Annual Report on Form 10-K and Note 17 in Item 1 of Part I of this Quarterly Report on Form 10-Q, which information from Note 17 is incorporated by reference into this item.</w:t>
      </w:r>
    </w:p>
    <w:p>
      <w:pPr>
        <w:spacing w:after="0" w:line="1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the risk factors previously disclosed in Item 1A of Part I in our 2017 Annual Report on Form 10-K filed with the SEC.</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securities sold during the nine months ended September 30, 2018.</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Mine Safety Disclosures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Sections 1503(a) of Dodd-Frank is included in Exhibit 95 of this Quarterly Report on Form 10-Q.</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576"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23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40" w:type="dxa"/>
            <w:vAlign w:val="bottom"/>
            <w:gridSpan w:val="25"/>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26"/>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Restated Articles of Incorporation of the Registrant dated January 30, 2018 (filed as Exhibit 3 to the Registrant’s Form 8-K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filed on February 5, 2018).</w:t>
              </w:r>
            </w:hyperlink>
          </w:p>
        </w:tc>
        <w:tc>
          <w:tcPr>
            <w:tcW w:w="6920" w:type="dxa"/>
            <w:vAlign w:val="bottom"/>
            <w:tcBorders>
              <w:top w:val="single" w:sz="8" w:color="0000FF"/>
            </w:tcBorders>
            <w:gridSpan w:val="19"/>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the Registrant dated April 24, 2017 (filed as Exhibit 3 to the Registrant’s Form 8-K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on April 28, 2017).</w:t>
              </w:r>
            </w:hyperlink>
          </w:p>
        </w:tc>
        <w:tc>
          <w:tcPr>
            <w:tcW w:w="240" w:type="dxa"/>
            <w:vAlign w:val="bottom"/>
            <w:gridSpan w:val="8"/>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Indenture dated as of May 21, 2003 between the Registrant and Wells Fargo Bank, National Association (as successor to</w:t>
              </w:r>
            </w:hyperlink>
          </w:p>
        </w:tc>
        <w:tc>
          <w:tcPr>
            <w:tcW w:w="40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3"/>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LaSalle Bank National Association), as Trustee (filed as Exhibit 4.1 to the Registrant’s Form 10-Q for the quarterly period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ended June 30, 2003).</w:t>
              </w:r>
            </w:hyperlink>
          </w:p>
        </w:tc>
        <w:tc>
          <w:tcPr>
            <w:tcW w:w="300" w:type="dxa"/>
            <w:vAlign w:val="bottom"/>
            <w:gridSpan w:val="9"/>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First Supplemental Indenture dated as of May 21, 2003 (filed as Exhibit 4.2 to the Registrant’s Form 10-Q for the quarterly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period ended June 30, 2003).</w:t>
              </w:r>
            </w:hyperlink>
          </w:p>
        </w:tc>
        <w:tc>
          <w:tcPr>
            <w:tcW w:w="240" w:type="dxa"/>
            <w:vAlign w:val="bottom"/>
            <w:gridSpan w:val="8"/>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Supplemental Indenture dated as of May 14, 2009 (filed as Exhibit 4 to the Registrant’s Form 8-K filed on May 14,</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61">
              <w:r>
                <w:rPr>
                  <w:rFonts w:ascii="Times New Roman" w:cs="Times New Roman" w:eastAsia="Times New Roman" w:hAnsi="Times New Roman"/>
                  <w:sz w:val="18"/>
                  <w:szCs w:val="18"/>
                  <w:color w:val="0000FF"/>
                  <w:w w:val="94"/>
                </w:rPr>
                <w:t>2009).</w:t>
              </w:r>
            </w:hyperlink>
          </w:p>
        </w:tc>
        <w:tc>
          <w:tcPr>
            <w:tcW w:w="2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Third Supplemental Indenture dated as of July 16, 2010 (filed as Exhibit 4 to Registrant’s Form 8-K filed on July 15, 2010).</w:t>
              </w:r>
            </w:hyperlink>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2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Fourth Supplemental Indenture dated as of November 19, 2013 (filed as Exhibit 4 to the Registrant’s Form 8-K filed on</w:t>
              </w:r>
            </w:hyperlink>
          </w:p>
        </w:tc>
        <w:tc>
          <w:tcPr>
            <w:tcW w:w="300" w:type="dxa"/>
            <w:vAlign w:val="bottom"/>
            <w:tcBorders>
              <w:top w:val="single" w:sz="8" w:color="0000FF"/>
            </w:tcBorders>
            <w:gridSpan w:val="9"/>
          </w:tcPr>
          <w:p>
            <w:pPr>
              <w:spacing w:after="0"/>
              <w:rPr>
                <w:sz w:val="21"/>
                <w:szCs w:val="21"/>
                <w:color w:val="auto"/>
              </w:rPr>
            </w:pPr>
          </w:p>
        </w:tc>
        <w:tc>
          <w:tcPr>
            <w:tcW w:w="180" w:type="dxa"/>
            <w:vAlign w:val="bottom"/>
            <w:gridSpan w:val="5"/>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November 18, 2013).</w:t>
              </w:r>
            </w:hyperlink>
          </w:p>
        </w:tc>
        <w:tc>
          <w:tcPr>
            <w:tcW w:w="7520" w:type="dxa"/>
            <w:vAlign w:val="bottom"/>
            <w:gridSpan w:val="28"/>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Fifth Supplemental Indenture dated as of January 13, 2016 (filed as Exhibit 4.1 to the Registrant’s Form 8-K filed on January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13, 2016).</w:t>
              </w:r>
            </w:hyperlink>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Sixth Supplemental Indenture dated as of August 19, 2016 (filed as Exhibit 4.1 to the Registrant’s Form 8-K filed on August</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19, 2016).</w:t>
              </w:r>
            </w:hyperlink>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Seventh Supplemental Indenture dated as of August 17, 2018 (filed as Exhibit 4.2 to the Registrant’s Form 8-K filed on</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August 17, 2018).</w:t>
              </w:r>
            </w:hyperlink>
          </w:p>
        </w:tc>
        <w:tc>
          <w:tcPr>
            <w:tcW w:w="7300" w:type="dxa"/>
            <w:vAlign w:val="bottom"/>
            <w:tcBorders>
              <w:top w:val="single" w:sz="8" w:color="0000FF"/>
            </w:tcBorders>
            <w:gridSpan w:val="15"/>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Restated and Amended Indenture of Mortgage and Deed of Trust of Black Hills Corporation (now called Black Hills Power,</w:t>
              </w:r>
            </w:hyperlink>
          </w:p>
        </w:tc>
        <w:tc>
          <w:tcPr>
            <w:tcW w:w="14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Inc.) dated as of September 1, 1999 (filed as Exhibit 4.19 to the Registrant’s Post-Effective Amendment No. 1 to the</w:t>
              </w:r>
            </w:hyperlink>
          </w:p>
        </w:tc>
        <w:tc>
          <w:tcPr>
            <w:tcW w:w="72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Registrant’s Registration Statement on Form S-3 (No. 333-150669)).</w:t>
              </w:r>
            </w:hyperlink>
          </w:p>
        </w:tc>
        <w:tc>
          <w:tcPr>
            <w:tcW w:w="4140" w:type="dxa"/>
            <w:vAlign w:val="bottom"/>
            <w:gridSpan w:val="24"/>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First Supplemental Indenture, dated as of August 13, 2002, between Black Hills Power, Inc. and The Bank of New York</w:t>
              </w:r>
            </w:hyperlink>
          </w:p>
        </w:tc>
        <w:tc>
          <w:tcPr>
            <w:tcW w:w="440" w:type="dxa"/>
            <w:vAlign w:val="bottom"/>
            <w:gridSpan w:val="13"/>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3"/>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Mellon (as successor to JPMorgan Chase Bank), as Trustee (filed as Exhibit 4.20 to the Registrant’s Post-Effective</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Amendment No. 1 to the Registrant’s Registration Statement on Form 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3 (No. 333</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150669)).</w:t>
              </w:r>
            </w:hyperlink>
          </w:p>
        </w:tc>
        <w:tc>
          <w:tcPr>
            <w:tcW w:w="1460" w:type="dxa"/>
            <w:vAlign w:val="bottom"/>
            <w:tcBorders>
              <w:top w:val="single" w:sz="8" w:color="0000FF"/>
            </w:tcBorders>
            <w:gridSpan w:val="4"/>
          </w:tcPr>
          <w:p>
            <w:pPr>
              <w:spacing w:after="0"/>
              <w:rPr>
                <w:sz w:val="17"/>
                <w:szCs w:val="17"/>
                <w:color w:val="auto"/>
              </w:rPr>
            </w:pPr>
          </w:p>
        </w:tc>
        <w:tc>
          <w:tcPr>
            <w:tcW w:w="4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Second Supplemental Indenture, dated as of October 27, 2009, between Black Hills Power, Inc. and The Bank of New York</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8"/>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Mellon (filed as Exhibit 4.21 to the Registrant’s Post-Effective Amendment No. 2 to the Registrant’s Registration Statement</w:t>
              </w:r>
            </w:hyperlink>
          </w:p>
        </w:tc>
        <w:tc>
          <w:tcPr>
            <w:tcW w:w="16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on Form S-3 (No. 333-150669)).</w:t>
              </w:r>
            </w:hyperlink>
          </w:p>
        </w:tc>
        <w:tc>
          <w:tcPr>
            <w:tcW w:w="6740" w:type="dxa"/>
            <w:vAlign w:val="bottom"/>
            <w:gridSpan w:val="25"/>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Third Supplemental Indenture, dated as of October 1, 2014, between Black Hills Power, Inc. and The Bank of New York</w:t>
              </w:r>
            </w:hyperlink>
          </w:p>
        </w:tc>
        <w:tc>
          <w:tcPr>
            <w:tcW w:w="400" w:type="dxa"/>
            <w:vAlign w:val="bottom"/>
            <w:gridSpan w:val="11"/>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Mellon (filed as Exhibit 10.1 to the Registrant’s Form 8-K filed on October 2, 2014).</w:t>
              </w:r>
            </w:hyperlink>
          </w:p>
        </w:tc>
        <w:tc>
          <w:tcPr>
            <w:tcW w:w="2980" w:type="dxa"/>
            <w:vAlign w:val="bottom"/>
            <w:gridSpan w:val="22"/>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Restated Indenture of Mortgage, Deed of Trust, Security Agreement and Financing Statement, amended and restated as of</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3"/>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November 20, 2007, between Cheyenne Light, Fuel and Power Company and Wells Fargo Bank, National Association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2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as Exhibit 10.2 to the Registrant’s Form 8-K filed on October 2, 2014).</w:t>
              </w:r>
            </w:hyperlink>
          </w:p>
        </w:tc>
        <w:tc>
          <w:tcPr>
            <w:tcW w:w="3840" w:type="dxa"/>
            <w:vAlign w:val="bottom"/>
            <w:tcBorders>
              <w:top w:val="single" w:sz="8" w:color="0000FF"/>
            </w:tcBorders>
            <w:gridSpan w:val="20"/>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9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First Supplemental Indenture, dated as of September 3, 2009, between Cheyenne Light, Fuel and Power Company and Wells</w:t>
              </w:r>
            </w:hyperlink>
          </w:p>
        </w:tc>
        <w:tc>
          <w:tcPr>
            <w:tcW w:w="120" w:type="dxa"/>
            <w:vAlign w:val="bottom"/>
            <w:gridSpan w:val="2"/>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Fargo Bank, National Association (filed as Exhibit 10.3 to the Registrant’s Form 8-K filed on October 2, 2014).</w:t>
              </w:r>
            </w:hyperlink>
          </w:p>
        </w:tc>
        <w:tc>
          <w:tcPr>
            <w:tcW w:w="1040" w:type="dxa"/>
            <w:vAlign w:val="bottom"/>
            <w:gridSpan w:val="18"/>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Second Supplemental Indenture, dated as of October 1, 2014, between Cheyenne Light, Fuel and Power Company and Wells</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Fargo Bank, National Association (filed as Exhibit 10.4 to the Registrant’s Form 8-K filed on October 2, 2014).</w:t>
              </w:r>
            </w:hyperlink>
          </w:p>
        </w:tc>
        <w:tc>
          <w:tcPr>
            <w:tcW w:w="940" w:type="dxa"/>
            <w:vAlign w:val="bottom"/>
            <w:tcBorders>
              <w:top w:val="single" w:sz="8" w:color="0000FF"/>
            </w:tcBorders>
            <w:gridSpan w:val="1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4.4*</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Junior Subordinated Indenture dated as of November 23, 2015 between Black Hills Corporation and U.S. Bank National</w:t>
              </w:r>
            </w:hyperlink>
          </w:p>
        </w:tc>
        <w:tc>
          <w:tcPr>
            <w:tcW w:w="42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3"/>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Association, as trustee (filed as Exhibit 4.1 to the Registrant’s Form 8-K filed on November 23, 2015).</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3" w:lineRule="exact"/>
        <w:rPr>
          <w:sz w:val="20"/>
          <w:szCs w:val="20"/>
          <w:color w:val="auto"/>
        </w:rPr>
      </w:pPr>
    </w:p>
    <w:p>
      <w:pPr>
        <w:ind w:left="2320" w:right="500"/>
        <w:spacing w:after="0" w:line="282"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First Supplemental Indenture dated as of November 23, 2015 (filed as Exhibit 4.2 to the Registrant’s Form 8-K filed on</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November 23, 2015).</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33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4.5*</w:t>
            </w:r>
          </w:p>
        </w:tc>
        <w:tc>
          <w:tcPr>
            <w:tcW w:w="88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Purchase Contract and Pledge Agreement dated as of November 23, 2015 between Black Hills Corporation and U.S. Bank</w:t>
              </w:r>
            </w:hyperlink>
          </w:p>
        </w:tc>
        <w:tc>
          <w:tcPr>
            <w:tcW w:w="240" w:type="dxa"/>
            <w:vAlign w:val="bottom"/>
            <w:gridSpan w:val="3"/>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90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National Association, as purchase contract agent, collateral agent, custodial agent and securities intermediary (filed as Exhibit</w:t>
              </w:r>
            </w:hyperlink>
          </w:p>
        </w:tc>
      </w:tr>
      <w:tr>
        <w:trPr>
          <w:trHeight w:val="196"/>
        </w:trPr>
        <w:tc>
          <w:tcPr>
            <w:tcW w:w="2320" w:type="dxa"/>
            <w:vAlign w:val="bottom"/>
          </w:tcPr>
          <w:p>
            <w:pPr>
              <w:spacing w:after="0"/>
              <w:rPr>
                <w:sz w:val="17"/>
                <w:szCs w:val="17"/>
                <w:color w:val="auto"/>
              </w:rPr>
            </w:pPr>
          </w:p>
        </w:tc>
        <w:tc>
          <w:tcPr>
            <w:tcW w:w="9060" w:type="dxa"/>
            <w:vAlign w:val="bottom"/>
            <w:gridSpan w:val="15"/>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Registrant’s Form 8-K filed on November 23, 2015).</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4.6*</w:t>
            </w:r>
          </w:p>
        </w:tc>
        <w:tc>
          <w:tcPr>
            <w:tcW w:w="9060" w:type="dxa"/>
            <w:vAlign w:val="bottom"/>
            <w:gridSpan w:val="1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 xml:space="preserve">Form of Stock Certificate for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Per Share (filed as Exhibit 4.2 to the Registrant’s Form 10-K</w:t>
              </w:r>
            </w:hyperlink>
          </w:p>
        </w:tc>
      </w:tr>
      <w:tr>
        <w:trPr>
          <w:trHeight w:val="196"/>
        </w:trPr>
        <w:tc>
          <w:tcPr>
            <w:tcW w:w="232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for 2000).</w:t>
              </w:r>
            </w:hyperlink>
          </w:p>
        </w:tc>
        <w:tc>
          <w:tcPr>
            <w:tcW w:w="8200" w:type="dxa"/>
            <w:vAlign w:val="bottom"/>
            <w:tcBorders>
              <w:top w:val="single" w:sz="8" w:color="0000FF"/>
            </w:tcBorders>
            <w:gridSpan w:val="12"/>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9060" w:type="dxa"/>
            <w:vAlign w:val="bottom"/>
            <w:gridSpan w:val="1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Third Amended and Restated Credit Agreement dated as of July 30, 2018, among Black Hills Corporation, as Borrower, the</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5"/>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financial institutions party thereto, as Banks, and U.S. Bank, National Association, as Administrative Agent (filed as Exhibit</w:t>
              </w:r>
            </w:hyperlink>
          </w:p>
        </w:tc>
      </w:tr>
      <w:tr>
        <w:trPr>
          <w:trHeight w:val="196"/>
        </w:trPr>
        <w:tc>
          <w:tcPr>
            <w:tcW w:w="2320" w:type="dxa"/>
            <w:vAlign w:val="bottom"/>
          </w:tcPr>
          <w:p>
            <w:pPr>
              <w:spacing w:after="0"/>
              <w:rPr>
                <w:sz w:val="17"/>
                <w:szCs w:val="17"/>
                <w:color w:val="auto"/>
              </w:rPr>
            </w:pPr>
          </w:p>
        </w:tc>
        <w:tc>
          <w:tcPr>
            <w:tcW w:w="89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Form 8–K filed on July 31, 2018).</w:t>
              </w:r>
            </w:hyperlink>
          </w:p>
        </w:tc>
        <w:tc>
          <w:tcPr>
            <w:tcW w:w="10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w:t>
            </w:r>
          </w:p>
        </w:tc>
        <w:tc>
          <w:tcPr>
            <w:tcW w:w="85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Amended and Restated Credit Agreement dated as of July 30, 2018, among Black Hills Corporation, as Borrower, the</w:t>
              </w:r>
            </w:hyperlink>
          </w:p>
        </w:tc>
        <w:tc>
          <w:tcPr>
            <w:tcW w:w="560" w:type="dxa"/>
            <w:vAlign w:val="bottom"/>
            <w:gridSpan w:val="7"/>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financial institutions party thereto, as Banks, and JPMorgan Chase Bank, N.A., as Administrative Agent (filed as Exhibit 10.2</w:t>
              </w:r>
            </w:hyperlink>
          </w:p>
        </w:tc>
      </w:tr>
      <w:tr>
        <w:trPr>
          <w:trHeight w:val="196"/>
        </w:trPr>
        <w:tc>
          <w:tcPr>
            <w:tcW w:w="2320" w:type="dxa"/>
            <w:vAlign w:val="bottom"/>
          </w:tcPr>
          <w:p>
            <w:pPr>
              <w:spacing w:after="0"/>
              <w:rPr>
                <w:sz w:val="17"/>
                <w:szCs w:val="17"/>
                <w:color w:val="auto"/>
              </w:rPr>
            </w:pPr>
          </w:p>
        </w:tc>
        <w:tc>
          <w:tcPr>
            <w:tcW w:w="9060" w:type="dxa"/>
            <w:vAlign w:val="bottom"/>
            <w:gridSpan w:val="15"/>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to the Registrant’s Form 8–K filed on July 31, 2018).</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31.1</w:t>
            </w:r>
          </w:p>
        </w:tc>
        <w:tc>
          <w:tcPr>
            <w:tcW w:w="8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Certification of Chief Executive Officer pursuant to Rule 13a - 14(a) of the Securities Exchange Act of 1934, as adopted</w:t>
              </w:r>
            </w:hyperlink>
          </w:p>
        </w:tc>
        <w:tc>
          <w:tcPr>
            <w:tcW w:w="380" w:type="dxa"/>
            <w:vAlign w:val="bottom"/>
            <w:gridSpan w:val="4"/>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pursuant to Section 302 of the Sarbanes - Oxley Act of 2002.</w:t>
              </w:r>
            </w:hyperlink>
          </w:p>
        </w:tc>
        <w:tc>
          <w:tcPr>
            <w:tcW w:w="4660" w:type="dxa"/>
            <w:vAlign w:val="bottom"/>
            <w:gridSpan w:val="10"/>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31.2</w:t>
            </w:r>
          </w:p>
        </w:tc>
        <w:tc>
          <w:tcPr>
            <w:tcW w:w="9060" w:type="dxa"/>
            <w:vAlign w:val="bottom"/>
            <w:gridSpan w:val="15"/>
          </w:tcPr>
          <w:p>
            <w:pPr>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Certification of Chief Financial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pursuant to Section 302 of the Sarbanes - Oxley Act of 2002.</w:t>
              </w:r>
            </w:hyperlink>
          </w:p>
        </w:tc>
        <w:tc>
          <w:tcPr>
            <w:tcW w:w="4220" w:type="dxa"/>
            <w:vAlign w:val="bottom"/>
            <w:tcBorders>
              <w:top w:val="single" w:sz="8" w:color="0000FF"/>
            </w:tcBorders>
            <w:gridSpan w:val="5"/>
          </w:tcPr>
          <w:p>
            <w:pPr>
              <w:spacing w:after="0"/>
              <w:rPr>
                <w:sz w:val="17"/>
                <w:szCs w:val="17"/>
                <w:color w:val="auto"/>
              </w:rPr>
            </w:pPr>
          </w:p>
        </w:tc>
        <w:tc>
          <w:tcPr>
            <w:tcW w:w="440" w:type="dxa"/>
            <w:vAlign w:val="bottom"/>
            <w:gridSpan w:val="5"/>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32.1</w:t>
            </w:r>
          </w:p>
        </w:tc>
        <w:tc>
          <w:tcPr>
            <w:tcW w:w="8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74">
              <w:r>
                <w:rPr>
                  <w:rFonts w:ascii="Times New Roman" w:cs="Times New Roman" w:eastAsia="Times New Roman" w:hAnsi="Times New Roman"/>
                  <w:sz w:val="18"/>
                  <w:szCs w:val="18"/>
                  <w:color w:val="0000FF"/>
                  <w:w w:val="99"/>
                </w:rPr>
                <w:t>Certification of Chief Executive Officer pursuant to 18 U.S.C. Section 1350, as adopted pursuant to Section 906 of the</w:t>
              </w:r>
            </w:hyperlink>
          </w:p>
        </w:tc>
        <w:tc>
          <w:tcPr>
            <w:tcW w:w="520" w:type="dxa"/>
            <w:vAlign w:val="bottom"/>
            <w:gridSpan w:val="6"/>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060" w:type="dxa"/>
            <w:vAlign w:val="bottom"/>
            <w:gridSpan w:val="15"/>
          </w:tcPr>
          <w:p>
            <w:pPr>
              <w:spacing w:after="0" w:line="196" w:lineRule="exact"/>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Sarbanes - Oxley Act of 2002.</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32.2</w:t>
            </w:r>
          </w:p>
        </w:tc>
        <w:tc>
          <w:tcPr>
            <w:tcW w:w="9060" w:type="dxa"/>
            <w:vAlign w:val="bottom"/>
            <w:gridSpan w:val="15"/>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Certification of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Sarbanes - Oxley Act of 2002.</w:t>
              </w:r>
            </w:hyperlink>
          </w:p>
        </w:tc>
        <w:tc>
          <w:tcPr>
            <w:tcW w:w="58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40" w:type="dxa"/>
            <w:vAlign w:val="bottom"/>
            <w:gridSpan w:val="12"/>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95</w:t>
            </w:r>
          </w:p>
        </w:tc>
        <w:tc>
          <w:tcPr>
            <w:tcW w:w="9060" w:type="dxa"/>
            <w:vAlign w:val="bottom"/>
            <w:gridSpan w:val="15"/>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Mine Safety and Health Administration Safety Data.</w:t>
              </w:r>
            </w:hyperlink>
          </w:p>
        </w:tc>
      </w:tr>
      <w:tr>
        <w:trPr>
          <w:trHeight w:val="520"/>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w:t>
            </w:r>
          </w:p>
        </w:tc>
        <w:tc>
          <w:tcPr>
            <w:tcW w:w="38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 for XBRL Format.</w:t>
            </w:r>
          </w:p>
        </w:tc>
        <w:tc>
          <w:tcPr>
            <w:tcW w:w="5240" w:type="dxa"/>
            <w:vAlign w:val="bottom"/>
            <w:gridSpan w:val="12"/>
          </w:tcPr>
          <w:p>
            <w:pPr>
              <w:spacing w:after="0"/>
              <w:rPr>
                <w:sz w:val="24"/>
                <w:szCs w:val="24"/>
                <w:color w:val="auto"/>
              </w:rPr>
            </w:pP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ind w:left="340" w:hanging="332"/>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part of the filing indicated and incorporated by reference herein.</w:t>
      </w:r>
    </w:p>
    <w:p>
      <w:pPr>
        <w:spacing w:after="0" w:line="200" w:lineRule="exact"/>
        <w:rPr>
          <w:rFonts w:ascii="Times New Roman" w:cs="Times New Roman" w:eastAsia="Times New Roman" w:hAnsi="Times New Roman"/>
          <w:sz w:val="16"/>
          <w:szCs w:val="16"/>
          <w:color w:val="auto"/>
        </w:rPr>
      </w:pPr>
    </w:p>
    <w:p>
      <w:pPr>
        <w:spacing w:after="0" w:line="218"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513" w:right="279" w:bottom="1440" w:gutter="0" w:footer="0" w:header="0"/>
        </w:sectPr>
      </w:pPr>
    </w:p>
    <w:bookmarkStart w:id="70" w:name="page71"/>
    <w:bookmarkEnd w:id="70"/>
    <w:p>
      <w:pPr>
        <w:jc w:val="center"/>
        <w:ind w:right="-439"/>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37649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37649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6,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240" w:top="580" w:right="6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Hills Corporation;</w:t>
      </w:r>
    </w:p>
    <w:p>
      <w:pPr>
        <w:spacing w:after="0" w:line="292"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ind w:left="1640" w:right="180" w:hanging="795"/>
        <w:spacing w:after="0" w:line="266"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18"/>
          <w:szCs w:val="18"/>
          <w:color w:val="auto"/>
        </w:rPr>
      </w:pPr>
    </w:p>
    <w:p>
      <w:pPr>
        <w:ind w:left="1640" w:right="240" w:hanging="795"/>
        <w:spacing w:after="0" w:line="266"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Times New Roman" w:cs="Times New Roman" w:eastAsia="Times New Roman" w:hAnsi="Times New Roman"/>
          <w:sz w:val="18"/>
          <w:szCs w:val="18"/>
          <w:color w:val="auto"/>
        </w:rPr>
      </w:pPr>
    </w:p>
    <w:p>
      <w:pPr>
        <w:jc w:val="both"/>
        <w:ind w:left="1640" w:right="40" w:hanging="795"/>
        <w:spacing w:after="0" w:line="282"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8"/>
          <w:szCs w:val="18"/>
          <w:color w:val="auto"/>
        </w:rPr>
      </w:pPr>
    </w:p>
    <w:p>
      <w:pPr>
        <w:ind w:left="1640" w:right="40" w:hanging="795"/>
        <w:spacing w:after="0" w:line="266"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left="1640" w:right="300" w:hanging="795"/>
        <w:spacing w:after="0" w:line="282"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left="1640" w:right="580" w:hanging="795"/>
        <w:spacing w:after="0" w:line="282"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2018</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34290</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Hills Corporation;</w:t>
      </w:r>
    </w:p>
    <w:p>
      <w:pPr>
        <w:spacing w:after="0" w:line="292"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ind w:left="1640" w:right="180" w:hanging="795"/>
        <w:spacing w:after="0" w:line="266"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18"/>
          <w:szCs w:val="18"/>
          <w:color w:val="auto"/>
        </w:rPr>
      </w:pPr>
    </w:p>
    <w:p>
      <w:pPr>
        <w:ind w:left="1640" w:right="240" w:hanging="795"/>
        <w:spacing w:after="0" w:line="266"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Times New Roman" w:cs="Times New Roman" w:eastAsia="Times New Roman" w:hAnsi="Times New Roman"/>
          <w:sz w:val="18"/>
          <w:szCs w:val="18"/>
          <w:color w:val="auto"/>
        </w:rPr>
      </w:pPr>
    </w:p>
    <w:p>
      <w:pPr>
        <w:jc w:val="both"/>
        <w:ind w:left="1640" w:right="40" w:hanging="795"/>
        <w:spacing w:after="0" w:line="282"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8"/>
          <w:szCs w:val="18"/>
          <w:color w:val="auto"/>
        </w:rPr>
      </w:pPr>
    </w:p>
    <w:p>
      <w:pPr>
        <w:ind w:left="1640" w:right="40" w:hanging="795"/>
        <w:spacing w:after="0" w:line="266"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left="1640" w:right="300" w:hanging="795"/>
        <w:spacing w:after="0" w:line="282"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left="1640" w:right="580" w:hanging="795"/>
        <w:spacing w:after="0" w:line="282" w:lineRule="auto"/>
        <w:tabs>
          <w:tab w:leader="none" w:pos="1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2018</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34290</wp:posOffset>
            </wp:positionV>
            <wp:extent cx="2967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576"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Black Hills Corporation (the “Company”) on Form 10-Q for the period ended September 30, 2018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4" w:lineRule="exact"/>
        <w:rPr>
          <w:sz w:val="20"/>
          <w:szCs w:val="20"/>
          <w:color w:val="auto"/>
        </w:rPr>
      </w:pPr>
    </w:p>
    <w:p>
      <w:pPr>
        <w:ind w:left="1640" w:hanging="795"/>
        <w:spacing w:after="0"/>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292" w:lineRule="exact"/>
        <w:rPr>
          <w:rFonts w:ascii="Times New Roman" w:cs="Times New Roman" w:eastAsia="Times New Roman" w:hAnsi="Times New Roman"/>
          <w:sz w:val="18"/>
          <w:szCs w:val="18"/>
          <w:color w:val="auto"/>
        </w:rPr>
      </w:pPr>
    </w:p>
    <w:p>
      <w:pPr>
        <w:ind w:left="1640" w:right="120" w:hanging="795"/>
        <w:spacing w:after="0" w:line="282" w:lineRule="auto"/>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2018</w:t>
      </w: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34290</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Black Hills Corporation (the “Company”) on Form 10-Q for the period ended September 30, 2018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84" w:lineRule="exact"/>
        <w:rPr>
          <w:sz w:val="20"/>
          <w:szCs w:val="20"/>
          <w:color w:val="auto"/>
        </w:rPr>
      </w:pPr>
    </w:p>
    <w:p>
      <w:pPr>
        <w:ind w:left="1640" w:hanging="795"/>
        <w:spacing w:after="0"/>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292" w:lineRule="exact"/>
        <w:rPr>
          <w:rFonts w:ascii="Times New Roman" w:cs="Times New Roman" w:eastAsia="Times New Roman" w:hAnsi="Times New Roman"/>
          <w:sz w:val="18"/>
          <w:szCs w:val="18"/>
          <w:color w:val="auto"/>
        </w:rPr>
      </w:pPr>
    </w:p>
    <w:p>
      <w:pPr>
        <w:ind w:left="1640" w:right="120" w:hanging="795"/>
        <w:spacing w:after="0" w:line="282" w:lineRule="auto"/>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2018</w:t>
      </w: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34290</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57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 Safety and Health Administration Safety Data</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2018.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orders issued under section 104(b) of the Mine Act;</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citations and orders for unwarrantable failure of the mine operator to comply with mandatory health and safety standards under section 104(d) of the Mine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imminent danger orders issued under section 107(a) of the Mine 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dollar value of proposed assessments from MSHA under the Mine Act.</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2018 and legal actions pending before the Federal Mine Safety and Health Review Commission, together with the Administrative Law Judges thereof, for WRDC, our only mining complex. All citations were abated within 24 hours of issue.</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 Section</w:t>
            </w:r>
          </w:p>
        </w:tc>
        <w:tc>
          <w:tcPr>
            <w:tcW w:w="6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9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104 S&amp;S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Section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Act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Notice of</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 as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Actions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three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Section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Citations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Mining</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Potential to Have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Resolved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104(b)</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110(b)(2)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Danger</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MSHA</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Pattern Under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61"/>
        </w:trPr>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Orders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Orders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Violations (#)</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Orders (#)</w:t>
            </w:r>
          </w:p>
        </w:tc>
        <w:tc>
          <w:tcPr>
            <w:tcW w:w="200" w:type="dxa"/>
            <w:vAlign w:val="bottom"/>
          </w:tcPr>
          <w:p>
            <w:pPr>
              <w:spacing w:after="0"/>
              <w:rPr>
                <w:sz w:val="13"/>
                <w:szCs w:val="13"/>
                <w:color w:val="auto"/>
              </w:rPr>
            </w:pPr>
          </w:p>
        </w:tc>
        <w:tc>
          <w:tcPr>
            <w:tcW w:w="10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Assessments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Fatalities (#)</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 104(e)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w:t>
            </w:r>
          </w:p>
        </w:tc>
        <w:tc>
          <w:tcPr>
            <w:tcW w:w="0" w:type="dxa"/>
            <w:vAlign w:val="bottom"/>
          </w:tcPr>
          <w:p>
            <w:pPr>
              <w:spacing w:after="0"/>
              <w:rPr>
                <w:sz w:val="1"/>
                <w:szCs w:val="1"/>
                <w:color w:val="auto"/>
              </w:rPr>
            </w:pPr>
          </w:p>
        </w:tc>
      </w:tr>
      <w:tr>
        <w:trPr>
          <w:trHeight w:val="195"/>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(yes/no)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Wyodak Coal Mine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- 4800083</w:t>
            </w:r>
          </w:p>
        </w:tc>
        <w:tc>
          <w:tcPr>
            <w:tcW w:w="12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9" w:lineRule="exact"/>
        <w:rPr>
          <w:sz w:val="20"/>
          <w:szCs w:val="20"/>
          <w:color w:val="auto"/>
        </w:rPr>
      </w:pPr>
    </w:p>
    <w:p>
      <w:pPr>
        <w:ind w:left="340" w:right="180" w:hanging="332"/>
        <w:spacing w:after="0" w:line="254" w:lineRule="auto"/>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decimal"/>
      <w:start w:val="12"/>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decimal"/>
      <w:start w:val="14"/>
    </w:lvl>
  </w:abstractNum>
  <w:abstractNum w:abstractNumId="13">
    <w:nsid w:val="22221A70"/>
    <w:multiLevelType w:val="hybridMultilevel"/>
    <w:lvl w:ilvl="0">
      <w:lvlJc w:val="left"/>
      <w:lvlText w:val="(%1)"/>
      <w:numFmt w:val="decimal"/>
      <w:start w:val="16"/>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
      <w:numFmt w:val="bullet"/>
      <w:start w:val="1"/>
    </w:lvl>
    <w:lvl w:ilvl="1">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
      <w:numFmt w:val="bullet"/>
      <w:start w:val="1"/>
    </w:lvl>
    <w:lvl w:ilvl="1">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57" Type="http://schemas.openxmlformats.org/officeDocument/2006/relationships/hyperlink" Target="http://www.sec.gov/Archives/edgar/data/1130464/000113046418000007/bhcamendedarticles.htm" TargetMode="External"/><Relationship Id="rId58" Type="http://schemas.openxmlformats.org/officeDocument/2006/relationships/hyperlink" Target="http://www.sec.gov/Archives/edgar/data/1130464/000113046417000016/bkhexh3-amdrestatedbylawso.htm" TargetMode="External"/><Relationship Id="rId59" Type="http://schemas.openxmlformats.org/officeDocument/2006/relationships/hyperlink" Target="http://www.sec.gov/Archives/edgar/data/1130464/000113046403000214/ex4-1_10q603.htm" TargetMode="External"/><Relationship Id="rId60" Type="http://schemas.openxmlformats.org/officeDocument/2006/relationships/hyperlink" Target="http://www.sec.gov/Archives/edgar/data/1130464/000113046403000214/ex4-2_10q603.htm" TargetMode="External"/><Relationship Id="rId61" Type="http://schemas.openxmlformats.org/officeDocument/2006/relationships/hyperlink" Target="http://www.sec.gov/Archives/edgar/data/1130464/000110465909032244/a09-13238_3ex4.htm" TargetMode="External"/><Relationship Id="rId62" Type="http://schemas.openxmlformats.org/officeDocument/2006/relationships/hyperlink" Target="http://www.sec.gov/Archives/edgar/data/1130464/000110465910038202/a10-11184_5ex4.htm" TargetMode="External"/><Relationship Id="rId63" Type="http://schemas.openxmlformats.org/officeDocument/2006/relationships/hyperlink" Target="http://www.sec.gov/Archives/edgar/data/1130464/000110465913085420/a13-24110_4ex4.htm" TargetMode="External"/><Relationship Id="rId64" Type="http://schemas.openxmlformats.org/officeDocument/2006/relationships/hyperlink" Target="http://www.sec.gov/Archives/edgar/data/1130464/000110465916089656/a16-1059_4ex4d1.htm" TargetMode="External"/><Relationship Id="rId65" Type="http://schemas.openxmlformats.org/officeDocument/2006/relationships/hyperlink" Target="http://www.sec.gov/Archives/edgar/data/1130464/000110465916140657/a16-17027_1ex4d1.htm" TargetMode="External"/><Relationship Id="rId66" Type="http://schemas.openxmlformats.org/officeDocument/2006/relationships/hyperlink" Target="http://www.sec.gov/Archives/edgar/data/1130464/000110465918052602/a18-18564_4ex4d2.htm" TargetMode="External"/><Relationship Id="rId67" Type="http://schemas.openxmlformats.org/officeDocument/2006/relationships/hyperlink" Target="http://www.sec.gov/Archives/edgar/data/12400/000104746909009108/a2195001zex-4_19.htm" TargetMode="External"/><Relationship Id="rId68" Type="http://schemas.openxmlformats.org/officeDocument/2006/relationships/hyperlink" Target="http://www.sec.gov/Archives/edgar/data/12400/000093066102002633/dex42.txt" TargetMode="External"/><Relationship Id="rId69" Type="http://schemas.openxmlformats.org/officeDocument/2006/relationships/hyperlink" Target="http://www.sec.gov/Archives/edgar/data/12400/000110465909060487/a09-31821_7ex4d21.htm" TargetMode="External"/><Relationship Id="rId70" Type="http://schemas.openxmlformats.org/officeDocument/2006/relationships/hyperlink" Target="http://www.sec.gov/Archives/edgar/data/12400/000113046414000164/ex_10-1thirdsuppindentureb.htm" TargetMode="External"/><Relationship Id="rId71" Type="http://schemas.openxmlformats.org/officeDocument/2006/relationships/hyperlink" Target="http://www.sec.gov/Archives/edgar/data/12400/000113046414000164/ex_10-2restatedindenture.htm" TargetMode="External"/><Relationship Id="rId72" Type="http://schemas.openxmlformats.org/officeDocument/2006/relationships/hyperlink" Target="http://www.sec.gov/Archives/edgar/data/12400/000113046414000164/ex_10-3clfpfirstsupplement.htm" TargetMode="External"/><Relationship Id="rId73" Type="http://schemas.openxmlformats.org/officeDocument/2006/relationships/hyperlink" Target="http://www.sec.gov/Archives/edgar/data/12400/000113046414000164/ex_10-4clfpsupplementalind.htm" TargetMode="External"/><Relationship Id="rId74" Type="http://schemas.openxmlformats.org/officeDocument/2006/relationships/hyperlink" Target="http://www.sec.gov/Archives/edgar/data/1130464/000110465915080657/a15-22831_8ex4d1.htm" TargetMode="External"/><Relationship Id="rId75" Type="http://schemas.openxmlformats.org/officeDocument/2006/relationships/hyperlink" Target="http://www.sec.gov/Archives/edgar/data/1130464/000110465915080657/a15-22831_8ex4d2.htm" TargetMode="External"/><Relationship Id="rId76" Type="http://schemas.openxmlformats.org/officeDocument/2006/relationships/hyperlink" Target="http://www.sec.gov/Archives/edgar/data/1130464/000110465915080657/a15-22831_8ex4d4.htm" TargetMode="External"/><Relationship Id="rId77" Type="http://schemas.openxmlformats.org/officeDocument/2006/relationships/hyperlink" Target="http://www.sec.gov/Archives/edgar/data/1130464/000001240001000024/0000012400-01-000024-0002.txt" TargetMode="External"/><Relationship Id="rId78" Type="http://schemas.openxmlformats.org/officeDocument/2006/relationships/hyperlink" Target="http://www.sec.gov/Archives/edgar/data/1130464/000110465918048322/a18-17931_1ex10d1.htm" TargetMode="External"/><Relationship Id="rId79" Type="http://schemas.openxmlformats.org/officeDocument/2006/relationships/hyperlink" Target="http://www.sec.gov/Archives/edgar/data/1130464/000110465918048322/a18-17931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2020-01-10T21:28:29Z</dcterms:created>
  <dcterms:modified xsi:type="dcterms:W3CDTF">2020-01-10T21:28:29Z</dcterms:modified>
</cp:coreProperties>
</file>