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3780" w:right="1400" w:hanging="2379"/>
        <w:spacing w:after="0" w:line="286" w:lineRule="auto"/>
        <w:tabs>
          <w:tab w:leader="none" w:pos="15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September 30, 2024</w:t>
      </w:r>
    </w:p>
    <w:p>
      <w:pPr>
        <w:spacing w:after="0" w:line="129" w:lineRule="exact"/>
        <w:rPr>
          <w:sz w:val="24"/>
          <w:szCs w:val="24"/>
          <w:color w:val="auto"/>
        </w:rPr>
      </w:pPr>
    </w:p>
    <w:p>
      <w:pPr>
        <w:ind w:left="3540" w:right="1360" w:hanging="2164"/>
        <w:spacing w:after="0" w:line="286" w:lineRule="auto"/>
        <w:tabs>
          <w:tab w:leader="none" w:pos="160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167"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51" w:lineRule="exact"/>
        <w:rPr>
          <w:sz w:val="24"/>
          <w:szCs w:val="24"/>
          <w:color w:val="auto"/>
        </w:rPr>
      </w:pPr>
    </w:p>
    <w:p>
      <w:pPr>
        <w:jc w:val="both"/>
        <w:ind w:right="4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480" w:type="dxa"/>
        <w:tblCellMar>
          <w:top w:w="0" w:type="dxa"/>
          <w:left w:w="0" w:type="dxa"/>
          <w:bottom w:w="0" w:type="dxa"/>
          <w:right w:w="0" w:type="dxa"/>
        </w:tblCellMar>
      </w:tblPr>
      <w:tr>
        <w:trPr>
          <w:trHeight w:val="272"/>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26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8"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6"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881" w:right="339" w:bottom="1440" w:gutter="0" w:footer="0" w:header="0"/>
        </w:sectPr>
      </w:pPr>
    </w:p>
    <w:p>
      <w:pPr>
        <w:spacing w:after="0" w:line="113"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Name of each exchange on which registered</w:t>
      </w:r>
    </w:p>
    <w:p>
      <w:pPr>
        <w:spacing w:after="0" w:line="113" w:lineRule="exact"/>
        <w:rPr>
          <w:sz w:val="24"/>
          <w:szCs w:val="24"/>
          <w:color w:val="auto"/>
        </w:rPr>
      </w:pPr>
    </w:p>
    <w:p>
      <w:pPr>
        <w:sectPr>
          <w:pgSz w:w="11900" w:h="16838" w:orient="portrait"/>
          <w:cols w:equalWidth="0" w:num="3">
            <w:col w:w="4360" w:space="720"/>
            <w:col w:w="1420" w:space="720"/>
            <w:col w:w="4020"/>
          </w:cols>
          <w:pgMar w:left="320" w:top="881" w:right="3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40" w:space="720"/>
            <w:col w:w="1600" w:space="720"/>
            <w:col w:w="3360"/>
          </w:cols>
          <w:pgMar w:left="320" w:top="881" w:right="3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jc w:val="center"/>
              <w:ind w:left="2479"/>
              <w:spacing w:after="0"/>
              <w:rPr>
                <w:sz w:val="20"/>
                <w:szCs w:val="20"/>
                <w:color w:val="auto"/>
              </w:rPr>
            </w:pPr>
            <w:r>
              <w:rPr>
                <w:rFonts w:ascii="Arial" w:cs="Arial" w:eastAsia="Arial" w:hAnsi="Arial"/>
                <w:sz w:val="16"/>
                <w:szCs w:val="16"/>
                <w:color w:val="auto"/>
                <w:w w:val="99"/>
              </w:rPr>
              <w:t>Class</w:t>
            </w:r>
          </w:p>
        </w:tc>
        <w:tc>
          <w:tcPr>
            <w:tcW w:w="5560" w:type="dxa"/>
            <w:vAlign w:val="bottom"/>
          </w:tcPr>
          <w:p>
            <w:pPr>
              <w:ind w:left="420"/>
              <w:spacing w:after="0"/>
              <w:rPr>
                <w:sz w:val="20"/>
                <w:szCs w:val="20"/>
                <w:color w:val="auto"/>
              </w:rPr>
            </w:pPr>
            <w:r>
              <w:rPr>
                <w:rFonts w:ascii="Arial" w:cs="Arial" w:eastAsia="Arial" w:hAnsi="Arial"/>
                <w:sz w:val="16"/>
                <w:szCs w:val="16"/>
                <w:color w:val="auto"/>
              </w:rPr>
              <w:t>Outstanding at November 4, 2024</w:t>
            </w:r>
          </w:p>
        </w:tc>
      </w:tr>
      <w:tr>
        <w:trPr>
          <w:trHeight w:val="297"/>
        </w:trPr>
        <w:tc>
          <w:tcPr>
            <w:tcW w:w="5680" w:type="dxa"/>
            <w:vAlign w:val="bottom"/>
          </w:tcPr>
          <w:p>
            <w:pPr>
              <w:jc w:val="center"/>
              <w:ind w:left="2459"/>
              <w:spacing w:after="0"/>
              <w:rPr>
                <w:sz w:val="20"/>
                <w:szCs w:val="20"/>
                <w:color w:val="auto"/>
              </w:rPr>
            </w:pPr>
            <w:r>
              <w:rPr>
                <w:rFonts w:ascii="Arial" w:cs="Arial" w:eastAsia="Arial" w:hAnsi="Arial"/>
                <w:sz w:val="16"/>
                <w:szCs w:val="16"/>
                <w:color w:val="auto"/>
              </w:rPr>
              <w:t>Common stock, $1.00 par value</w:t>
            </w:r>
          </w:p>
        </w:tc>
        <w:tc>
          <w:tcPr>
            <w:tcW w:w="5560" w:type="dxa"/>
            <w:vAlign w:val="bottom"/>
          </w:tcPr>
          <w:p>
            <w:pPr>
              <w:ind w:left="800"/>
              <w:spacing w:after="0"/>
              <w:rPr>
                <w:sz w:val="20"/>
                <w:szCs w:val="20"/>
                <w:color w:val="auto"/>
              </w:rPr>
            </w:pPr>
            <w:r>
              <w:rPr>
                <w:rFonts w:ascii="Arial" w:cs="Arial" w:eastAsia="Arial" w:hAnsi="Arial"/>
                <w:sz w:val="16"/>
                <w:szCs w:val="16"/>
                <w:color w:val="auto"/>
              </w:rPr>
              <w:t>71,573,235 shares</w:t>
            </w:r>
          </w:p>
        </w:tc>
      </w:tr>
      <w:tr>
        <w:trPr>
          <w:trHeight w:val="1224"/>
        </w:trPr>
        <w:tc>
          <w:tcPr>
            <w:tcW w:w="56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gridSpan w:val="12"/>
          </w:tcPr>
          <w:p>
            <w:pPr>
              <w:jc w:val="center"/>
              <w:ind w:right="3140"/>
              <w:spacing w:after="0"/>
              <w:rPr>
                <w:sz w:val="20"/>
                <w:szCs w:val="20"/>
                <w:color w:val="auto"/>
              </w:rPr>
            </w:pPr>
            <w:r>
              <w:rPr>
                <w:rFonts w:ascii="Arial" w:cs="Arial" w:eastAsia="Arial" w:hAnsi="Arial"/>
                <w:sz w:val="16"/>
                <w:szCs w:val="16"/>
                <w:b w:val="1"/>
                <w:bCs w:val="1"/>
                <w:color w:val="auto"/>
              </w:rPr>
              <w:t>TABLE OF CONTENTS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11240" w:type="dxa"/>
            <w:vAlign w:val="bottom"/>
            <w:gridSpan w:val="62"/>
          </w:tcPr>
          <w:p>
            <w:pPr>
              <w:spacing w:after="0"/>
              <w:rPr>
                <w:sz w:val="20"/>
                <w:szCs w:val="20"/>
                <w:color w:val="auto"/>
              </w:rPr>
            </w:pPr>
            <w:r>
              <w:rPr>
                <w:rFonts w:ascii="Arial" w:cs="Arial" w:eastAsia="Arial" w:hAnsi="Arial"/>
                <w:sz w:val="16"/>
                <w:szCs w:val="16"/>
                <w:color w:val="auto"/>
              </w:rPr>
              <w:t>Page</w:t>
            </w:r>
          </w:p>
        </w:tc>
      </w:tr>
      <w:tr>
        <w:trPr>
          <w:trHeight w:val="162"/>
        </w:trPr>
        <w:tc>
          <w:tcPr>
            <w:tcW w:w="20" w:type="dxa"/>
            <w:vAlign w:val="bottom"/>
            <w:shd w:val="clear" w:color="auto" w:fill="CFF0FC"/>
          </w:tcPr>
          <w:p>
            <w:pPr>
              <w:spacing w:after="0"/>
              <w:rPr>
                <w:sz w:val="14"/>
                <w:szCs w:val="14"/>
                <w:color w:val="auto"/>
              </w:rPr>
            </w:pPr>
          </w:p>
        </w:tc>
        <w:tc>
          <w:tcPr>
            <w:tcW w:w="9660" w:type="dxa"/>
            <w:vAlign w:val="bottom"/>
            <w:gridSpan w:val="54"/>
            <w:shd w:val="clear" w:color="auto" w:fill="CFF0FC"/>
          </w:tcPr>
          <w:p>
            <w:pPr>
              <w:spacing w:after="0" w:line="162" w:lineRule="exact"/>
              <w:rPr>
                <w:sz w:val="20"/>
                <w:szCs w:val="20"/>
                <w:color w:val="auto"/>
              </w:rPr>
            </w:pPr>
            <w:r>
              <w:rPr>
                <w:rFonts w:ascii="Arial" w:cs="Arial" w:eastAsia="Arial" w:hAnsi="Arial"/>
                <w:sz w:val="16"/>
                <w:szCs w:val="16"/>
                <w:color w:val="0000FF"/>
              </w:rPr>
              <w:t>Glossary of Terms and Abbreviations</w:t>
            </w:r>
          </w:p>
        </w:tc>
        <w:tc>
          <w:tcPr>
            <w:tcW w:w="860" w:type="dxa"/>
            <w:vAlign w:val="bottom"/>
            <w:tcBorders>
              <w:top w:val="single" w:sz="8" w:color="auto"/>
            </w:tcBorders>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3</w:t>
            </w:r>
          </w:p>
        </w:tc>
        <w:tc>
          <w:tcPr>
            <w:tcW w:w="68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640" w:type="dxa"/>
            <w:vAlign w:val="bottom"/>
            <w:tcBorders>
              <w:top w:val="single" w:sz="8" w:color="0000FF"/>
            </w:tcBorders>
            <w:gridSpan w:val="12"/>
            <w:shd w:val="clear" w:color="auto" w:fill="CFF0FC"/>
          </w:tcPr>
          <w:p>
            <w:pPr>
              <w:spacing w:after="0" w:line="20" w:lineRule="exact"/>
              <w:rPr>
                <w:sz w:val="1"/>
                <w:szCs w:val="1"/>
                <w:color w:val="auto"/>
              </w:rPr>
            </w:pPr>
          </w:p>
        </w:tc>
        <w:tc>
          <w:tcPr>
            <w:tcW w:w="7760" w:type="dxa"/>
            <w:vAlign w:val="bottom"/>
            <w:tcBorders>
              <w:top w:val="single" w:sz="8" w:color="CFF0FC"/>
            </w:tcBorders>
            <w:gridSpan w:val="45"/>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8"/>
          </w:tcPr>
          <w:p>
            <w:pPr>
              <w:spacing w:after="0" w:line="162" w:lineRule="exact"/>
              <w:rPr>
                <w:sz w:val="20"/>
                <w:szCs w:val="20"/>
                <w:color w:val="auto"/>
              </w:rPr>
            </w:pPr>
            <w:r>
              <w:rPr>
                <w:rFonts w:ascii="Arial" w:cs="Arial" w:eastAsia="Arial" w:hAnsi="Arial"/>
                <w:sz w:val="16"/>
                <w:szCs w:val="16"/>
                <w:color w:val="0000FF"/>
              </w:rPr>
              <w:t>Forward-Looking Information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gridSpan w:val="2"/>
          </w:tcPr>
          <w:p>
            <w:pPr>
              <w:spacing w:after="0"/>
              <w:rPr>
                <w:sz w:val="19"/>
                <w:szCs w:val="19"/>
                <w:color w:val="auto"/>
              </w:rPr>
            </w:pPr>
          </w:p>
        </w:tc>
        <w:tc>
          <w:tcPr>
            <w:tcW w:w="2060" w:type="dxa"/>
            <w:vAlign w:val="bottom"/>
            <w:tcBorders>
              <w:top w:val="single" w:sz="8" w:color="0000FF"/>
            </w:tcBorders>
            <w:gridSpan w:val="6"/>
          </w:tcPr>
          <w:p>
            <w:pPr>
              <w:spacing w:after="0"/>
              <w:rPr>
                <w:sz w:val="19"/>
                <w:szCs w:val="19"/>
                <w:color w:val="auto"/>
              </w:rPr>
            </w:pPr>
          </w:p>
        </w:tc>
        <w:tc>
          <w:tcPr>
            <w:tcW w:w="8320" w:type="dxa"/>
            <w:vAlign w:val="bottom"/>
            <w:gridSpan w:val="50"/>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40" w:type="dxa"/>
            <w:vAlign w:val="bottom"/>
            <w:gridSpan w:val="3"/>
          </w:tcPr>
          <w:p>
            <w:pPr>
              <w:spacing w:after="0"/>
              <w:rPr>
                <w:sz w:val="19"/>
                <w:szCs w:val="19"/>
                <w:color w:val="auto"/>
              </w:rPr>
            </w:pPr>
          </w:p>
        </w:tc>
      </w:tr>
      <w:tr>
        <w:trPr>
          <w:trHeight w:val="183"/>
        </w:trPr>
        <w:tc>
          <w:tcPr>
            <w:tcW w:w="9680" w:type="dxa"/>
            <w:vAlign w:val="bottom"/>
            <w:gridSpan w:val="55"/>
            <w:shd w:val="clear" w:color="auto" w:fill="CFF0FC"/>
          </w:tcPr>
          <w:p>
            <w:pPr>
              <w:ind w:left="20"/>
              <w:spacing w:after="0" w:line="162" w:lineRule="exact"/>
              <w:rPr>
                <w:sz w:val="20"/>
                <w:szCs w:val="20"/>
                <w:color w:val="auto"/>
              </w:rPr>
            </w:pPr>
            <w:r>
              <w:rPr>
                <w:rFonts w:ascii="Arial" w:cs="Arial" w:eastAsia="Arial" w:hAnsi="Arial"/>
                <w:sz w:val="16"/>
                <w:szCs w:val="16"/>
                <w:color w:val="0000FF"/>
              </w:rPr>
              <w:t>PART I. FINANCIAL INFORMATION</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2620" w:type="dxa"/>
            <w:vAlign w:val="bottom"/>
            <w:tcBorders>
              <w:top w:val="single" w:sz="8" w:color="0000FF"/>
            </w:tcBorders>
            <w:gridSpan w:val="11"/>
          </w:tcPr>
          <w:p>
            <w:pPr>
              <w:spacing w:after="0"/>
              <w:rPr>
                <w:sz w:val="17"/>
                <w:szCs w:val="17"/>
                <w:color w:val="auto"/>
              </w:rPr>
            </w:pPr>
          </w:p>
        </w:tc>
        <w:tc>
          <w:tcPr>
            <w:tcW w:w="7780" w:type="dxa"/>
            <w:vAlign w:val="bottom"/>
            <w:tcBorders>
              <w:top w:val="single" w:sz="8" w:color="CFF0FC"/>
            </w:tcBorders>
            <w:gridSpan w:val="46"/>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Borders>
              <w:top w:val="single" w:sz="8" w:color="CFF0FC"/>
            </w:tcBorders>
            <w:gridSpan w:val="3"/>
          </w:tcPr>
          <w:p>
            <w:pPr>
              <w:spacing w:after="0"/>
              <w:rPr>
                <w:sz w:val="17"/>
                <w:szCs w:val="17"/>
                <w:color w:val="auto"/>
              </w:rPr>
            </w:pPr>
          </w:p>
        </w:tc>
      </w:tr>
      <w:tr>
        <w:trPr>
          <w:trHeight w:val="162"/>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1.</w:t>
            </w:r>
          </w:p>
        </w:tc>
        <w:tc>
          <w:tcPr>
            <w:tcW w:w="2380" w:type="dxa"/>
            <w:vAlign w:val="bottom"/>
            <w:gridSpan w:val="30"/>
            <w:shd w:val="clear" w:color="auto" w:fill="CFF0FC"/>
          </w:tcPr>
          <w:p>
            <w:pPr>
              <w:spacing w:after="0" w:line="162" w:lineRule="exact"/>
              <w:rPr>
                <w:sz w:val="20"/>
                <w:szCs w:val="20"/>
                <w:color w:val="auto"/>
              </w:rPr>
            </w:pPr>
            <w:r>
              <w:rPr>
                <w:rFonts w:ascii="Arial" w:cs="Arial" w:eastAsia="Arial" w:hAnsi="Arial"/>
                <w:sz w:val="16"/>
                <w:szCs w:val="16"/>
                <w:color w:val="0000FF"/>
              </w:rPr>
              <w:t>Financial Statements - unaudited</w:t>
            </w:r>
          </w:p>
        </w:tc>
        <w:tc>
          <w:tcPr>
            <w:tcW w:w="5600" w:type="dxa"/>
            <w:vAlign w:val="bottom"/>
            <w:gridSpan w:val="21"/>
            <w:shd w:val="clear" w:color="auto" w:fill="CFF0FC"/>
          </w:tcPr>
          <w:p>
            <w:pPr>
              <w:spacing w:after="0"/>
              <w:rPr>
                <w:sz w:val="14"/>
                <w:szCs w:val="14"/>
                <w:color w:val="auto"/>
              </w:rPr>
            </w:pP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700" w:type="dxa"/>
            <w:vAlign w:val="bottom"/>
            <w:tcBorders>
              <w:top w:val="single" w:sz="8" w:color="CFF0FC"/>
            </w:tcBorders>
            <w:gridSpan w:val="4"/>
            <w:shd w:val="clear" w:color="auto" w:fill="CFF0FC"/>
          </w:tcPr>
          <w:p>
            <w:pPr>
              <w:spacing w:after="0" w:line="20" w:lineRule="exact"/>
              <w:rPr>
                <w:sz w:val="1"/>
                <w:szCs w:val="1"/>
                <w:color w:val="auto"/>
              </w:rPr>
            </w:pPr>
          </w:p>
        </w:tc>
        <w:tc>
          <w:tcPr>
            <w:tcW w:w="2380" w:type="dxa"/>
            <w:vAlign w:val="bottom"/>
            <w:tcBorders>
              <w:top w:val="single" w:sz="8" w:color="0000FF"/>
            </w:tcBorders>
            <w:gridSpan w:val="30"/>
            <w:shd w:val="clear" w:color="auto" w:fill="CFF0FC"/>
          </w:tcPr>
          <w:p>
            <w:pPr>
              <w:spacing w:after="0" w:line="20" w:lineRule="exact"/>
              <w:rPr>
                <w:sz w:val="1"/>
                <w:szCs w:val="1"/>
                <w:color w:val="auto"/>
              </w:rPr>
            </w:pPr>
          </w:p>
        </w:tc>
        <w:tc>
          <w:tcPr>
            <w:tcW w:w="6340" w:type="dxa"/>
            <w:vAlign w:val="bottom"/>
            <w:tcBorders>
              <w:top w:val="single" w:sz="8" w:color="CFF0FC"/>
            </w:tcBorders>
            <w:gridSpan w:val="24"/>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Statements of Income</w:t>
            </w: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2560" w:type="dxa"/>
            <w:vAlign w:val="bottom"/>
            <w:tcBorders>
              <w:top w:val="single" w:sz="8" w:color="0000FF"/>
            </w:tcBorders>
            <w:gridSpan w:val="36"/>
          </w:tcPr>
          <w:p>
            <w:pPr>
              <w:spacing w:after="0" w:line="20" w:lineRule="exact"/>
              <w:rPr>
                <w:sz w:val="1"/>
                <w:szCs w:val="1"/>
                <w:color w:val="auto"/>
              </w:rPr>
            </w:pPr>
          </w:p>
        </w:tc>
        <w:tc>
          <w:tcPr>
            <w:tcW w:w="6020" w:type="dxa"/>
            <w:vAlign w:val="bottom"/>
            <w:gridSpan w:val="17"/>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Consolidated Statements of Comprehensive Income</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8</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3740" w:type="dxa"/>
            <w:vAlign w:val="bottom"/>
            <w:tcBorders>
              <w:top w:val="single" w:sz="8" w:color="0000FF"/>
            </w:tcBorders>
            <w:gridSpan w:val="43"/>
            <w:shd w:val="clear" w:color="auto" w:fill="CFF0FC"/>
          </w:tcPr>
          <w:p>
            <w:pPr>
              <w:spacing w:after="0" w:line="20" w:lineRule="exact"/>
              <w:rPr>
                <w:sz w:val="1"/>
                <w:szCs w:val="1"/>
                <w:color w:val="auto"/>
              </w:rPr>
            </w:pPr>
          </w:p>
        </w:tc>
        <w:tc>
          <w:tcPr>
            <w:tcW w:w="4840" w:type="dxa"/>
            <w:vAlign w:val="bottom"/>
            <w:tcBorders>
              <w:top w:val="single" w:sz="8" w:color="CFF0FC"/>
            </w:tcBorders>
            <w:gridSpan w:val="10"/>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Balance Sheets</w:t>
            </w: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120" w:type="dxa"/>
            <w:vAlign w:val="bottom"/>
            <w:tcBorders>
              <w:top w:val="single" w:sz="8" w:color="0000FF"/>
            </w:tcBorders>
            <w:gridSpan w:val="27"/>
          </w:tcPr>
          <w:p>
            <w:pPr>
              <w:spacing w:after="0" w:line="20" w:lineRule="exact"/>
              <w:rPr>
                <w:sz w:val="1"/>
                <w:szCs w:val="1"/>
                <w:color w:val="auto"/>
              </w:rPr>
            </w:pPr>
          </w:p>
        </w:tc>
        <w:tc>
          <w:tcPr>
            <w:tcW w:w="6460" w:type="dxa"/>
            <w:vAlign w:val="bottom"/>
            <w:gridSpan w:val="26"/>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Consolidated Statements of Cash Flows</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11</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2880" w:type="dxa"/>
            <w:vAlign w:val="bottom"/>
            <w:tcBorders>
              <w:top w:val="single" w:sz="8" w:color="0000FF"/>
            </w:tcBorders>
            <w:gridSpan w:val="38"/>
            <w:shd w:val="clear" w:color="auto" w:fill="CFF0FC"/>
          </w:tcPr>
          <w:p>
            <w:pPr>
              <w:spacing w:after="0" w:line="20" w:lineRule="exact"/>
              <w:rPr>
                <w:sz w:val="1"/>
                <w:szCs w:val="1"/>
                <w:color w:val="auto"/>
              </w:rPr>
            </w:pPr>
          </w:p>
        </w:tc>
        <w:tc>
          <w:tcPr>
            <w:tcW w:w="5660" w:type="dxa"/>
            <w:vAlign w:val="bottom"/>
            <w:tcBorders>
              <w:top w:val="single" w:sz="8" w:color="CFF0FC"/>
            </w:tcBorders>
            <w:gridSpan w:val="14"/>
            <w:shd w:val="clear" w:color="auto" w:fill="CFF0FC"/>
          </w:tcPr>
          <w:p>
            <w:pPr>
              <w:spacing w:after="0" w:line="20" w:lineRule="exact"/>
              <w:rPr>
                <w:sz w:val="1"/>
                <w:szCs w:val="1"/>
                <w:color w:val="auto"/>
              </w:rPr>
            </w:pPr>
          </w:p>
        </w:tc>
        <w:tc>
          <w:tcPr>
            <w:tcW w:w="160" w:type="dxa"/>
            <w:vAlign w:val="bottom"/>
            <w:tcBorders>
              <w:top w:val="single" w:sz="8" w:color="0000FF"/>
            </w:tcBorders>
            <w:gridSpan w:val="3"/>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Statements of Equity</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12</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480" w:type="dxa"/>
            <w:vAlign w:val="bottom"/>
            <w:tcBorders>
              <w:top w:val="single" w:sz="8" w:color="0000FF"/>
            </w:tcBorders>
            <w:gridSpan w:val="33"/>
          </w:tcPr>
          <w:p>
            <w:pPr>
              <w:spacing w:after="0" w:line="20" w:lineRule="exact"/>
              <w:rPr>
                <w:sz w:val="1"/>
                <w:szCs w:val="1"/>
                <w:color w:val="auto"/>
              </w:rPr>
            </w:pPr>
          </w:p>
        </w:tc>
        <w:tc>
          <w:tcPr>
            <w:tcW w:w="6040" w:type="dxa"/>
            <w:vAlign w:val="bottom"/>
            <w:gridSpan w:val="18"/>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Condensed Notes to Consolidated Financial Statements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14</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4020" w:type="dxa"/>
            <w:vAlign w:val="bottom"/>
            <w:tcBorders>
              <w:top w:val="single" w:sz="8" w:color="0000FF"/>
            </w:tcBorders>
            <w:gridSpan w:val="45"/>
          </w:tcPr>
          <w:p>
            <w:pPr>
              <w:ind w:left="80"/>
              <w:spacing w:after="0" w:line="162" w:lineRule="exact"/>
              <w:rPr>
                <w:sz w:val="20"/>
                <w:szCs w:val="20"/>
                <w:color w:val="auto"/>
              </w:rPr>
            </w:pPr>
            <w:r>
              <w:rPr>
                <w:rFonts w:ascii="Arial" w:cs="Arial" w:eastAsia="Arial" w:hAnsi="Arial"/>
                <w:sz w:val="16"/>
                <w:szCs w:val="16"/>
                <w:color w:val="0000FF"/>
              </w:rPr>
              <w:t>Note 1. Management’s Statement</w:t>
            </w:r>
          </w:p>
        </w:tc>
        <w:tc>
          <w:tcPr>
            <w:tcW w:w="3820" w:type="dxa"/>
            <w:vAlign w:val="bottom"/>
            <w:tcBorders>
              <w:top w:val="single" w:sz="8" w:color="CFF0FC"/>
            </w:tcBorders>
            <w:gridSpan w:val="5"/>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14</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2440" w:type="dxa"/>
            <w:vAlign w:val="bottom"/>
            <w:tcBorders>
              <w:top w:val="single" w:sz="8" w:color="0000FF"/>
            </w:tcBorders>
            <w:gridSpan w:val="34"/>
          </w:tcPr>
          <w:p>
            <w:pPr>
              <w:spacing w:after="0" w:line="20" w:lineRule="exact"/>
              <w:rPr>
                <w:sz w:val="1"/>
                <w:szCs w:val="1"/>
                <w:color w:val="auto"/>
              </w:rPr>
            </w:pPr>
          </w:p>
        </w:tc>
        <w:tc>
          <w:tcPr>
            <w:tcW w:w="6000" w:type="dxa"/>
            <w:vAlign w:val="bottom"/>
            <w:gridSpan w:val="1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2.</w:t>
            </w:r>
          </w:p>
        </w:tc>
        <w:tc>
          <w:tcPr>
            <w:tcW w:w="7160" w:type="dxa"/>
            <w:vAlign w:val="bottom"/>
            <w:gridSpan w:val="45"/>
            <w:shd w:val="clear" w:color="auto" w:fill="CFF0FC"/>
          </w:tcPr>
          <w:p>
            <w:pPr>
              <w:spacing w:after="0" w:line="162" w:lineRule="exact"/>
              <w:rPr>
                <w:sz w:val="20"/>
                <w:szCs w:val="20"/>
                <w:color w:val="auto"/>
              </w:rPr>
            </w:pPr>
            <w:r>
              <w:rPr>
                <w:rFonts w:ascii="Arial" w:cs="Arial" w:eastAsia="Arial" w:hAnsi="Arial"/>
                <w:sz w:val="16"/>
                <w:szCs w:val="16"/>
                <w:color w:val="0000FF"/>
              </w:rPr>
              <w:t>Regulatory Matters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15</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980" w:type="dxa"/>
            <w:vAlign w:val="bottom"/>
            <w:tcBorders>
              <w:top w:val="single" w:sz="8" w:color="0000FF"/>
            </w:tcBorders>
            <w:gridSpan w:val="23"/>
            <w:shd w:val="clear" w:color="auto" w:fill="CFF0FC"/>
          </w:tcPr>
          <w:p>
            <w:pPr>
              <w:spacing w:after="0" w:line="20" w:lineRule="exact"/>
              <w:rPr>
                <w:sz w:val="1"/>
                <w:szCs w:val="1"/>
                <w:color w:val="auto"/>
              </w:rPr>
            </w:pPr>
          </w:p>
        </w:tc>
        <w:tc>
          <w:tcPr>
            <w:tcW w:w="6460" w:type="dxa"/>
            <w:vAlign w:val="bottom"/>
            <w:tcBorders>
              <w:top w:val="single" w:sz="8" w:color="CFF0FC"/>
            </w:tcBorders>
            <w:gridSpan w:val="27"/>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3. Commitments, Contingencies and Guarantees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920" w:type="dxa"/>
            <w:vAlign w:val="bottom"/>
            <w:tcBorders>
              <w:top w:val="single" w:sz="8" w:color="0000FF"/>
            </w:tcBorders>
            <w:gridSpan w:val="4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4. Revenue</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16</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260" w:type="dxa"/>
            <w:vAlign w:val="bottom"/>
            <w:tcBorders>
              <w:top w:val="single" w:sz="8" w:color="0000FF"/>
            </w:tcBorders>
            <w:gridSpan w:val="12"/>
            <w:shd w:val="clear" w:color="auto" w:fill="CFF0FC"/>
          </w:tcPr>
          <w:p>
            <w:pPr>
              <w:spacing w:after="0" w:line="20" w:lineRule="exact"/>
              <w:rPr>
                <w:sz w:val="1"/>
                <w:szCs w:val="1"/>
                <w:color w:val="auto"/>
              </w:rPr>
            </w:pPr>
          </w:p>
        </w:tc>
        <w:tc>
          <w:tcPr>
            <w:tcW w:w="7180" w:type="dxa"/>
            <w:vAlign w:val="bottom"/>
            <w:tcBorders>
              <w:top w:val="single" w:sz="8" w:color="CFF0FC"/>
            </w:tcBorders>
            <w:gridSpan w:val="38"/>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ind w:left="80"/>
              <w:spacing w:after="0" w:line="162" w:lineRule="exact"/>
              <w:rPr>
                <w:sz w:val="20"/>
                <w:szCs w:val="20"/>
                <w:color w:val="auto"/>
              </w:rPr>
            </w:pPr>
            <w:r>
              <w:rPr>
                <w:rFonts w:ascii="Arial" w:cs="Arial" w:eastAsia="Arial" w:hAnsi="Arial"/>
                <w:sz w:val="16"/>
                <w:szCs w:val="16"/>
                <w:color w:val="0000FF"/>
              </w:rPr>
              <w:t>Note 5.</w:t>
            </w:r>
          </w:p>
        </w:tc>
        <w:tc>
          <w:tcPr>
            <w:tcW w:w="7160" w:type="dxa"/>
            <w:vAlign w:val="bottom"/>
            <w:gridSpan w:val="45"/>
          </w:tcPr>
          <w:p>
            <w:pPr>
              <w:spacing w:after="0" w:line="162" w:lineRule="exact"/>
              <w:rPr>
                <w:sz w:val="20"/>
                <w:szCs w:val="20"/>
                <w:color w:val="auto"/>
              </w:rPr>
            </w:pPr>
            <w:r>
              <w:rPr>
                <w:rFonts w:ascii="Arial" w:cs="Arial" w:eastAsia="Arial" w:hAnsi="Arial"/>
                <w:sz w:val="16"/>
                <w:szCs w:val="16"/>
                <w:color w:val="0000FF"/>
              </w:rPr>
              <w:t>Financing</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18</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1300" w:type="dxa"/>
            <w:vAlign w:val="bottom"/>
            <w:tcBorders>
              <w:top w:val="single" w:sz="8" w:color="0000FF"/>
            </w:tcBorders>
            <w:gridSpan w:val="13"/>
          </w:tcPr>
          <w:p>
            <w:pPr>
              <w:spacing w:after="0" w:line="20" w:lineRule="exact"/>
              <w:rPr>
                <w:sz w:val="1"/>
                <w:szCs w:val="1"/>
                <w:color w:val="auto"/>
              </w:rPr>
            </w:pPr>
          </w:p>
        </w:tc>
        <w:tc>
          <w:tcPr>
            <w:tcW w:w="7140" w:type="dxa"/>
            <w:vAlign w:val="bottom"/>
            <w:gridSpan w:val="37"/>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6. Earnings Per Share</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19</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020" w:type="dxa"/>
            <w:vAlign w:val="bottom"/>
            <w:tcBorders>
              <w:top w:val="single" w:sz="8" w:color="0000FF"/>
            </w:tcBorders>
            <w:gridSpan w:val="25"/>
            <w:shd w:val="clear" w:color="auto" w:fill="CFF0FC"/>
          </w:tcPr>
          <w:p>
            <w:pPr>
              <w:spacing w:after="0" w:line="20" w:lineRule="exact"/>
              <w:rPr>
                <w:sz w:val="1"/>
                <w:szCs w:val="1"/>
                <w:color w:val="auto"/>
              </w:rPr>
            </w:pPr>
          </w:p>
        </w:tc>
        <w:tc>
          <w:tcPr>
            <w:tcW w:w="6420" w:type="dxa"/>
            <w:vAlign w:val="bottom"/>
            <w:tcBorders>
              <w:top w:val="single" w:sz="8" w:color="CFF0FC"/>
            </w:tcBorders>
            <w:gridSpan w:val="25"/>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7. Risk Management and Derivatives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20</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080" w:type="dxa"/>
            <w:vAlign w:val="bottom"/>
            <w:tcBorders>
              <w:top w:val="single" w:sz="8" w:color="0000FF"/>
            </w:tcBorders>
            <w:gridSpan w:val="40"/>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8. Fair Value Measurements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22</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440" w:type="dxa"/>
            <w:vAlign w:val="bottom"/>
            <w:tcBorders>
              <w:top w:val="single" w:sz="8" w:color="0000FF"/>
            </w:tcBorders>
            <w:gridSpan w:val="34"/>
            <w:shd w:val="clear" w:color="auto" w:fill="CFF0FC"/>
          </w:tcPr>
          <w:p>
            <w:pPr>
              <w:spacing w:after="0" w:line="20" w:lineRule="exact"/>
              <w:rPr>
                <w:sz w:val="1"/>
                <w:szCs w:val="1"/>
                <w:color w:val="auto"/>
              </w:rPr>
            </w:pPr>
          </w:p>
        </w:tc>
        <w:tc>
          <w:tcPr>
            <w:tcW w:w="6000" w:type="dxa"/>
            <w:vAlign w:val="bottom"/>
            <w:tcBorders>
              <w:top w:val="single" w:sz="8" w:color="CFF0FC"/>
            </w:tcBorders>
            <w:gridSpan w:val="16"/>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9. Other Comprehensive Income</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24</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2760" w:type="dxa"/>
            <w:vAlign w:val="bottom"/>
            <w:tcBorders>
              <w:top w:val="single" w:sz="8" w:color="0000FF"/>
            </w:tcBorders>
            <w:gridSpan w:val="36"/>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w w:val="95"/>
              </w:rPr>
              <w:t>Note 10.</w:t>
            </w:r>
          </w:p>
        </w:tc>
        <w:tc>
          <w:tcPr>
            <w:tcW w:w="80" w:type="dxa"/>
            <w:vAlign w:val="bottom"/>
            <w:shd w:val="clear" w:color="auto" w:fill="CFF0FC"/>
          </w:tcPr>
          <w:p>
            <w:pPr>
              <w:spacing w:after="0"/>
              <w:rPr>
                <w:sz w:val="14"/>
                <w:szCs w:val="14"/>
                <w:color w:val="auto"/>
              </w:rPr>
            </w:pPr>
          </w:p>
        </w:tc>
        <w:tc>
          <w:tcPr>
            <w:tcW w:w="7080" w:type="dxa"/>
            <w:vAlign w:val="bottom"/>
            <w:gridSpan w:val="44"/>
            <w:shd w:val="clear" w:color="auto" w:fill="CFF0FC"/>
          </w:tcPr>
          <w:p>
            <w:pPr>
              <w:ind w:left="20"/>
              <w:spacing w:after="0" w:line="162" w:lineRule="exact"/>
              <w:rPr>
                <w:sz w:val="20"/>
                <w:szCs w:val="20"/>
                <w:color w:val="auto"/>
              </w:rPr>
            </w:pPr>
            <w:r>
              <w:rPr>
                <w:rFonts w:ascii="Arial" w:cs="Arial" w:eastAsia="Arial" w:hAnsi="Arial"/>
                <w:sz w:val="16"/>
                <w:szCs w:val="16"/>
                <w:color w:val="0000FF"/>
              </w:rPr>
              <w:t>Employee Benefit Plans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25</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420" w:type="dxa"/>
            <w:vAlign w:val="bottom"/>
            <w:tcBorders>
              <w:top w:val="single" w:sz="8" w:color="0000FF"/>
            </w:tcBorders>
            <w:gridSpan w:val="33"/>
            <w:shd w:val="clear" w:color="auto" w:fill="CFF0FC"/>
          </w:tcPr>
          <w:p>
            <w:pPr>
              <w:spacing w:after="0" w:line="20" w:lineRule="exact"/>
              <w:rPr>
                <w:sz w:val="1"/>
                <w:szCs w:val="1"/>
                <w:color w:val="auto"/>
              </w:rPr>
            </w:pPr>
          </w:p>
        </w:tc>
        <w:tc>
          <w:tcPr>
            <w:tcW w:w="6020" w:type="dxa"/>
            <w:vAlign w:val="bottom"/>
            <w:tcBorders>
              <w:top w:val="single" w:sz="8" w:color="CFF0FC"/>
            </w:tcBorders>
            <w:gridSpan w:val="17"/>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11. Income Taxes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1680" w:type="dxa"/>
            <w:vAlign w:val="bottom"/>
            <w:tcBorders>
              <w:top w:val="single" w:sz="8" w:color="0000FF"/>
            </w:tcBorders>
            <w:gridSpan w:val="22"/>
          </w:tcPr>
          <w:p>
            <w:pPr>
              <w:spacing w:after="0" w:line="20" w:lineRule="exact"/>
              <w:rPr>
                <w:sz w:val="1"/>
                <w:szCs w:val="1"/>
                <w:color w:val="auto"/>
              </w:rPr>
            </w:pPr>
          </w:p>
        </w:tc>
        <w:tc>
          <w:tcPr>
            <w:tcW w:w="6760" w:type="dxa"/>
            <w:vAlign w:val="bottom"/>
            <w:gridSpan w:val="28"/>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w w:val="95"/>
              </w:rPr>
              <w:t>Note 12.</w:t>
            </w:r>
          </w:p>
        </w:tc>
        <w:tc>
          <w:tcPr>
            <w:tcW w:w="80" w:type="dxa"/>
            <w:vAlign w:val="bottom"/>
            <w:shd w:val="clear" w:color="auto" w:fill="CFF0FC"/>
          </w:tcPr>
          <w:p>
            <w:pPr>
              <w:spacing w:after="0"/>
              <w:rPr>
                <w:sz w:val="14"/>
                <w:szCs w:val="14"/>
                <w:color w:val="auto"/>
              </w:rPr>
            </w:pPr>
          </w:p>
        </w:tc>
        <w:tc>
          <w:tcPr>
            <w:tcW w:w="7080" w:type="dxa"/>
            <w:vAlign w:val="bottom"/>
            <w:gridSpan w:val="44"/>
            <w:shd w:val="clear" w:color="auto" w:fill="CFF0FC"/>
          </w:tcPr>
          <w:p>
            <w:pPr>
              <w:ind w:left="20"/>
              <w:spacing w:after="0" w:line="162" w:lineRule="exact"/>
              <w:rPr>
                <w:sz w:val="20"/>
                <w:szCs w:val="20"/>
                <w:color w:val="auto"/>
              </w:rPr>
            </w:pPr>
            <w:r>
              <w:rPr>
                <w:rFonts w:ascii="Arial" w:cs="Arial" w:eastAsia="Arial" w:hAnsi="Arial"/>
                <w:sz w:val="16"/>
                <w:szCs w:val="16"/>
                <w:color w:val="0000FF"/>
              </w:rPr>
              <w:t>Business Segment Information</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27</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900" w:type="dxa"/>
            <w:vAlign w:val="bottom"/>
            <w:tcBorders>
              <w:top w:val="single" w:sz="8" w:color="0000FF"/>
            </w:tcBorders>
            <w:gridSpan w:val="39"/>
            <w:shd w:val="clear" w:color="auto" w:fill="CFF0FC"/>
          </w:tcPr>
          <w:p>
            <w:pPr>
              <w:spacing w:after="0" w:line="20" w:lineRule="exact"/>
              <w:rPr>
                <w:sz w:val="1"/>
                <w:szCs w:val="1"/>
                <w:color w:val="auto"/>
              </w:rPr>
            </w:pPr>
          </w:p>
        </w:tc>
        <w:tc>
          <w:tcPr>
            <w:tcW w:w="5540" w:type="dxa"/>
            <w:vAlign w:val="bottom"/>
            <w:tcBorders>
              <w:top w:val="single" w:sz="8" w:color="CFF0FC"/>
            </w:tcBorders>
            <w:gridSpan w:val="11"/>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ind w:left="80"/>
              <w:spacing w:after="0" w:line="162" w:lineRule="exact"/>
              <w:rPr>
                <w:sz w:val="20"/>
                <w:szCs w:val="20"/>
                <w:color w:val="auto"/>
              </w:rPr>
            </w:pPr>
            <w:r>
              <w:rPr>
                <w:rFonts w:ascii="Arial" w:cs="Arial" w:eastAsia="Arial" w:hAnsi="Arial"/>
                <w:sz w:val="16"/>
                <w:szCs w:val="16"/>
                <w:color w:val="0000FF"/>
                <w:w w:val="95"/>
              </w:rPr>
              <w:t>Note 13.</w:t>
            </w:r>
          </w:p>
        </w:tc>
        <w:tc>
          <w:tcPr>
            <w:tcW w:w="80" w:type="dxa"/>
            <w:vAlign w:val="bottom"/>
          </w:tcPr>
          <w:p>
            <w:pPr>
              <w:spacing w:after="0"/>
              <w:rPr>
                <w:sz w:val="14"/>
                <w:szCs w:val="14"/>
                <w:color w:val="auto"/>
              </w:rPr>
            </w:pPr>
          </w:p>
        </w:tc>
        <w:tc>
          <w:tcPr>
            <w:tcW w:w="7080" w:type="dxa"/>
            <w:vAlign w:val="bottom"/>
            <w:gridSpan w:val="44"/>
          </w:tcPr>
          <w:p>
            <w:pPr>
              <w:ind w:left="20"/>
              <w:spacing w:after="0" w:line="162" w:lineRule="exact"/>
              <w:rPr>
                <w:sz w:val="20"/>
                <w:szCs w:val="20"/>
                <w:color w:val="auto"/>
              </w:rPr>
            </w:pPr>
            <w:r>
              <w:rPr>
                <w:rFonts w:ascii="Arial" w:cs="Arial" w:eastAsia="Arial" w:hAnsi="Arial"/>
                <w:sz w:val="16"/>
                <w:szCs w:val="16"/>
                <w:color w:val="0000FF"/>
              </w:rPr>
              <w:t>Selected Balance Sheet Information</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280" w:type="dxa"/>
            <w:vAlign w:val="bottom"/>
            <w:tcBorders>
              <w:top w:val="single" w:sz="8" w:color="0000FF"/>
            </w:tcBorders>
            <w:gridSpan w:val="41"/>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14. Subsequent Events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28</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2"/>
        </w:trPr>
        <w:tc>
          <w:tcPr>
            <w:tcW w:w="1920" w:type="dxa"/>
            <w:vAlign w:val="bottom"/>
            <w:tcBorders>
              <w:top w:val="single" w:sz="8" w:color="CFF0FC"/>
            </w:tcBorders>
            <w:gridSpan w:val="6"/>
          </w:tcPr>
          <w:p>
            <w:pPr>
              <w:spacing w:after="0"/>
              <w:rPr>
                <w:sz w:val="17"/>
                <w:szCs w:val="17"/>
                <w:color w:val="auto"/>
              </w:rPr>
            </w:pPr>
          </w:p>
        </w:tc>
        <w:tc>
          <w:tcPr>
            <w:tcW w:w="2060" w:type="dxa"/>
            <w:vAlign w:val="bottom"/>
            <w:tcBorders>
              <w:top w:val="single" w:sz="8" w:color="0000FF"/>
            </w:tcBorders>
            <w:gridSpan w:val="27"/>
          </w:tcPr>
          <w:p>
            <w:pPr>
              <w:spacing w:after="0"/>
              <w:rPr>
                <w:sz w:val="17"/>
                <w:szCs w:val="17"/>
                <w:color w:val="auto"/>
              </w:rPr>
            </w:pPr>
          </w:p>
        </w:tc>
        <w:tc>
          <w:tcPr>
            <w:tcW w:w="6380" w:type="dxa"/>
            <w:vAlign w:val="bottom"/>
            <w:tcBorders>
              <w:top w:val="single" w:sz="8" w:color="CFF0FC"/>
            </w:tcBorders>
            <w:gridSpan w:val="23"/>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2.</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29</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6380" w:type="dxa"/>
            <w:vAlign w:val="bottom"/>
            <w:tcBorders>
              <w:top w:val="single" w:sz="8" w:color="0000FF"/>
            </w:tcBorders>
            <w:gridSpan w:val="50"/>
          </w:tcPr>
          <w:p>
            <w:pPr>
              <w:ind w:left="140"/>
              <w:spacing w:after="0" w:line="162" w:lineRule="exact"/>
              <w:rPr>
                <w:sz w:val="20"/>
                <w:szCs w:val="20"/>
                <w:color w:val="auto"/>
              </w:rPr>
            </w:pPr>
            <w:r>
              <w:rPr>
                <w:rFonts w:ascii="Arial" w:cs="Arial" w:eastAsia="Arial" w:hAnsi="Arial"/>
                <w:sz w:val="16"/>
                <w:szCs w:val="16"/>
                <w:color w:val="0000FF"/>
              </w:rPr>
              <w:t>Executive Summary</w:t>
            </w:r>
          </w:p>
        </w:tc>
        <w:tc>
          <w:tcPr>
            <w:tcW w:w="160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29</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1440" w:type="dxa"/>
            <w:vAlign w:val="bottom"/>
            <w:tcBorders>
              <w:top w:val="single" w:sz="8" w:color="0000FF"/>
            </w:tcBorders>
            <w:gridSpan w:val="15"/>
          </w:tcPr>
          <w:p>
            <w:pPr>
              <w:spacing w:after="0" w:line="20" w:lineRule="exact"/>
              <w:rPr>
                <w:sz w:val="1"/>
                <w:szCs w:val="1"/>
                <w:color w:val="auto"/>
              </w:rPr>
            </w:pPr>
          </w:p>
        </w:tc>
        <w:tc>
          <w:tcPr>
            <w:tcW w:w="7080" w:type="dxa"/>
            <w:vAlign w:val="bottom"/>
            <w:gridSpan w:val="3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Recent Developments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29</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1580" w:type="dxa"/>
            <w:vAlign w:val="bottom"/>
            <w:tcBorders>
              <w:top w:val="single" w:sz="8" w:color="0000FF"/>
            </w:tcBorders>
            <w:gridSpan w:val="18"/>
            <w:shd w:val="clear" w:color="auto" w:fill="CFF0FC"/>
          </w:tcPr>
          <w:p>
            <w:pPr>
              <w:spacing w:after="0" w:line="20" w:lineRule="exact"/>
              <w:rPr>
                <w:sz w:val="1"/>
                <w:szCs w:val="1"/>
                <w:color w:val="auto"/>
              </w:rPr>
            </w:pPr>
          </w:p>
        </w:tc>
        <w:tc>
          <w:tcPr>
            <w:tcW w:w="6940" w:type="dxa"/>
            <w:vAlign w:val="bottom"/>
            <w:tcBorders>
              <w:top w:val="single" w:sz="8" w:color="CFF0FC"/>
            </w:tcBorders>
            <w:gridSpan w:val="33"/>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Results of Operations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30</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1540" w:type="dxa"/>
            <w:vAlign w:val="bottom"/>
            <w:tcBorders>
              <w:top w:val="single" w:sz="8" w:color="0000FF"/>
            </w:tcBorders>
            <w:gridSpan w:val="17"/>
          </w:tcPr>
          <w:p>
            <w:pPr>
              <w:spacing w:after="0" w:line="20" w:lineRule="exact"/>
              <w:rPr>
                <w:sz w:val="1"/>
                <w:szCs w:val="1"/>
                <w:color w:val="auto"/>
              </w:rPr>
            </w:pPr>
          </w:p>
        </w:tc>
        <w:tc>
          <w:tcPr>
            <w:tcW w:w="6980" w:type="dxa"/>
            <w:vAlign w:val="bottom"/>
            <w:gridSpan w:val="3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40" w:type="dxa"/>
            <w:vAlign w:val="bottom"/>
            <w:gridSpan w:val="48"/>
            <w:shd w:val="clear" w:color="auto" w:fill="CFF0FC"/>
          </w:tcPr>
          <w:p>
            <w:pPr>
              <w:spacing w:after="0" w:line="162" w:lineRule="exact"/>
              <w:rPr>
                <w:sz w:val="20"/>
                <w:szCs w:val="20"/>
                <w:color w:val="auto"/>
              </w:rPr>
            </w:pPr>
            <w:r>
              <w:rPr>
                <w:rFonts w:ascii="Arial" w:cs="Arial" w:eastAsia="Arial" w:hAnsi="Arial"/>
                <w:sz w:val="16"/>
                <w:szCs w:val="16"/>
                <w:color w:val="0000FF"/>
              </w:rPr>
              <w:t>Consolidated Summary and Overview</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31</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720" w:type="dxa"/>
            <w:vAlign w:val="bottom"/>
            <w:tcBorders>
              <w:top w:val="single" w:sz="8" w:color="0000FF"/>
            </w:tcBorders>
            <w:gridSpan w:val="37"/>
          </w:tcPr>
          <w:p>
            <w:pPr>
              <w:spacing w:after="0" w:line="162" w:lineRule="exact"/>
              <w:rPr>
                <w:sz w:val="20"/>
                <w:szCs w:val="20"/>
                <w:color w:val="auto"/>
              </w:rPr>
            </w:pPr>
            <w:r>
              <w:rPr>
                <w:rFonts w:ascii="Arial" w:cs="Arial" w:eastAsia="Arial" w:hAnsi="Arial"/>
                <w:sz w:val="16"/>
                <w:szCs w:val="16"/>
                <w:color w:val="0000FF"/>
              </w:rPr>
              <w:t>Non-GAAP Financial Measure</w:t>
            </w:r>
          </w:p>
        </w:tc>
        <w:tc>
          <w:tcPr>
            <w:tcW w:w="4920" w:type="dxa"/>
            <w:vAlign w:val="bottom"/>
            <w:tcBorders>
              <w:top w:val="single" w:sz="8" w:color="CFF0FC"/>
            </w:tcBorders>
            <w:gridSpan w:val="11"/>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32</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2180" w:type="dxa"/>
            <w:vAlign w:val="bottom"/>
            <w:tcBorders>
              <w:top w:val="single" w:sz="8" w:color="0000FF"/>
            </w:tcBorders>
            <w:gridSpan w:val="29"/>
          </w:tcPr>
          <w:p>
            <w:pPr>
              <w:spacing w:after="0" w:line="20" w:lineRule="exact"/>
              <w:rPr>
                <w:sz w:val="1"/>
                <w:szCs w:val="1"/>
                <w:color w:val="auto"/>
              </w:rPr>
            </w:pPr>
          </w:p>
        </w:tc>
        <w:tc>
          <w:tcPr>
            <w:tcW w:w="6140" w:type="dxa"/>
            <w:vAlign w:val="bottom"/>
            <w:gridSpan w:val="2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0000FF"/>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w w:val="99"/>
              </w:rPr>
              <w:t>Electric Utilities</w:t>
            </w:r>
          </w:p>
        </w:tc>
        <w:tc>
          <w:tcPr>
            <w:tcW w:w="6540" w:type="dxa"/>
            <w:vAlign w:val="bottom"/>
            <w:tcBorders>
              <w:bottom w:val="single" w:sz="8" w:color="CFF0FC"/>
            </w:tcBorders>
            <w:gridSpan w:val="38"/>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32</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Gas Utilities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860" w:type="dxa"/>
            <w:vAlign w:val="bottom"/>
            <w:tcBorders>
              <w:top w:val="single" w:sz="8" w:color="0000FF"/>
            </w:tcBorders>
            <w:gridSpan w:val="7"/>
          </w:tcPr>
          <w:p>
            <w:pPr>
              <w:spacing w:after="0" w:line="20" w:lineRule="exact"/>
              <w:rPr>
                <w:sz w:val="1"/>
                <w:szCs w:val="1"/>
                <w:color w:val="auto"/>
              </w:rPr>
            </w:pPr>
          </w:p>
        </w:tc>
        <w:tc>
          <w:tcPr>
            <w:tcW w:w="7460" w:type="dxa"/>
            <w:vAlign w:val="bottom"/>
            <w:gridSpan w:val="42"/>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0000FF"/>
            </w:tcBorders>
            <w:gridSpan w:val="20"/>
            <w:shd w:val="clear" w:color="auto" w:fill="CFF0FC"/>
          </w:tcPr>
          <w:p>
            <w:pPr>
              <w:spacing w:after="0" w:line="162" w:lineRule="exact"/>
              <w:rPr>
                <w:sz w:val="20"/>
                <w:szCs w:val="20"/>
                <w:color w:val="auto"/>
              </w:rPr>
            </w:pPr>
            <w:r>
              <w:rPr>
                <w:rFonts w:ascii="Arial" w:cs="Arial" w:eastAsia="Arial" w:hAnsi="Arial"/>
                <w:sz w:val="16"/>
                <w:szCs w:val="16"/>
                <w:color w:val="0000FF"/>
                <w:w w:val="99"/>
              </w:rPr>
              <w:t>Corporate and Other</w:t>
            </w:r>
          </w:p>
        </w:tc>
        <w:tc>
          <w:tcPr>
            <w:tcW w:w="6160" w:type="dxa"/>
            <w:vAlign w:val="bottom"/>
            <w:tcBorders>
              <w:bottom w:val="single" w:sz="8" w:color="CFF0FC"/>
            </w:tcBorders>
            <w:gridSpan w:val="28"/>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38</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Consolidated Interest Expense, Other Income and Income Tax Expense</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38</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5140" w:type="dxa"/>
            <w:vAlign w:val="bottom"/>
            <w:tcBorders>
              <w:top w:val="single" w:sz="8" w:color="0000FF"/>
            </w:tcBorders>
            <w:gridSpan w:val="46"/>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Liquidity and Capital Resources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39</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gridSpan w:val="28"/>
          </w:tcPr>
          <w:p>
            <w:pPr>
              <w:spacing w:after="0" w:line="162" w:lineRule="exact"/>
              <w:rPr>
                <w:sz w:val="20"/>
                <w:szCs w:val="20"/>
                <w:color w:val="auto"/>
              </w:rPr>
            </w:pPr>
            <w:r>
              <w:rPr>
                <w:rFonts w:ascii="Arial" w:cs="Arial" w:eastAsia="Arial" w:hAnsi="Arial"/>
                <w:sz w:val="16"/>
                <w:szCs w:val="16"/>
                <w:color w:val="0000FF"/>
              </w:rPr>
              <w:t>Cash Flow Activities</w:t>
            </w:r>
          </w:p>
        </w:tc>
        <w:tc>
          <w:tcPr>
            <w:tcW w:w="5580" w:type="dxa"/>
            <w:vAlign w:val="bottom"/>
            <w:tcBorders>
              <w:top w:val="single" w:sz="8" w:color="CFF0FC"/>
            </w:tcBorders>
            <w:gridSpan w:val="20"/>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39</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440" w:type="dxa"/>
            <w:vAlign w:val="bottom"/>
            <w:tcBorders>
              <w:top w:val="single" w:sz="8" w:color="0000FF"/>
            </w:tcBorders>
            <w:gridSpan w:val="18"/>
          </w:tcPr>
          <w:p>
            <w:pPr>
              <w:spacing w:after="0" w:line="20" w:lineRule="exact"/>
              <w:rPr>
                <w:sz w:val="1"/>
                <w:szCs w:val="1"/>
                <w:color w:val="auto"/>
              </w:rPr>
            </w:pPr>
          </w:p>
        </w:tc>
        <w:tc>
          <w:tcPr>
            <w:tcW w:w="6880" w:type="dxa"/>
            <w:vAlign w:val="bottom"/>
            <w:gridSpan w:val="31"/>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0000FF"/>
            </w:tcBorders>
            <w:gridSpan w:val="14"/>
            <w:shd w:val="clear" w:color="auto" w:fill="CFF0FC"/>
          </w:tcPr>
          <w:p>
            <w:pPr>
              <w:spacing w:after="0" w:line="162" w:lineRule="exact"/>
              <w:rPr>
                <w:sz w:val="20"/>
                <w:szCs w:val="20"/>
                <w:color w:val="auto"/>
              </w:rPr>
            </w:pPr>
            <w:r>
              <w:rPr>
                <w:rFonts w:ascii="Arial" w:cs="Arial" w:eastAsia="Arial" w:hAnsi="Arial"/>
                <w:sz w:val="16"/>
                <w:szCs w:val="16"/>
                <w:color w:val="0000FF"/>
                <w:w w:val="99"/>
              </w:rPr>
              <w:t>Capital Resources</w:t>
            </w:r>
          </w:p>
        </w:tc>
        <w:tc>
          <w:tcPr>
            <w:tcW w:w="6320" w:type="dxa"/>
            <w:vAlign w:val="bottom"/>
            <w:tcBorders>
              <w:bottom w:val="single" w:sz="8" w:color="CFF0FC"/>
            </w:tcBorders>
            <w:gridSpan w:val="34"/>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40</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Credit Ratings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020" w:type="dxa"/>
            <w:vAlign w:val="bottom"/>
            <w:tcBorders>
              <w:top w:val="single" w:sz="8" w:color="0000FF"/>
            </w:tcBorders>
            <w:gridSpan w:val="9"/>
          </w:tcPr>
          <w:p>
            <w:pPr>
              <w:spacing w:after="0" w:line="20" w:lineRule="exact"/>
              <w:rPr>
                <w:sz w:val="1"/>
                <w:szCs w:val="1"/>
                <w:color w:val="auto"/>
              </w:rPr>
            </w:pPr>
          </w:p>
        </w:tc>
        <w:tc>
          <w:tcPr>
            <w:tcW w:w="730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0000FF"/>
            </w:tcBorders>
            <w:gridSpan w:val="21"/>
            <w:shd w:val="clear" w:color="auto" w:fill="CFF0FC"/>
          </w:tcPr>
          <w:p>
            <w:pPr>
              <w:spacing w:after="0" w:line="162" w:lineRule="exact"/>
              <w:rPr>
                <w:sz w:val="20"/>
                <w:szCs w:val="20"/>
                <w:color w:val="auto"/>
              </w:rPr>
            </w:pPr>
            <w:r>
              <w:rPr>
                <w:rFonts w:ascii="Arial" w:cs="Arial" w:eastAsia="Arial" w:hAnsi="Arial"/>
                <w:sz w:val="16"/>
                <w:szCs w:val="16"/>
                <w:color w:val="0000FF"/>
              </w:rPr>
              <w:t>Capital Requirements</w:t>
            </w:r>
          </w:p>
        </w:tc>
        <w:tc>
          <w:tcPr>
            <w:tcW w:w="6080" w:type="dxa"/>
            <w:vAlign w:val="bottom"/>
            <w:tcBorders>
              <w:bottom w:val="single" w:sz="8" w:color="CFF0FC"/>
            </w:tcBorders>
            <w:gridSpan w:val="27"/>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41</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Critical Accounting Estimates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2080" w:type="dxa"/>
            <w:vAlign w:val="bottom"/>
            <w:tcBorders>
              <w:top w:val="single" w:sz="8" w:color="0000FF"/>
            </w:tcBorders>
            <w:gridSpan w:val="25"/>
          </w:tcPr>
          <w:p>
            <w:pPr>
              <w:spacing w:after="0" w:line="20" w:lineRule="exact"/>
              <w:rPr>
                <w:sz w:val="1"/>
                <w:szCs w:val="1"/>
                <w:color w:val="auto"/>
              </w:rPr>
            </w:pPr>
          </w:p>
        </w:tc>
        <w:tc>
          <w:tcPr>
            <w:tcW w:w="6440" w:type="dxa"/>
            <w:vAlign w:val="bottom"/>
            <w:gridSpan w:val="2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New Accounting Pronouncements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41</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1840" w:type="dxa"/>
            <w:vAlign w:val="bottom"/>
            <w:tcBorders>
              <w:top w:val="single" w:sz="8" w:color="CFF0FC"/>
            </w:tcBorders>
            <w:gridSpan w:val="5"/>
          </w:tcPr>
          <w:p>
            <w:pPr>
              <w:spacing w:after="0"/>
              <w:rPr>
                <w:sz w:val="17"/>
                <w:szCs w:val="17"/>
                <w:color w:val="auto"/>
              </w:rPr>
            </w:pPr>
          </w:p>
        </w:tc>
        <w:tc>
          <w:tcPr>
            <w:tcW w:w="2440" w:type="dxa"/>
            <w:vAlign w:val="bottom"/>
            <w:tcBorders>
              <w:top w:val="single" w:sz="8" w:color="0000FF"/>
            </w:tcBorders>
            <w:gridSpan w:val="32"/>
          </w:tcPr>
          <w:p>
            <w:pPr>
              <w:spacing w:after="0"/>
              <w:rPr>
                <w:sz w:val="17"/>
                <w:szCs w:val="17"/>
                <w:color w:val="auto"/>
              </w:rPr>
            </w:pPr>
          </w:p>
        </w:tc>
        <w:tc>
          <w:tcPr>
            <w:tcW w:w="6080" w:type="dxa"/>
            <w:vAlign w:val="bottom"/>
            <w:tcBorders>
              <w:top w:val="single" w:sz="8" w:color="CFF0FC"/>
            </w:tcBorders>
            <w:gridSpan w:val="19"/>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3.</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42</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1700" w:type="dxa"/>
            <w:vAlign w:val="bottom"/>
            <w:tcBorders>
              <w:top w:val="single" w:sz="8" w:color="CFF0FC"/>
            </w:tcBorders>
            <w:gridSpan w:val="4"/>
          </w:tcPr>
          <w:p>
            <w:pPr>
              <w:ind w:left="20"/>
              <w:spacing w:after="0" w:line="162"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47"/>
          </w:tcPr>
          <w:p>
            <w:pPr>
              <w:spacing w:after="0" w:line="162" w:lineRule="exact"/>
              <w:rPr>
                <w:sz w:val="20"/>
                <w:szCs w:val="20"/>
                <w:color w:val="auto"/>
              </w:rPr>
            </w:pPr>
            <w:r>
              <w:rPr>
                <w:rFonts w:ascii="Arial" w:cs="Arial" w:eastAsia="Arial" w:hAnsi="Arial"/>
                <w:sz w:val="16"/>
                <w:szCs w:val="16"/>
                <w:color w:val="0000FF"/>
              </w:rPr>
              <w:t>Controls and Procedures</w:t>
            </w:r>
          </w:p>
        </w:tc>
        <w:tc>
          <w:tcPr>
            <w:tcW w:w="3740" w:type="dxa"/>
            <w:vAlign w:val="bottom"/>
            <w:tcBorders>
              <w:top w:val="single" w:sz="8" w:color="CFF0FC"/>
            </w:tcBorders>
            <w:gridSpan w:val="4"/>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42</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23"/>
        </w:trPr>
        <w:tc>
          <w:tcPr>
            <w:tcW w:w="1700" w:type="dxa"/>
            <w:vAlign w:val="bottom"/>
            <w:gridSpan w:val="4"/>
          </w:tcPr>
          <w:p>
            <w:pPr>
              <w:spacing w:after="0"/>
              <w:rPr>
                <w:sz w:val="19"/>
                <w:szCs w:val="19"/>
                <w:color w:val="auto"/>
              </w:rPr>
            </w:pPr>
          </w:p>
        </w:tc>
        <w:tc>
          <w:tcPr>
            <w:tcW w:w="1800" w:type="dxa"/>
            <w:vAlign w:val="bottom"/>
            <w:tcBorders>
              <w:top w:val="single" w:sz="8" w:color="0000FF"/>
            </w:tcBorders>
            <w:gridSpan w:val="22"/>
          </w:tcPr>
          <w:p>
            <w:pPr>
              <w:spacing w:after="0"/>
              <w:rPr>
                <w:sz w:val="19"/>
                <w:szCs w:val="19"/>
                <w:color w:val="auto"/>
              </w:rPr>
            </w:pPr>
          </w:p>
        </w:tc>
        <w:tc>
          <w:tcPr>
            <w:tcW w:w="6860" w:type="dxa"/>
            <w:vAlign w:val="bottom"/>
            <w:gridSpan w:val="30"/>
          </w:tcPr>
          <w:p>
            <w:pPr>
              <w:spacing w:after="0"/>
              <w:rPr>
                <w:sz w:val="19"/>
                <w:szCs w:val="19"/>
                <w:color w:val="auto"/>
              </w:rPr>
            </w:pPr>
          </w:p>
        </w:tc>
        <w:tc>
          <w:tcPr>
            <w:tcW w:w="180" w:type="dxa"/>
            <w:vAlign w:val="bottom"/>
            <w:tcBorders>
              <w:top w:val="single" w:sz="8" w:color="0000FF"/>
            </w:tcBorders>
            <w:gridSpan w:val="4"/>
          </w:tcPr>
          <w:p>
            <w:pPr>
              <w:spacing w:after="0"/>
              <w:rPr>
                <w:sz w:val="19"/>
                <w:szCs w:val="19"/>
                <w:color w:val="auto"/>
              </w:rPr>
            </w:pPr>
          </w:p>
        </w:tc>
        <w:tc>
          <w:tcPr>
            <w:tcW w:w="700" w:type="dxa"/>
            <w:vAlign w:val="bottom"/>
            <w:gridSpan w:val="2"/>
          </w:tcPr>
          <w:p>
            <w:pPr>
              <w:spacing w:after="0"/>
              <w:rPr>
                <w:sz w:val="19"/>
                <w:szCs w:val="19"/>
                <w:color w:val="auto"/>
              </w:rPr>
            </w:pPr>
          </w:p>
        </w:tc>
      </w:tr>
      <w:tr>
        <w:trPr>
          <w:trHeight w:val="203"/>
        </w:trPr>
        <w:tc>
          <w:tcPr>
            <w:tcW w:w="2520" w:type="dxa"/>
            <w:vAlign w:val="bottom"/>
            <w:gridSpan w:val="10"/>
            <w:shd w:val="clear" w:color="auto" w:fill="CFF0FC"/>
          </w:tcPr>
          <w:p>
            <w:pPr>
              <w:ind w:left="20"/>
              <w:spacing w:after="0"/>
              <w:rPr>
                <w:sz w:val="20"/>
                <w:szCs w:val="20"/>
                <w:color w:val="auto"/>
              </w:rPr>
            </w:pPr>
            <w:r>
              <w:rPr>
                <w:rFonts w:ascii="Arial" w:cs="Arial" w:eastAsia="Arial" w:hAnsi="Arial"/>
                <w:sz w:val="16"/>
                <w:szCs w:val="16"/>
                <w:color w:val="auto"/>
              </w:rPr>
              <w:t>PART II. OTHER INFORMATION</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r>
      <w:tr>
        <w:trPr>
          <w:trHeight w:val="162"/>
        </w:trPr>
        <w:tc>
          <w:tcPr>
            <w:tcW w:w="17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Item 1.</w:t>
            </w:r>
          </w:p>
        </w:tc>
        <w:tc>
          <w:tcPr>
            <w:tcW w:w="7980" w:type="dxa"/>
            <w:vAlign w:val="bottom"/>
            <w:gridSpan w:val="51"/>
          </w:tcPr>
          <w:p>
            <w:pPr>
              <w:spacing w:after="0" w:line="162" w:lineRule="exact"/>
              <w:rPr>
                <w:sz w:val="20"/>
                <w:szCs w:val="20"/>
                <w:color w:val="auto"/>
              </w:rPr>
            </w:pPr>
            <w:r>
              <w:rPr>
                <w:rFonts w:ascii="Arial" w:cs="Arial" w:eastAsia="Arial" w:hAnsi="Arial"/>
                <w:sz w:val="16"/>
                <w:szCs w:val="16"/>
                <w:color w:val="0000FF"/>
              </w:rPr>
              <w:t>Legal Proceedings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42</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1360" w:type="dxa"/>
            <w:vAlign w:val="bottom"/>
            <w:tcBorders>
              <w:top w:val="single" w:sz="8" w:color="0000FF"/>
            </w:tcBorders>
            <w:gridSpan w:val="12"/>
          </w:tcPr>
          <w:p>
            <w:pPr>
              <w:spacing w:after="0" w:line="20" w:lineRule="exact"/>
              <w:rPr>
                <w:sz w:val="1"/>
                <w:szCs w:val="1"/>
                <w:color w:val="auto"/>
              </w:rPr>
            </w:pPr>
          </w:p>
        </w:tc>
        <w:tc>
          <w:tcPr>
            <w:tcW w:w="730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1A.</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Risk Factors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42</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700" w:type="dxa"/>
            <w:vAlign w:val="bottom"/>
            <w:tcBorders>
              <w:top w:val="single" w:sz="8" w:color="CFF0FC"/>
            </w:tcBorders>
            <w:gridSpan w:val="4"/>
            <w:shd w:val="clear" w:color="auto" w:fill="CFF0FC"/>
          </w:tcPr>
          <w:p>
            <w:pPr>
              <w:spacing w:after="0" w:line="20" w:lineRule="exact"/>
              <w:rPr>
                <w:sz w:val="1"/>
                <w:szCs w:val="1"/>
                <w:color w:val="auto"/>
              </w:rPr>
            </w:pPr>
          </w:p>
        </w:tc>
        <w:tc>
          <w:tcPr>
            <w:tcW w:w="900" w:type="dxa"/>
            <w:vAlign w:val="bottom"/>
            <w:tcBorders>
              <w:top w:val="single" w:sz="8" w:color="0000FF"/>
            </w:tcBorders>
            <w:gridSpan w:val="7"/>
            <w:shd w:val="clear" w:color="auto" w:fill="CFF0FC"/>
          </w:tcPr>
          <w:p>
            <w:pPr>
              <w:spacing w:after="0" w:line="20" w:lineRule="exact"/>
              <w:rPr>
                <w:sz w:val="1"/>
                <w:szCs w:val="1"/>
                <w:color w:val="auto"/>
              </w:rPr>
            </w:pPr>
          </w:p>
        </w:tc>
        <w:tc>
          <w:tcPr>
            <w:tcW w:w="7760" w:type="dxa"/>
            <w:vAlign w:val="bottom"/>
            <w:tcBorders>
              <w:top w:val="single" w:sz="8" w:color="CFF0FC"/>
            </w:tcBorders>
            <w:gridSpan w:val="45"/>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17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Item 2.</w:t>
            </w:r>
          </w:p>
        </w:tc>
        <w:tc>
          <w:tcPr>
            <w:tcW w:w="7980" w:type="dxa"/>
            <w:vAlign w:val="bottom"/>
            <w:gridSpan w:val="51"/>
          </w:tcPr>
          <w:p>
            <w:pPr>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43</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4380" w:type="dxa"/>
            <w:vAlign w:val="bottom"/>
            <w:tcBorders>
              <w:top w:val="single" w:sz="8" w:color="0000FF"/>
            </w:tcBorders>
            <w:gridSpan w:val="48"/>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4.</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43</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1700" w:type="dxa"/>
            <w:vAlign w:val="bottom"/>
            <w:tcBorders>
              <w:top w:val="single" w:sz="8" w:color="CFF0FC"/>
            </w:tcBorders>
            <w:gridSpan w:val="4"/>
          </w:tcPr>
          <w:p>
            <w:pPr>
              <w:ind w:left="20"/>
              <w:spacing w:after="0" w:line="162"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20"/>
          </w:tcPr>
          <w:p>
            <w:pPr>
              <w:spacing w:after="0" w:line="162" w:lineRule="exact"/>
              <w:rPr>
                <w:sz w:val="20"/>
                <w:szCs w:val="20"/>
                <w:color w:val="auto"/>
              </w:rPr>
            </w:pPr>
            <w:r>
              <w:rPr>
                <w:rFonts w:ascii="Arial" w:cs="Arial" w:eastAsia="Arial" w:hAnsi="Arial"/>
                <w:sz w:val="16"/>
                <w:szCs w:val="16"/>
                <w:color w:val="0000FF"/>
              </w:rPr>
              <w:t>Other Information</w:t>
            </w:r>
          </w:p>
        </w:tc>
        <w:tc>
          <w:tcPr>
            <w:tcW w:w="6240" w:type="dxa"/>
            <w:vAlign w:val="bottom"/>
            <w:tcBorders>
              <w:top w:val="single" w:sz="8" w:color="CFF0FC"/>
            </w:tcBorders>
            <w:gridSpan w:val="31"/>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43</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1260" w:type="dxa"/>
            <w:vAlign w:val="bottom"/>
            <w:tcBorders>
              <w:top w:val="single" w:sz="8" w:color="0000FF"/>
            </w:tcBorders>
            <w:gridSpan w:val="11"/>
          </w:tcPr>
          <w:p>
            <w:pPr>
              <w:spacing w:after="0" w:line="20" w:lineRule="exact"/>
              <w:rPr>
                <w:sz w:val="1"/>
                <w:szCs w:val="1"/>
                <w:color w:val="auto"/>
              </w:rPr>
            </w:pPr>
          </w:p>
        </w:tc>
        <w:tc>
          <w:tcPr>
            <w:tcW w:w="7400" w:type="dxa"/>
            <w:vAlign w:val="bottom"/>
            <w:gridSpan w:val="41"/>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6.</w:t>
            </w:r>
          </w:p>
        </w:tc>
        <w:tc>
          <w:tcPr>
            <w:tcW w:w="820" w:type="dxa"/>
            <w:vAlign w:val="bottom"/>
            <w:gridSpan w:val="6"/>
            <w:shd w:val="clear" w:color="auto" w:fill="CFF0FC"/>
          </w:tcPr>
          <w:p>
            <w:pPr>
              <w:spacing w:after="0" w:line="162" w:lineRule="exact"/>
              <w:rPr>
                <w:sz w:val="20"/>
                <w:szCs w:val="20"/>
                <w:color w:val="auto"/>
              </w:rPr>
            </w:pPr>
            <w:r>
              <w:rPr>
                <w:rFonts w:ascii="Arial" w:cs="Arial" w:eastAsia="Arial" w:hAnsi="Arial"/>
                <w:sz w:val="16"/>
                <w:szCs w:val="16"/>
                <w:color w:val="0000FF"/>
              </w:rPr>
              <w:t>Exhibits</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43</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1700" w:type="dxa"/>
            <w:vAlign w:val="bottom"/>
            <w:tcBorders>
              <w:top w:val="single" w:sz="8" w:color="CFF0FC"/>
            </w:tcBorders>
            <w:gridSpan w:val="4"/>
          </w:tcPr>
          <w:p>
            <w:pPr>
              <w:spacing w:after="0"/>
              <w:rPr>
                <w:sz w:val="17"/>
                <w:szCs w:val="17"/>
                <w:color w:val="auto"/>
              </w:rPr>
            </w:pPr>
          </w:p>
        </w:tc>
        <w:tc>
          <w:tcPr>
            <w:tcW w:w="580" w:type="dxa"/>
            <w:vAlign w:val="bottom"/>
            <w:tcBorders>
              <w:top w:val="single" w:sz="8" w:color="0000FF"/>
            </w:tcBorders>
            <w:gridSpan w:val="5"/>
          </w:tcPr>
          <w:p>
            <w:pPr>
              <w:spacing w:after="0"/>
              <w:rPr>
                <w:sz w:val="17"/>
                <w:szCs w:val="17"/>
                <w:color w:val="auto"/>
              </w:rPr>
            </w:pPr>
          </w:p>
        </w:tc>
        <w:tc>
          <w:tcPr>
            <w:tcW w:w="8080" w:type="dxa"/>
            <w:vAlign w:val="bottom"/>
            <w:tcBorders>
              <w:top w:val="single" w:sz="8" w:color="CFF0FC"/>
            </w:tcBorders>
            <w:gridSpan w:val="47"/>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0000FF"/>
              </w:rPr>
              <w:t>Signatures</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44</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605"/>
        </w:trPr>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39"/>
          </w:tcPr>
          <w:p>
            <w:pPr>
              <w:jc w:val="right"/>
              <w:ind w:right="180"/>
              <w:spacing w:after="0"/>
              <w:rPr>
                <w:sz w:val="20"/>
                <w:szCs w:val="20"/>
                <w:color w:val="auto"/>
              </w:rPr>
            </w:pPr>
            <w:r>
              <w:rPr>
                <w:rFonts w:ascii="Arial" w:cs="Arial" w:eastAsia="Arial" w:hAnsi="Arial"/>
                <w:sz w:val="16"/>
                <w:szCs w:val="16"/>
                <w:color w:val="auto"/>
              </w:rPr>
              <w:t>2</w:t>
            </w: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751"/>
        </w:trPr>
        <w:tc>
          <w:tcPr>
            <w:tcW w:w="11240" w:type="dxa"/>
            <w:vAlign w:val="bottom"/>
            <w:tcBorders>
              <w:bottom w:val="single" w:sz="8" w:color="9A9A9A"/>
            </w:tcBorders>
            <w:gridSpan w:val="6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7460" w:type="dxa"/>
            <w:vAlign w:val="bottom"/>
          </w:tcPr>
          <w:p>
            <w:pPr>
              <w:ind w:left="6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780" w:type="dxa"/>
            <w:vAlign w:val="bottom"/>
          </w:tcPr>
          <w:p>
            <w:pPr>
              <w:spacing w:after="0"/>
              <w:rPr>
                <w:sz w:val="15"/>
                <w:szCs w:val="15"/>
                <w:color w:val="auto"/>
              </w:rPr>
            </w:pPr>
          </w:p>
        </w:tc>
        <w:tc>
          <w:tcPr>
            <w:tcW w:w="7460" w:type="dxa"/>
            <w:vAlign w:val="bottom"/>
          </w:tcPr>
          <w:p>
            <w:pPr>
              <w:spacing w:after="0"/>
              <w:rPr>
                <w:sz w:val="15"/>
                <w:szCs w:val="15"/>
                <w:color w:val="auto"/>
              </w:rPr>
            </w:pP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AFUDC</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Allowance for Funds Used During Construction</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AI</w:t>
            </w:r>
          </w:p>
        </w:tc>
        <w:tc>
          <w:tcPr>
            <w:tcW w:w="7460" w:type="dxa"/>
            <w:vAlign w:val="bottom"/>
          </w:tcPr>
          <w:p>
            <w:pPr>
              <w:ind w:left="60"/>
              <w:spacing w:after="0"/>
              <w:rPr>
                <w:sz w:val="20"/>
                <w:szCs w:val="20"/>
                <w:color w:val="auto"/>
              </w:rPr>
            </w:pPr>
            <w:r>
              <w:rPr>
                <w:rFonts w:ascii="Arial" w:cs="Arial" w:eastAsia="Arial" w:hAnsi="Arial"/>
                <w:sz w:val="16"/>
                <w:szCs w:val="16"/>
                <w:color w:val="auto"/>
              </w:rPr>
              <w:t>Artificial Intelligence</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AOCI</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Accumulated Other Comprehensive Income (Loss)</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APSC</w:t>
            </w:r>
          </w:p>
        </w:tc>
        <w:tc>
          <w:tcPr>
            <w:tcW w:w="7460" w:type="dxa"/>
            <w:vAlign w:val="bottom"/>
          </w:tcPr>
          <w:p>
            <w:pPr>
              <w:ind w:left="60"/>
              <w:spacing w:after="0"/>
              <w:rPr>
                <w:sz w:val="20"/>
                <w:szCs w:val="20"/>
                <w:color w:val="auto"/>
              </w:rPr>
            </w:pPr>
            <w:r>
              <w:rPr>
                <w:rFonts w:ascii="Arial" w:cs="Arial" w:eastAsia="Arial" w:hAnsi="Arial"/>
                <w:sz w:val="16"/>
                <w:szCs w:val="16"/>
                <w:color w:val="auto"/>
              </w:rPr>
              <w:t>Arkansas Public Service Commission</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Arkansas Gas</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ASU</w:t>
            </w:r>
          </w:p>
        </w:tc>
        <w:tc>
          <w:tcPr>
            <w:tcW w:w="7460" w:type="dxa"/>
            <w:vAlign w:val="bottom"/>
          </w:tcPr>
          <w:p>
            <w:pPr>
              <w:ind w:left="60"/>
              <w:spacing w:after="0"/>
              <w:rPr>
                <w:sz w:val="20"/>
                <w:szCs w:val="20"/>
                <w:color w:val="auto"/>
              </w:rPr>
            </w:pPr>
            <w:r>
              <w:rPr>
                <w:rFonts w:ascii="Arial" w:cs="Arial" w:eastAsia="Arial" w:hAnsi="Arial"/>
                <w:sz w:val="16"/>
                <w:szCs w:val="16"/>
                <w:color w:val="auto"/>
              </w:rPr>
              <w:t>Accounting Standards Update as issued by the FASB</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ATM</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At-the-market equity offering program</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Availability</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The availability factor of a power plant is the percentage of the time that it is available to provide</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energy.</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BHC</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Corporation; the Company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Colorado IPP</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Black Hills Electric Generation</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wholesale electric capacity and energy primarily to our Electric Utilities.</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Electric Parent Holdings</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Energy</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Black Hills Energy Renewable Resources (BHERR)</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regulated Holdings</w:t>
            </w:r>
          </w:p>
        </w:tc>
      </w:tr>
      <w:tr>
        <w:trPr>
          <w:trHeight w:val="176"/>
        </w:trPr>
        <w:tc>
          <w:tcPr>
            <w:tcW w:w="378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Black Hills Energy Services</w:t>
            </w:r>
          </w:p>
        </w:tc>
        <w:tc>
          <w:tcPr>
            <w:tcW w:w="7460" w:type="dxa"/>
            <w:vAlign w:val="bottom"/>
            <w:shd w:val="clear" w:color="auto" w:fill="CFF0FC"/>
          </w:tcPr>
          <w:p>
            <w:pPr>
              <w:ind w:left="60"/>
              <w:spacing w:after="0" w:line="176" w:lineRule="exact"/>
              <w:rPr>
                <w:sz w:val="20"/>
                <w:szCs w:val="20"/>
                <w:color w:val="auto"/>
              </w:rPr>
            </w:pPr>
            <w:r>
              <w:rPr>
                <w:rFonts w:ascii="Arial" w:cs="Arial" w:eastAsia="Arial" w:hAnsi="Arial"/>
                <w:sz w:val="16"/>
                <w:szCs w:val="16"/>
                <w:color w:val="auto"/>
              </w:rPr>
              <w:t>Black Hills Energy Services Company, an indirect, wholly-owned subsidiary of Black Hills Utility</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natural gas commodity supply for the Choice Gas Programs (doing business as</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Energy).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Non-regulated Holdings</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Black Hills Utility Holdings</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business as Black Hills Energy)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Choice Gas Program</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Regulator-approved programs in Wyoming and Nebraska that allow certain utility customers to select</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their natural gas commodity supplier, providing for the unbundling of the commodity service from the</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distribution delivery service.</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Chief Operating Decision Maker (CODM)</w:t>
            </w:r>
          </w:p>
        </w:tc>
        <w:tc>
          <w:tcPr>
            <w:tcW w:w="7460" w:type="dxa"/>
            <w:vAlign w:val="bottom"/>
          </w:tcPr>
          <w:p>
            <w:pPr>
              <w:ind w:left="60"/>
              <w:spacing w:after="0"/>
              <w:rPr>
                <w:sz w:val="20"/>
                <w:szCs w:val="20"/>
                <w:color w:val="auto"/>
              </w:rPr>
            </w:pPr>
            <w:r>
              <w:rPr>
                <w:rFonts w:ascii="Arial" w:cs="Arial" w:eastAsia="Arial" w:hAnsi="Arial"/>
                <w:sz w:val="16"/>
                <w:szCs w:val="16"/>
                <w:color w:val="auto"/>
              </w:rPr>
              <w:t>Chief Executive Officer</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Clean Energy Plan</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Establishes a roadmap and preferred resource portfolio for Colorado Electric to achieve the State of</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Colorado’s requirement calling upon electric utilities to reduce greenhouse gas emissions by a</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minimum of 80% from 2005 levels by 2030. The preferred resource portfolio proposes the addition of</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350 MW of clean energy resources to Colorado Electric's system. Colorado legislation allows electric</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utilities to own up to 50% of the renewable generation assets added to comply with the Clean Energy</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Plan.</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p>
        </w:tc>
        <w:tc>
          <w:tcPr>
            <w:tcW w:w="7460" w:type="dxa"/>
            <w:vAlign w:val="bottom"/>
          </w:tcPr>
          <w:p>
            <w:pPr>
              <w:ind w:left="60"/>
              <w:spacing w:after="0"/>
              <w:rPr>
                <w:sz w:val="20"/>
                <w:szCs w:val="20"/>
                <w:color w:val="auto"/>
              </w:rPr>
            </w:pPr>
            <w:r>
              <w:rPr>
                <w:rFonts w:ascii="Arial" w:cs="Arial" w:eastAsia="Arial" w:hAnsi="Arial"/>
                <w:sz w:val="16"/>
                <w:szCs w:val="16"/>
                <w:color w:val="auto"/>
              </w:rPr>
              <w:t>Carbon dioxide</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Colorado Electric</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electric services to customers in Colorado (doing business as Black Hills Energy).</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Colorado Gas</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176"/>
        </w:trPr>
        <w:tc>
          <w:tcPr>
            <w:tcW w:w="378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Common Use System</w:t>
            </w:r>
          </w:p>
        </w:tc>
        <w:tc>
          <w:tcPr>
            <w:tcW w:w="7460" w:type="dxa"/>
            <w:vAlign w:val="bottom"/>
            <w:shd w:val="clear" w:color="auto" w:fill="CFF0FC"/>
          </w:tcPr>
          <w:p>
            <w:pPr>
              <w:ind w:left="60"/>
              <w:spacing w:after="0" w:line="176" w:lineRule="exact"/>
              <w:rPr>
                <w:sz w:val="20"/>
                <w:szCs w:val="20"/>
                <w:color w:val="auto"/>
              </w:rPr>
            </w:pPr>
            <w:r>
              <w:rPr>
                <w:rFonts w:ascii="Arial" w:cs="Arial" w:eastAsia="Arial" w:hAnsi="Arial"/>
                <w:sz w:val="16"/>
                <w:szCs w:val="16"/>
                <w:color w:val="auto"/>
              </w:rPr>
              <w:t>The Common Use System is a jointly operated transmission system we participate in with Basin</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Electric Power Cooperative and Powder River Energy Corporation. The Common Use System provides</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transmission service over these utilities' combined 230-kilovolt (kV) and limited 69-kV transmission</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facilities within areas of southwestern South Dakota and northeastern Wyoming.</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Consolidated Indebtedness to Capitalization Ratio</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net worth (excluding non-controlling interest) plus consolidated indebtedness (including letters of credit</w:t>
            </w:r>
          </w:p>
        </w:tc>
      </w:tr>
      <w:tr>
        <w:trPr>
          <w:trHeight w:val="203"/>
        </w:trPr>
        <w:tc>
          <w:tcPr>
            <w:tcW w:w="3780" w:type="dxa"/>
            <w:vAlign w:val="bottom"/>
          </w:tcPr>
          <w:p>
            <w:pPr>
              <w:spacing w:after="0"/>
              <w:rPr>
                <w:sz w:val="17"/>
                <w:szCs w:val="17"/>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and certain guarantees issued) as defined within the current Revolving Credit Facility.</w:t>
            </w:r>
          </w:p>
        </w:tc>
      </w:tr>
      <w:tr>
        <w:trPr>
          <w:trHeight w:val="215"/>
        </w:trPr>
        <w:tc>
          <w:tcPr>
            <w:tcW w:w="3780" w:type="dxa"/>
            <w:vAlign w:val="bottom"/>
          </w:tcPr>
          <w:p>
            <w:pPr>
              <w:spacing w:after="0"/>
              <w:rPr>
                <w:sz w:val="18"/>
                <w:szCs w:val="18"/>
                <w:color w:val="auto"/>
              </w:rPr>
            </w:pPr>
          </w:p>
        </w:tc>
        <w:tc>
          <w:tcPr>
            <w:tcW w:w="7460" w:type="dxa"/>
            <w:vAlign w:val="bottom"/>
          </w:tcPr>
          <w:p>
            <w:pPr>
              <w:ind w:left="1800"/>
              <w:spacing w:after="0"/>
              <w:rPr>
                <w:sz w:val="20"/>
                <w:szCs w:val="20"/>
                <w:color w:val="auto"/>
              </w:rPr>
            </w:pPr>
            <w:r>
              <w:rPr>
                <w:rFonts w:ascii="Arial" w:cs="Arial" w:eastAsia="Arial" w:hAnsi="Arial"/>
                <w:sz w:val="16"/>
                <w:szCs w:val="16"/>
                <w:color w:val="auto"/>
              </w:rPr>
              <w:t>3</w:t>
            </w:r>
          </w:p>
        </w:tc>
      </w:tr>
      <w:tr>
        <w:trPr>
          <w:trHeight w:val="751"/>
        </w:trPr>
        <w:tc>
          <w:tcPr>
            <w:tcW w:w="37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Cooling Degree Day</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A cooling degree day is equivalent to each degree that the average of the high and the low</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temperatures for a day is above 65 degrees. The warmer the climate, the greater the number of</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cooling degree days. Cooling degree days are used in the utility industry to measure the relative</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warmth of weather and to compare relative temperatures between one geographic area and another.</w:t>
            </w:r>
          </w:p>
        </w:tc>
      </w:tr>
      <w:tr>
        <w:trPr>
          <w:trHeight w:val="217"/>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Normal degree days are based on the National Weather Service data for selected locations.</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CP Program</w:t>
            </w:r>
          </w:p>
        </w:tc>
        <w:tc>
          <w:tcPr>
            <w:tcW w:w="8380" w:type="dxa"/>
            <w:vAlign w:val="bottom"/>
          </w:tcPr>
          <w:p>
            <w:pPr>
              <w:ind w:left="980"/>
              <w:spacing w:after="0"/>
              <w:rPr>
                <w:sz w:val="20"/>
                <w:szCs w:val="20"/>
                <w:color w:val="auto"/>
              </w:rPr>
            </w:pPr>
            <w:r>
              <w:rPr>
                <w:rFonts w:ascii="Arial" w:cs="Arial" w:eastAsia="Arial" w:hAnsi="Arial"/>
                <w:sz w:val="16"/>
                <w:szCs w:val="16"/>
                <w:color w:val="auto"/>
              </w:rPr>
              <w:t>Commercial Paper Program</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CPCN</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Certificate of Public Convenience and Necessity</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CPUC</w:t>
            </w:r>
          </w:p>
        </w:tc>
        <w:tc>
          <w:tcPr>
            <w:tcW w:w="8380" w:type="dxa"/>
            <w:vAlign w:val="bottom"/>
          </w:tcPr>
          <w:p>
            <w:pPr>
              <w:ind w:left="980"/>
              <w:spacing w:after="0"/>
              <w:rPr>
                <w:sz w:val="20"/>
                <w:szCs w:val="20"/>
                <w:color w:val="auto"/>
              </w:rPr>
            </w:pPr>
            <w:r>
              <w:rPr>
                <w:rFonts w:ascii="Arial" w:cs="Arial" w:eastAsia="Arial" w:hAnsi="Arial"/>
                <w:sz w:val="16"/>
                <w:szCs w:val="16"/>
                <w:color w:val="auto"/>
              </w:rPr>
              <w:t>Colorado Public Utilities Commission</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CT</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Combustion Turbine</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Dth</w:t>
            </w:r>
          </w:p>
        </w:tc>
        <w:tc>
          <w:tcPr>
            <w:tcW w:w="8380" w:type="dxa"/>
            <w:vAlign w:val="bottom"/>
          </w:tcPr>
          <w:p>
            <w:pPr>
              <w:ind w:left="98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EPA</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Environmental Protection Agency</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FASB</w:t>
            </w:r>
          </w:p>
        </w:tc>
        <w:tc>
          <w:tcPr>
            <w:tcW w:w="8380" w:type="dxa"/>
            <w:vAlign w:val="bottom"/>
          </w:tcPr>
          <w:p>
            <w:pPr>
              <w:ind w:left="980"/>
              <w:spacing w:after="0"/>
              <w:rPr>
                <w:sz w:val="20"/>
                <w:szCs w:val="20"/>
                <w:color w:val="auto"/>
              </w:rPr>
            </w:pPr>
            <w:r>
              <w:rPr>
                <w:rFonts w:ascii="Arial" w:cs="Arial" w:eastAsia="Arial" w:hAnsi="Arial"/>
                <w:sz w:val="16"/>
                <w:szCs w:val="16"/>
                <w:color w:val="auto"/>
              </w:rPr>
              <w:t>Financial Accounting Standards Board</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Fitch</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Fitch Ratings Inc.</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GAAP</w:t>
            </w:r>
          </w:p>
        </w:tc>
        <w:tc>
          <w:tcPr>
            <w:tcW w:w="8380" w:type="dxa"/>
            <w:vAlign w:val="bottom"/>
          </w:tcPr>
          <w:p>
            <w:pPr>
              <w:ind w:left="98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5"/>
        </w:trPr>
        <w:tc>
          <w:tcPr>
            <w:tcW w:w="286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Heating Degree Day</w:t>
            </w:r>
          </w:p>
        </w:tc>
        <w:tc>
          <w:tcPr>
            <w:tcW w:w="8380" w:type="dxa"/>
            <w:vAlign w:val="bottom"/>
            <w:shd w:val="clear" w:color="auto" w:fill="CFF0FC"/>
          </w:tcPr>
          <w:p>
            <w:pPr>
              <w:ind w:left="980"/>
              <w:spacing w:after="0" w:line="175" w:lineRule="exact"/>
              <w:rPr>
                <w:sz w:val="20"/>
                <w:szCs w:val="20"/>
                <w:color w:val="auto"/>
              </w:rPr>
            </w:pPr>
            <w:r>
              <w:rPr>
                <w:rFonts w:ascii="Arial" w:cs="Arial" w:eastAsia="Arial" w:hAnsi="Arial"/>
                <w:sz w:val="16"/>
                <w:szCs w:val="16"/>
                <w:color w:val="auto"/>
              </w:rPr>
              <w:t>A heating degree day is equivalent to each degree that the average of the high and the low</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temperatures for a day is below 65 degrees. The colder the climate, the greater the number of heating</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degree days. Heating degree days are used in the utility industry to measure the relative coldness of</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weather and to compare relative temperatures between one geographic area and another. Normal</w:t>
            </w:r>
          </w:p>
        </w:tc>
      </w:tr>
      <w:tr>
        <w:trPr>
          <w:trHeight w:val="217"/>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degree days are based on the National Weather Service data for selected locations.</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HomeServe</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We offer HomeServe products to our natural gas residential customers interested in purchasing</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additional home repair service plans.</w:t>
            </w:r>
          </w:p>
        </w:tc>
      </w:tr>
      <w:tr>
        <w:trPr>
          <w:trHeight w:val="176"/>
        </w:trPr>
        <w:tc>
          <w:tcPr>
            <w:tcW w:w="286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Integrated Generation</w:t>
            </w:r>
          </w:p>
        </w:tc>
        <w:tc>
          <w:tcPr>
            <w:tcW w:w="8380" w:type="dxa"/>
            <w:vAlign w:val="bottom"/>
            <w:shd w:val="clear" w:color="auto" w:fill="CFF0FC"/>
          </w:tcPr>
          <w:p>
            <w:pPr>
              <w:ind w:left="980"/>
              <w:spacing w:after="0" w:line="176" w:lineRule="exact"/>
              <w:rPr>
                <w:sz w:val="20"/>
                <w:szCs w:val="20"/>
                <w:color w:val="auto"/>
              </w:rPr>
            </w:pPr>
            <w:r>
              <w:rPr>
                <w:rFonts w:ascii="Arial" w:cs="Arial" w:eastAsia="Arial" w:hAnsi="Arial"/>
                <w:sz w:val="16"/>
                <w:szCs w:val="16"/>
                <w:color w:val="auto"/>
              </w:rPr>
              <w:t>Non-regulated power generation and mining businesses (Black Hills Electric Generation and WRDC)</w:t>
            </w:r>
          </w:p>
        </w:tc>
      </w:tr>
      <w:tr>
        <w:trPr>
          <w:trHeight w:val="217"/>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that are vertically integrated within our Electric Utilities segment.</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Iowa Gas</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204"/>
        </w:trPr>
        <w:tc>
          <w:tcPr>
            <w:tcW w:w="2860" w:type="dxa"/>
            <w:vAlign w:val="bottom"/>
            <w:shd w:val="clear" w:color="auto" w:fill="CFF0FA"/>
          </w:tcPr>
          <w:p>
            <w:pPr>
              <w:ind w:left="20"/>
              <w:spacing w:after="0"/>
              <w:rPr>
                <w:sz w:val="20"/>
                <w:szCs w:val="20"/>
                <w:color w:val="auto"/>
              </w:rPr>
            </w:pPr>
            <w:r>
              <w:rPr>
                <w:rFonts w:ascii="Arial" w:cs="Arial" w:eastAsia="Arial" w:hAnsi="Arial"/>
                <w:sz w:val="16"/>
                <w:szCs w:val="16"/>
                <w:color w:val="auto"/>
              </w:rPr>
              <w:t>IPP</w:t>
            </w: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Independent Power Producer</w:t>
            </w:r>
          </w:p>
        </w:tc>
      </w:tr>
      <w:tr>
        <w:trPr>
          <w:trHeight w:val="202"/>
        </w:trPr>
        <w:tc>
          <w:tcPr>
            <w:tcW w:w="2860" w:type="dxa"/>
            <w:vAlign w:val="bottom"/>
          </w:tcPr>
          <w:p>
            <w:pPr>
              <w:ind w:left="20"/>
              <w:spacing w:after="0"/>
              <w:rPr>
                <w:sz w:val="20"/>
                <w:szCs w:val="20"/>
                <w:color w:val="auto"/>
              </w:rPr>
            </w:pPr>
            <w:r>
              <w:rPr>
                <w:rFonts w:ascii="Arial" w:cs="Arial" w:eastAsia="Arial" w:hAnsi="Arial"/>
                <w:sz w:val="16"/>
                <w:szCs w:val="16"/>
                <w:color w:val="auto"/>
              </w:rPr>
              <w:t>IRS</w:t>
            </w:r>
          </w:p>
        </w:tc>
        <w:tc>
          <w:tcPr>
            <w:tcW w:w="8380" w:type="dxa"/>
            <w:vAlign w:val="bottom"/>
          </w:tcPr>
          <w:p>
            <w:pPr>
              <w:ind w:left="980"/>
              <w:spacing w:after="0"/>
              <w:rPr>
                <w:sz w:val="20"/>
                <w:szCs w:val="20"/>
                <w:color w:val="auto"/>
              </w:rPr>
            </w:pPr>
            <w:r>
              <w:rPr>
                <w:rFonts w:ascii="Arial" w:cs="Arial" w:eastAsia="Arial" w:hAnsi="Arial"/>
                <w:sz w:val="16"/>
                <w:szCs w:val="16"/>
                <w:color w:val="auto"/>
              </w:rPr>
              <w:t>United States Internal Revenue Service</w:t>
            </w:r>
          </w:p>
        </w:tc>
      </w:tr>
      <w:tr>
        <w:trPr>
          <w:trHeight w:val="203"/>
        </w:trPr>
        <w:tc>
          <w:tcPr>
            <w:tcW w:w="2860" w:type="dxa"/>
            <w:vAlign w:val="bottom"/>
            <w:shd w:val="clear" w:color="auto" w:fill="CFF0FA"/>
          </w:tcPr>
          <w:p>
            <w:pPr>
              <w:ind w:left="20"/>
              <w:spacing w:after="0"/>
              <w:rPr>
                <w:sz w:val="20"/>
                <w:szCs w:val="20"/>
                <w:color w:val="auto"/>
              </w:rPr>
            </w:pPr>
            <w:r>
              <w:rPr>
                <w:rFonts w:ascii="Arial" w:cs="Arial" w:eastAsia="Arial" w:hAnsi="Arial"/>
                <w:sz w:val="16"/>
                <w:szCs w:val="16"/>
                <w:color w:val="auto"/>
              </w:rPr>
              <w:t>IUC</w:t>
            </w: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Iowa Utilities Commission</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Kansas Gas</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Holdings, providing natural gas services to customers in Kansas (doing business as Black Hills</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Energy).</w:t>
            </w:r>
          </w:p>
        </w:tc>
      </w:tr>
      <w:tr>
        <w:trPr>
          <w:trHeight w:val="203"/>
        </w:trPr>
        <w:tc>
          <w:tcPr>
            <w:tcW w:w="2860" w:type="dxa"/>
            <w:vAlign w:val="bottom"/>
            <w:shd w:val="clear" w:color="auto" w:fill="CFF0FA"/>
          </w:tcPr>
          <w:p>
            <w:pPr>
              <w:ind w:left="20"/>
              <w:spacing w:after="0"/>
              <w:rPr>
                <w:sz w:val="20"/>
                <w:szCs w:val="20"/>
                <w:color w:val="auto"/>
              </w:rPr>
            </w:pPr>
            <w:r>
              <w:rPr>
                <w:rFonts w:ascii="Arial" w:cs="Arial" w:eastAsia="Arial" w:hAnsi="Arial"/>
                <w:sz w:val="16"/>
                <w:szCs w:val="16"/>
                <w:color w:val="auto"/>
              </w:rPr>
              <w:t>MMBtu</w:t>
            </w: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Million British thermal units</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Moody's</w:t>
            </w:r>
          </w:p>
        </w:tc>
        <w:tc>
          <w:tcPr>
            <w:tcW w:w="8380" w:type="dxa"/>
            <w:vAlign w:val="bottom"/>
          </w:tcPr>
          <w:p>
            <w:pPr>
              <w:ind w:left="980"/>
              <w:spacing w:after="0"/>
              <w:rPr>
                <w:sz w:val="20"/>
                <w:szCs w:val="20"/>
                <w:color w:val="auto"/>
              </w:rPr>
            </w:pPr>
            <w:r>
              <w:rPr>
                <w:rFonts w:ascii="Arial" w:cs="Arial" w:eastAsia="Arial" w:hAnsi="Arial"/>
                <w:sz w:val="16"/>
                <w:szCs w:val="16"/>
                <w:color w:val="auto"/>
              </w:rPr>
              <w:t>Moody's Investors Service, Inc.</w:t>
            </w:r>
          </w:p>
        </w:tc>
      </w:tr>
      <w:tr>
        <w:trPr>
          <w:trHeight w:val="203"/>
        </w:trPr>
        <w:tc>
          <w:tcPr>
            <w:tcW w:w="2860" w:type="dxa"/>
            <w:vAlign w:val="bottom"/>
            <w:shd w:val="clear" w:color="auto" w:fill="CFF0FA"/>
          </w:tcPr>
          <w:p>
            <w:pPr>
              <w:ind w:left="20"/>
              <w:spacing w:after="0"/>
              <w:rPr>
                <w:sz w:val="20"/>
                <w:szCs w:val="20"/>
                <w:color w:val="auto"/>
              </w:rPr>
            </w:pPr>
            <w:r>
              <w:rPr>
                <w:rFonts w:ascii="Arial" w:cs="Arial" w:eastAsia="Arial" w:hAnsi="Arial"/>
                <w:sz w:val="16"/>
                <w:szCs w:val="16"/>
                <w:color w:val="auto"/>
              </w:rPr>
              <w:t>MW</w:t>
            </w: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Megawatts</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MWh</w:t>
            </w:r>
          </w:p>
        </w:tc>
        <w:tc>
          <w:tcPr>
            <w:tcW w:w="8380" w:type="dxa"/>
            <w:vAlign w:val="bottom"/>
          </w:tcPr>
          <w:p>
            <w:pPr>
              <w:ind w:left="980"/>
              <w:spacing w:after="0"/>
              <w:rPr>
                <w:sz w:val="20"/>
                <w:szCs w:val="20"/>
                <w:color w:val="auto"/>
              </w:rPr>
            </w:pPr>
            <w:r>
              <w:rPr>
                <w:rFonts w:ascii="Arial" w:cs="Arial" w:eastAsia="Arial" w:hAnsi="Arial"/>
                <w:sz w:val="16"/>
                <w:szCs w:val="16"/>
                <w:color w:val="auto"/>
              </w:rPr>
              <w:t>Megawatt-hours</w:t>
            </w:r>
          </w:p>
        </w:tc>
      </w:tr>
      <w:tr>
        <w:trPr>
          <w:trHeight w:val="203"/>
        </w:trPr>
        <w:tc>
          <w:tcPr>
            <w:tcW w:w="2860" w:type="dxa"/>
            <w:vAlign w:val="bottom"/>
            <w:shd w:val="clear" w:color="auto" w:fill="CFF0FA"/>
          </w:tcPr>
          <w:p>
            <w:pPr>
              <w:ind w:left="20"/>
              <w:spacing w:after="0"/>
              <w:rPr>
                <w:sz w:val="20"/>
                <w:szCs w:val="20"/>
                <w:color w:val="auto"/>
              </w:rPr>
            </w:pPr>
            <w:r>
              <w:rPr>
                <w:rFonts w:ascii="Arial" w:cs="Arial" w:eastAsia="Arial" w:hAnsi="Arial"/>
                <w:sz w:val="16"/>
                <w:szCs w:val="16"/>
                <w:color w:val="auto"/>
              </w:rPr>
              <w:t>N/A</w:t>
            </w: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Not applicable</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Nebraska Gas</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176"/>
        </w:trPr>
        <w:tc>
          <w:tcPr>
            <w:tcW w:w="2860" w:type="dxa"/>
            <w:vAlign w:val="bottom"/>
            <w:shd w:val="clear" w:color="auto" w:fill="CFF0FA"/>
          </w:tcPr>
          <w:p>
            <w:pPr>
              <w:ind w:left="20"/>
              <w:spacing w:after="0" w:line="176" w:lineRule="exact"/>
              <w:rPr>
                <w:sz w:val="20"/>
                <w:szCs w:val="20"/>
                <w:color w:val="auto"/>
              </w:rPr>
            </w:pPr>
            <w:r>
              <w:rPr>
                <w:rFonts w:ascii="Arial" w:cs="Arial" w:eastAsia="Arial" w:hAnsi="Arial"/>
                <w:sz w:val="16"/>
                <w:szCs w:val="16"/>
                <w:color w:val="auto"/>
              </w:rPr>
              <w:t>Neil Simpson II</w:t>
            </w:r>
          </w:p>
        </w:tc>
        <w:tc>
          <w:tcPr>
            <w:tcW w:w="8380" w:type="dxa"/>
            <w:vAlign w:val="bottom"/>
            <w:shd w:val="clear" w:color="auto" w:fill="CFF0FA"/>
          </w:tcPr>
          <w:p>
            <w:pPr>
              <w:ind w:left="980"/>
              <w:spacing w:after="0" w:line="176" w:lineRule="exact"/>
              <w:rPr>
                <w:sz w:val="20"/>
                <w:szCs w:val="20"/>
                <w:color w:val="auto"/>
              </w:rPr>
            </w:pPr>
            <w:r>
              <w:rPr>
                <w:rFonts w:ascii="Arial" w:cs="Arial" w:eastAsia="Arial" w:hAnsi="Arial"/>
                <w:sz w:val="16"/>
                <w:szCs w:val="16"/>
                <w:color w:val="auto"/>
              </w:rPr>
              <w:t>A mine-mouth, coal-fired power plant owned and operated by South Dakota Electric with a total</w:t>
            </w:r>
          </w:p>
        </w:tc>
      </w:tr>
      <w:tr>
        <w:trPr>
          <w:trHeight w:val="217"/>
        </w:trPr>
        <w:tc>
          <w:tcPr>
            <w:tcW w:w="2860" w:type="dxa"/>
            <w:vAlign w:val="bottom"/>
            <w:shd w:val="clear" w:color="auto" w:fill="CFF0FA"/>
          </w:tcPr>
          <w:p>
            <w:pPr>
              <w:spacing w:after="0"/>
              <w:rPr>
                <w:sz w:val="18"/>
                <w:szCs w:val="18"/>
                <w:color w:val="auto"/>
              </w:rPr>
            </w:pP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capacity of 90 MW located at our Gillette Energy Complex.</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Northern Iowa Windpower</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Northern Iowa Windpower, LLC, a 87.1 MW wind farm located near Joice, Iowa, previously owned by</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Black Hills Electric Generation. In March 2023, Black Hills Electric Generation completed the sale of</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Northern Iowa Windpower assets to a third-party.</w:t>
            </w:r>
          </w:p>
        </w:tc>
      </w:tr>
      <w:tr>
        <w:trPr>
          <w:trHeight w:val="203"/>
        </w:trPr>
        <w:tc>
          <w:tcPr>
            <w:tcW w:w="2860" w:type="dxa"/>
            <w:vAlign w:val="bottom"/>
            <w:shd w:val="clear" w:color="auto" w:fill="CFF0FA"/>
          </w:tcPr>
          <w:p>
            <w:pPr>
              <w:ind w:left="20"/>
              <w:spacing w:after="0"/>
              <w:rPr>
                <w:sz w:val="20"/>
                <w:szCs w:val="20"/>
                <w:color w:val="auto"/>
              </w:rPr>
            </w:pPr>
            <w:r>
              <w:rPr>
                <w:rFonts w:ascii="Arial" w:cs="Arial" w:eastAsia="Arial" w:hAnsi="Arial"/>
                <w:sz w:val="16"/>
                <w:szCs w:val="16"/>
                <w:color w:val="auto"/>
              </w:rPr>
              <w:t>OCI</w:t>
            </w: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Other Comprehensive Income</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PPA</w:t>
            </w:r>
          </w:p>
        </w:tc>
        <w:tc>
          <w:tcPr>
            <w:tcW w:w="8380" w:type="dxa"/>
            <w:vAlign w:val="bottom"/>
          </w:tcPr>
          <w:p>
            <w:pPr>
              <w:ind w:left="980"/>
              <w:spacing w:after="0"/>
              <w:rPr>
                <w:sz w:val="20"/>
                <w:szCs w:val="20"/>
                <w:color w:val="auto"/>
              </w:rPr>
            </w:pPr>
            <w:r>
              <w:rPr>
                <w:rFonts w:ascii="Arial" w:cs="Arial" w:eastAsia="Arial" w:hAnsi="Arial"/>
                <w:sz w:val="16"/>
                <w:szCs w:val="16"/>
                <w:color w:val="auto"/>
              </w:rPr>
              <w:t>Power Purchase Agreement</w:t>
            </w:r>
          </w:p>
        </w:tc>
      </w:tr>
      <w:tr>
        <w:trPr>
          <w:trHeight w:val="175"/>
        </w:trPr>
        <w:tc>
          <w:tcPr>
            <w:tcW w:w="2860" w:type="dxa"/>
            <w:vAlign w:val="bottom"/>
            <w:shd w:val="clear" w:color="auto" w:fill="CFF0FA"/>
          </w:tcPr>
          <w:p>
            <w:pPr>
              <w:ind w:left="20"/>
              <w:spacing w:after="0" w:line="175" w:lineRule="exact"/>
              <w:rPr>
                <w:sz w:val="20"/>
                <w:szCs w:val="20"/>
                <w:color w:val="auto"/>
              </w:rPr>
            </w:pPr>
            <w:r>
              <w:rPr>
                <w:rFonts w:ascii="Arial" w:cs="Arial" w:eastAsia="Arial" w:hAnsi="Arial"/>
                <w:sz w:val="16"/>
                <w:szCs w:val="16"/>
                <w:color w:val="auto"/>
              </w:rPr>
              <w:t>Ready Wyoming</w:t>
            </w:r>
          </w:p>
        </w:tc>
        <w:tc>
          <w:tcPr>
            <w:tcW w:w="8380" w:type="dxa"/>
            <w:vAlign w:val="bottom"/>
            <w:shd w:val="clear" w:color="auto" w:fill="CFF0FA"/>
          </w:tcPr>
          <w:p>
            <w:pPr>
              <w:ind w:left="980"/>
              <w:spacing w:after="0" w:line="175" w:lineRule="exact"/>
              <w:rPr>
                <w:sz w:val="20"/>
                <w:szCs w:val="20"/>
                <w:color w:val="auto"/>
              </w:rPr>
            </w:pPr>
            <w:r>
              <w:rPr>
                <w:rFonts w:ascii="Arial" w:cs="Arial" w:eastAsia="Arial" w:hAnsi="Arial"/>
                <w:sz w:val="16"/>
                <w:szCs w:val="16"/>
                <w:color w:val="auto"/>
              </w:rPr>
              <w:t>A 260-mile, multi-phase transmission expansion project in Wyoming. This transmission project is</w:t>
            </w:r>
          </w:p>
        </w:tc>
      </w:tr>
      <w:tr>
        <w:trPr>
          <w:trHeight w:val="189"/>
        </w:trPr>
        <w:tc>
          <w:tcPr>
            <w:tcW w:w="2860" w:type="dxa"/>
            <w:vAlign w:val="bottom"/>
            <w:shd w:val="clear" w:color="auto" w:fill="CFF0FA"/>
          </w:tcPr>
          <w:p>
            <w:pPr>
              <w:spacing w:after="0"/>
              <w:rPr>
                <w:sz w:val="16"/>
                <w:szCs w:val="16"/>
                <w:color w:val="auto"/>
              </w:rPr>
            </w:pP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expected to serve the growing needs of customers by enhancing resiliency of Wyoming Electric’s</w:t>
            </w:r>
          </w:p>
        </w:tc>
      </w:tr>
      <w:tr>
        <w:trPr>
          <w:trHeight w:val="189"/>
        </w:trPr>
        <w:tc>
          <w:tcPr>
            <w:tcW w:w="2860" w:type="dxa"/>
            <w:vAlign w:val="bottom"/>
            <w:shd w:val="clear" w:color="auto" w:fill="CFF0FA"/>
          </w:tcPr>
          <w:p>
            <w:pPr>
              <w:spacing w:after="0"/>
              <w:rPr>
                <w:sz w:val="16"/>
                <w:szCs w:val="16"/>
                <w:color w:val="auto"/>
              </w:rPr>
            </w:pP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overall electric system and expanding access to power markets and renewable resources. The project</w:t>
            </w:r>
          </w:p>
        </w:tc>
      </w:tr>
      <w:tr>
        <w:trPr>
          <w:trHeight w:val="189"/>
        </w:trPr>
        <w:tc>
          <w:tcPr>
            <w:tcW w:w="2860" w:type="dxa"/>
            <w:vAlign w:val="bottom"/>
            <w:shd w:val="clear" w:color="auto" w:fill="CFF0FA"/>
          </w:tcPr>
          <w:p>
            <w:pPr>
              <w:spacing w:after="0"/>
              <w:rPr>
                <w:sz w:val="16"/>
                <w:szCs w:val="16"/>
                <w:color w:val="auto"/>
              </w:rPr>
            </w:pP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is expected to help Wyoming Electric maintain top-quartile reliability and enable economic</w:t>
            </w:r>
          </w:p>
        </w:tc>
      </w:tr>
      <w:tr>
        <w:trPr>
          <w:trHeight w:val="217"/>
        </w:trPr>
        <w:tc>
          <w:tcPr>
            <w:tcW w:w="2860" w:type="dxa"/>
            <w:vAlign w:val="bottom"/>
            <w:shd w:val="clear" w:color="auto" w:fill="CFF0FA"/>
          </w:tcPr>
          <w:p>
            <w:pPr>
              <w:spacing w:after="0"/>
              <w:rPr>
                <w:sz w:val="18"/>
                <w:szCs w:val="18"/>
                <w:color w:val="auto"/>
              </w:rPr>
            </w:pPr>
          </w:p>
        </w:tc>
        <w:tc>
          <w:tcPr>
            <w:tcW w:w="8380" w:type="dxa"/>
            <w:vAlign w:val="bottom"/>
            <w:shd w:val="clear" w:color="auto" w:fill="CFF0FA"/>
          </w:tcPr>
          <w:p>
            <w:pPr>
              <w:ind w:left="980"/>
              <w:spacing w:after="0"/>
              <w:rPr>
                <w:sz w:val="20"/>
                <w:szCs w:val="20"/>
                <w:color w:val="auto"/>
              </w:rPr>
            </w:pPr>
            <w:r>
              <w:rPr>
                <w:rFonts w:ascii="Arial" w:cs="Arial" w:eastAsia="Arial" w:hAnsi="Arial"/>
                <w:sz w:val="16"/>
                <w:szCs w:val="16"/>
                <w:color w:val="auto"/>
              </w:rPr>
              <w:t>development in the Cheyenne, Wyoming region.</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Revolving Credit Facility</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purposes, which was amended on May 31, 2024, and will terminate on May 31, 2029. This facility</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includes an accordion feature that allows us to increase total commitments up to $1.0 billion with the</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consent of the administrative agent, the issuing agents and each bank increasing or providing a new</w:t>
            </w:r>
          </w:p>
        </w:tc>
      </w:tr>
      <w:tr>
        <w:trPr>
          <w:trHeight w:val="203"/>
        </w:trPr>
        <w:tc>
          <w:tcPr>
            <w:tcW w:w="2860" w:type="dxa"/>
            <w:vAlign w:val="bottom"/>
          </w:tcPr>
          <w:p>
            <w:pPr>
              <w:spacing w:after="0"/>
              <w:rPr>
                <w:sz w:val="17"/>
                <w:szCs w:val="17"/>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commitment.</w:t>
            </w:r>
          </w:p>
        </w:tc>
      </w:tr>
      <w:tr>
        <w:trPr>
          <w:trHeight w:val="215"/>
        </w:trPr>
        <w:tc>
          <w:tcPr>
            <w:tcW w:w="2860" w:type="dxa"/>
            <w:vAlign w:val="bottom"/>
          </w:tcPr>
          <w:p>
            <w:pPr>
              <w:spacing w:after="0"/>
              <w:rPr>
                <w:sz w:val="18"/>
                <w:szCs w:val="18"/>
                <w:color w:val="auto"/>
              </w:rPr>
            </w:pPr>
          </w:p>
        </w:tc>
        <w:tc>
          <w:tcPr>
            <w:tcW w:w="8380" w:type="dxa"/>
            <w:vAlign w:val="bottom"/>
          </w:tcPr>
          <w:p>
            <w:pPr>
              <w:ind w:left="2720"/>
              <w:spacing w:after="0"/>
              <w:rPr>
                <w:sz w:val="20"/>
                <w:szCs w:val="20"/>
                <w:color w:val="auto"/>
              </w:rPr>
            </w:pPr>
            <w:r>
              <w:rPr>
                <w:rFonts w:ascii="Arial" w:cs="Arial" w:eastAsia="Arial" w:hAnsi="Arial"/>
                <w:sz w:val="16"/>
                <w:szCs w:val="16"/>
                <w:color w:val="auto"/>
              </w:rPr>
              <w:t>4</w:t>
            </w:r>
          </w:p>
        </w:tc>
      </w:tr>
      <w:tr>
        <w:trPr>
          <w:trHeight w:val="751"/>
        </w:trPr>
        <w:tc>
          <w:tcPr>
            <w:tcW w:w="286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shd w:val="clear" w:color="auto" w:fill="CFF0FA"/>
          </w:tcPr>
          <w:p>
            <w:pPr>
              <w:ind w:left="20"/>
              <w:spacing w:after="0"/>
              <w:rPr>
                <w:sz w:val="20"/>
                <w:szCs w:val="20"/>
                <w:color w:val="auto"/>
              </w:rPr>
            </w:pPr>
            <w:r>
              <w:rPr>
                <w:rFonts w:ascii="Arial" w:cs="Arial" w:eastAsia="Arial" w:hAnsi="Arial"/>
                <w:sz w:val="16"/>
                <w:szCs w:val="16"/>
                <w:color w:val="auto"/>
              </w:rPr>
              <w:t>RMNG</w:t>
            </w: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Rocky Mountain Natural Gas LLC, an indirect, wholly-owned subsidiary of Black Hills Utility Holdings,</w:t>
            </w:r>
          </w:p>
        </w:tc>
      </w:tr>
      <w:tr>
        <w:trPr>
          <w:trHeight w:val="189"/>
        </w:trPr>
        <w:tc>
          <w:tcPr>
            <w:tcW w:w="2940" w:type="dxa"/>
            <w:vAlign w:val="bottom"/>
            <w:shd w:val="clear" w:color="auto" w:fill="CFF0FA"/>
          </w:tcPr>
          <w:p>
            <w:pPr>
              <w:spacing w:after="0"/>
              <w:rPr>
                <w:sz w:val="16"/>
                <w:szCs w:val="16"/>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providing natural gas transmission and wholesale services in western Colorado (doing business as</w:t>
            </w:r>
          </w:p>
        </w:tc>
      </w:tr>
      <w:tr>
        <w:trPr>
          <w:trHeight w:val="217"/>
        </w:trPr>
        <w:tc>
          <w:tcPr>
            <w:tcW w:w="2940" w:type="dxa"/>
            <w:vAlign w:val="bottom"/>
            <w:shd w:val="clear" w:color="auto" w:fill="CFF0FA"/>
          </w:tcPr>
          <w:p>
            <w:pPr>
              <w:spacing w:after="0"/>
              <w:rPr>
                <w:sz w:val="18"/>
                <w:szCs w:val="18"/>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Black Hills Energy).</w:t>
            </w: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RNG</w:t>
            </w:r>
          </w:p>
        </w:tc>
        <w:tc>
          <w:tcPr>
            <w:tcW w:w="8300" w:type="dxa"/>
            <w:vAlign w:val="bottom"/>
          </w:tcPr>
          <w:p>
            <w:pPr>
              <w:ind w:left="900"/>
              <w:spacing w:after="0"/>
              <w:rPr>
                <w:sz w:val="20"/>
                <w:szCs w:val="20"/>
                <w:color w:val="auto"/>
              </w:rPr>
            </w:pPr>
            <w:r>
              <w:rPr>
                <w:rFonts w:ascii="Arial" w:cs="Arial" w:eastAsia="Arial" w:hAnsi="Arial"/>
                <w:sz w:val="16"/>
                <w:szCs w:val="16"/>
                <w:color w:val="auto"/>
              </w:rPr>
              <w:t>Renewable Natural Gas</w:t>
            </w:r>
          </w:p>
        </w:tc>
      </w:tr>
      <w:tr>
        <w:trPr>
          <w:trHeight w:val="203"/>
        </w:trPr>
        <w:tc>
          <w:tcPr>
            <w:tcW w:w="2940" w:type="dxa"/>
            <w:vAlign w:val="bottom"/>
            <w:shd w:val="clear" w:color="auto" w:fill="CFF0FA"/>
          </w:tcPr>
          <w:p>
            <w:pPr>
              <w:ind w:left="20"/>
              <w:spacing w:after="0"/>
              <w:rPr>
                <w:sz w:val="20"/>
                <w:szCs w:val="20"/>
                <w:color w:val="auto"/>
              </w:rPr>
            </w:pPr>
            <w:r>
              <w:rPr>
                <w:rFonts w:ascii="Arial" w:cs="Arial" w:eastAsia="Arial" w:hAnsi="Arial"/>
                <w:sz w:val="16"/>
                <w:szCs w:val="16"/>
                <w:color w:val="auto"/>
              </w:rPr>
              <w:t>SDPUC</w:t>
            </w: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South Dakota Public Utilities Commission</w:t>
            </w: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SEC</w:t>
            </w:r>
          </w:p>
        </w:tc>
        <w:tc>
          <w:tcPr>
            <w:tcW w:w="8300" w:type="dxa"/>
            <w:vAlign w:val="bottom"/>
          </w:tcPr>
          <w:p>
            <w:pPr>
              <w:ind w:left="900"/>
              <w:spacing w:after="0"/>
              <w:rPr>
                <w:sz w:val="20"/>
                <w:szCs w:val="20"/>
                <w:color w:val="auto"/>
              </w:rPr>
            </w:pPr>
            <w:r>
              <w:rPr>
                <w:rFonts w:ascii="Arial" w:cs="Arial" w:eastAsia="Arial" w:hAnsi="Arial"/>
                <w:sz w:val="16"/>
                <w:szCs w:val="16"/>
                <w:color w:val="auto"/>
              </w:rPr>
              <w:t>United States Securities and Exchange Commission</w:t>
            </w:r>
          </w:p>
        </w:tc>
      </w:tr>
      <w:tr>
        <w:trPr>
          <w:trHeight w:val="175"/>
        </w:trPr>
        <w:tc>
          <w:tcPr>
            <w:tcW w:w="2940" w:type="dxa"/>
            <w:vAlign w:val="bottom"/>
            <w:shd w:val="clear" w:color="auto" w:fill="CFF0FA"/>
          </w:tcPr>
          <w:p>
            <w:pPr>
              <w:ind w:left="20"/>
              <w:spacing w:after="0" w:line="175" w:lineRule="exact"/>
              <w:rPr>
                <w:sz w:val="20"/>
                <w:szCs w:val="20"/>
                <w:color w:val="auto"/>
              </w:rPr>
            </w:pPr>
            <w:r>
              <w:rPr>
                <w:rFonts w:ascii="Arial" w:cs="Arial" w:eastAsia="Arial" w:hAnsi="Arial"/>
                <w:sz w:val="16"/>
                <w:szCs w:val="16"/>
                <w:color w:val="auto"/>
              </w:rPr>
              <w:t>Service Guard Comfort Plan</w:t>
            </w:r>
          </w:p>
        </w:tc>
        <w:tc>
          <w:tcPr>
            <w:tcW w:w="8300" w:type="dxa"/>
            <w:vAlign w:val="bottom"/>
            <w:shd w:val="clear" w:color="auto" w:fill="CFF0FA"/>
          </w:tcPr>
          <w:p>
            <w:pPr>
              <w:ind w:left="900"/>
              <w:spacing w:after="0" w:line="175" w:lineRule="exact"/>
              <w:rPr>
                <w:sz w:val="20"/>
                <w:szCs w:val="20"/>
                <w:color w:val="auto"/>
              </w:rPr>
            </w:pPr>
            <w:r>
              <w:rPr>
                <w:rFonts w:ascii="Arial" w:cs="Arial" w:eastAsia="Arial" w:hAnsi="Arial"/>
                <w:sz w:val="16"/>
                <w:szCs w:val="16"/>
                <w:color w:val="auto"/>
              </w:rPr>
              <w:t>Appliance protection plan that provides home appliance repair services through on-going monthly</w:t>
            </w:r>
          </w:p>
        </w:tc>
      </w:tr>
      <w:tr>
        <w:trPr>
          <w:trHeight w:val="217"/>
        </w:trPr>
        <w:tc>
          <w:tcPr>
            <w:tcW w:w="2940" w:type="dxa"/>
            <w:vAlign w:val="bottom"/>
            <w:shd w:val="clear" w:color="auto" w:fill="CFF0FA"/>
          </w:tcPr>
          <w:p>
            <w:pPr>
              <w:spacing w:after="0"/>
              <w:rPr>
                <w:sz w:val="18"/>
                <w:szCs w:val="18"/>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service agreements to residential utility customers.</w:t>
            </w: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S&amp;P</w:t>
            </w:r>
          </w:p>
        </w:tc>
        <w:tc>
          <w:tcPr>
            <w:tcW w:w="8300" w:type="dxa"/>
            <w:vAlign w:val="bottom"/>
          </w:tcPr>
          <w:p>
            <w:pPr>
              <w:ind w:left="900"/>
              <w:spacing w:after="0"/>
              <w:rPr>
                <w:sz w:val="20"/>
                <w:szCs w:val="20"/>
                <w:color w:val="auto"/>
              </w:rPr>
            </w:pPr>
            <w:r>
              <w:rPr>
                <w:rFonts w:ascii="Arial" w:cs="Arial" w:eastAsia="Arial" w:hAnsi="Arial"/>
                <w:sz w:val="16"/>
                <w:szCs w:val="16"/>
                <w:color w:val="auto"/>
              </w:rPr>
              <w:t>S&amp;P Global Ratings, a division of S&amp;P Global Inc.</w:t>
            </w:r>
          </w:p>
        </w:tc>
      </w:tr>
      <w:tr>
        <w:trPr>
          <w:trHeight w:val="203"/>
        </w:trPr>
        <w:tc>
          <w:tcPr>
            <w:tcW w:w="2940" w:type="dxa"/>
            <w:vAlign w:val="bottom"/>
            <w:shd w:val="clear" w:color="auto" w:fill="CFF0FA"/>
          </w:tcPr>
          <w:p>
            <w:pPr>
              <w:ind w:left="20"/>
              <w:spacing w:after="0"/>
              <w:rPr>
                <w:sz w:val="20"/>
                <w:szCs w:val="20"/>
                <w:color w:val="auto"/>
              </w:rPr>
            </w:pPr>
            <w:r>
              <w:rPr>
                <w:rFonts w:ascii="Arial" w:cs="Arial" w:eastAsia="Arial" w:hAnsi="Arial"/>
                <w:sz w:val="16"/>
                <w:szCs w:val="16"/>
                <w:color w:val="auto"/>
              </w:rPr>
              <w:t>SOFR</w:t>
            </w: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Secured Overnight Financing Rate</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South Dakota Electric</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176"/>
        </w:trPr>
        <w:tc>
          <w:tcPr>
            <w:tcW w:w="2940" w:type="dxa"/>
            <w:vAlign w:val="bottom"/>
            <w:shd w:val="clear" w:color="auto" w:fill="CFF0FA"/>
          </w:tcPr>
          <w:p>
            <w:pPr>
              <w:ind w:left="20"/>
              <w:spacing w:after="0" w:line="176" w:lineRule="exact"/>
              <w:rPr>
                <w:sz w:val="20"/>
                <w:szCs w:val="20"/>
                <w:color w:val="auto"/>
              </w:rPr>
            </w:pPr>
            <w:r>
              <w:rPr>
                <w:rFonts w:ascii="Arial" w:cs="Arial" w:eastAsia="Arial" w:hAnsi="Arial"/>
                <w:sz w:val="16"/>
                <w:szCs w:val="16"/>
                <w:color w:val="auto"/>
              </w:rPr>
              <w:t>Tech Services</w:t>
            </w:r>
          </w:p>
        </w:tc>
        <w:tc>
          <w:tcPr>
            <w:tcW w:w="8300" w:type="dxa"/>
            <w:vAlign w:val="bottom"/>
            <w:shd w:val="clear" w:color="auto" w:fill="CFF0FA"/>
          </w:tcPr>
          <w:p>
            <w:pPr>
              <w:ind w:left="900"/>
              <w:spacing w:after="0" w:line="176"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w:t>
            </w:r>
          </w:p>
        </w:tc>
      </w:tr>
      <w:tr>
        <w:trPr>
          <w:trHeight w:val="189"/>
        </w:trPr>
        <w:tc>
          <w:tcPr>
            <w:tcW w:w="2940" w:type="dxa"/>
            <w:vAlign w:val="bottom"/>
            <w:shd w:val="clear" w:color="auto" w:fill="CFF0FA"/>
          </w:tcPr>
          <w:p>
            <w:pPr>
              <w:spacing w:after="0"/>
              <w:rPr>
                <w:sz w:val="16"/>
                <w:szCs w:val="16"/>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services to large industrial customers of our Electric Utilities, and 2) serve gas transportation</w:t>
            </w:r>
          </w:p>
        </w:tc>
      </w:tr>
      <w:tr>
        <w:trPr>
          <w:trHeight w:val="189"/>
        </w:trPr>
        <w:tc>
          <w:tcPr>
            <w:tcW w:w="2940" w:type="dxa"/>
            <w:vAlign w:val="bottom"/>
            <w:shd w:val="clear" w:color="auto" w:fill="CFF0FA"/>
          </w:tcPr>
          <w:p>
            <w:pPr>
              <w:spacing w:after="0"/>
              <w:rPr>
                <w:sz w:val="16"/>
                <w:szCs w:val="16"/>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customers throughout its service territory by constructing and maintaining customer-owned gas</w:t>
            </w:r>
          </w:p>
        </w:tc>
      </w:tr>
      <w:tr>
        <w:trPr>
          <w:trHeight w:val="217"/>
        </w:trPr>
        <w:tc>
          <w:tcPr>
            <w:tcW w:w="2940" w:type="dxa"/>
            <w:vAlign w:val="bottom"/>
            <w:shd w:val="clear" w:color="auto" w:fill="CFF0FA"/>
          </w:tcPr>
          <w:p>
            <w:pPr>
              <w:spacing w:after="0"/>
              <w:rPr>
                <w:sz w:val="18"/>
                <w:szCs w:val="18"/>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infrastructure facilities, typically through one-time contracts.</w:t>
            </w: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Utilities</w:t>
            </w:r>
          </w:p>
        </w:tc>
        <w:tc>
          <w:tcPr>
            <w:tcW w:w="8300" w:type="dxa"/>
            <w:vAlign w:val="bottom"/>
          </w:tcPr>
          <w:p>
            <w:pPr>
              <w:ind w:left="900"/>
              <w:spacing w:after="0"/>
              <w:rPr>
                <w:sz w:val="20"/>
                <w:szCs w:val="20"/>
                <w:color w:val="auto"/>
              </w:rPr>
            </w:pPr>
            <w:r>
              <w:rPr>
                <w:rFonts w:ascii="Arial" w:cs="Arial" w:eastAsia="Arial" w:hAnsi="Arial"/>
                <w:sz w:val="16"/>
                <w:szCs w:val="16"/>
                <w:color w:val="auto"/>
              </w:rPr>
              <w:t>Black Hills' Electric and Gas Utilities</w:t>
            </w:r>
          </w:p>
        </w:tc>
      </w:tr>
      <w:tr>
        <w:trPr>
          <w:trHeight w:val="175"/>
        </w:trPr>
        <w:tc>
          <w:tcPr>
            <w:tcW w:w="2940" w:type="dxa"/>
            <w:vAlign w:val="bottom"/>
            <w:shd w:val="clear" w:color="auto" w:fill="CFF0FA"/>
          </w:tcPr>
          <w:p>
            <w:pPr>
              <w:ind w:left="20"/>
              <w:spacing w:after="0" w:line="175" w:lineRule="exact"/>
              <w:rPr>
                <w:sz w:val="20"/>
                <w:szCs w:val="20"/>
                <w:color w:val="auto"/>
              </w:rPr>
            </w:pPr>
            <w:r>
              <w:rPr>
                <w:rFonts w:ascii="Arial" w:cs="Arial" w:eastAsia="Arial" w:hAnsi="Arial"/>
                <w:sz w:val="16"/>
                <w:szCs w:val="16"/>
                <w:color w:val="auto"/>
              </w:rPr>
              <w:t>Wind Capacity Factor</w:t>
            </w:r>
          </w:p>
        </w:tc>
        <w:tc>
          <w:tcPr>
            <w:tcW w:w="8300" w:type="dxa"/>
            <w:vAlign w:val="bottom"/>
            <w:shd w:val="clear" w:color="auto" w:fill="CFF0FA"/>
          </w:tcPr>
          <w:p>
            <w:pPr>
              <w:ind w:left="900"/>
              <w:spacing w:after="0" w:line="175" w:lineRule="exact"/>
              <w:rPr>
                <w:sz w:val="20"/>
                <w:szCs w:val="20"/>
                <w:color w:val="auto"/>
              </w:rPr>
            </w:pPr>
            <w:r>
              <w:rPr>
                <w:rFonts w:ascii="Arial" w:cs="Arial" w:eastAsia="Arial" w:hAnsi="Arial"/>
                <w:sz w:val="16"/>
                <w:szCs w:val="16"/>
                <w:color w:val="auto"/>
              </w:rPr>
              <w:t>Measures the amount of electricity a wind turbine produces in a given time period relative to its</w:t>
            </w:r>
          </w:p>
        </w:tc>
      </w:tr>
      <w:tr>
        <w:trPr>
          <w:trHeight w:val="217"/>
        </w:trPr>
        <w:tc>
          <w:tcPr>
            <w:tcW w:w="2940" w:type="dxa"/>
            <w:vAlign w:val="bottom"/>
            <w:shd w:val="clear" w:color="auto" w:fill="CFF0FA"/>
          </w:tcPr>
          <w:p>
            <w:pPr>
              <w:spacing w:after="0"/>
              <w:rPr>
                <w:sz w:val="18"/>
                <w:szCs w:val="18"/>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maximum potential.</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Winter Storm Uri</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February 2021 winter weather event that caused extreme cold temperatures in the central United</w:t>
            </w:r>
          </w:p>
        </w:tc>
      </w:tr>
      <w:tr>
        <w:trPr>
          <w:trHeight w:val="189"/>
        </w:trPr>
        <w:tc>
          <w:tcPr>
            <w:tcW w:w="294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States and led to unprecedented fluctuations in customer demand and market pricing for natural gas</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and energy.</w:t>
            </w:r>
          </w:p>
        </w:tc>
      </w:tr>
      <w:tr>
        <w:trPr>
          <w:trHeight w:val="204"/>
        </w:trPr>
        <w:tc>
          <w:tcPr>
            <w:tcW w:w="2940" w:type="dxa"/>
            <w:vAlign w:val="bottom"/>
            <w:shd w:val="clear" w:color="auto" w:fill="CFF0FA"/>
          </w:tcPr>
          <w:p>
            <w:pPr>
              <w:ind w:left="20"/>
              <w:spacing w:after="0"/>
              <w:rPr>
                <w:sz w:val="20"/>
                <w:szCs w:val="20"/>
                <w:color w:val="auto"/>
              </w:rPr>
            </w:pPr>
            <w:r>
              <w:rPr>
                <w:rFonts w:ascii="Arial" w:cs="Arial" w:eastAsia="Arial" w:hAnsi="Arial"/>
                <w:sz w:val="16"/>
                <w:szCs w:val="16"/>
                <w:color w:val="auto"/>
              </w:rPr>
              <w:t>WPSC</w:t>
            </w: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Wyoming Public Service Commission</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WRDC</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Wyodak Resources Development Corp., a coal mine which is a direct, wholly-owned subsidiary of</w:t>
            </w:r>
          </w:p>
        </w:tc>
      </w:tr>
      <w:tr>
        <w:trPr>
          <w:trHeight w:val="189"/>
        </w:trPr>
        <w:tc>
          <w:tcPr>
            <w:tcW w:w="294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Black Hills Non-regulated Holdings, providing coal supply primarily to five on-site, mine-mouth</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generating facilities at our Gillette Energy Complex (doing business as Black Hills Energy).</w:t>
            </w:r>
          </w:p>
        </w:tc>
      </w:tr>
      <w:tr>
        <w:trPr>
          <w:trHeight w:val="176"/>
        </w:trPr>
        <w:tc>
          <w:tcPr>
            <w:tcW w:w="2940" w:type="dxa"/>
            <w:vAlign w:val="bottom"/>
            <w:shd w:val="clear" w:color="auto" w:fill="CFF0FA"/>
          </w:tcPr>
          <w:p>
            <w:pPr>
              <w:ind w:left="20"/>
              <w:spacing w:after="0" w:line="176" w:lineRule="exact"/>
              <w:rPr>
                <w:sz w:val="20"/>
                <w:szCs w:val="20"/>
                <w:color w:val="auto"/>
              </w:rPr>
            </w:pPr>
            <w:r>
              <w:rPr>
                <w:rFonts w:ascii="Arial" w:cs="Arial" w:eastAsia="Arial" w:hAnsi="Arial"/>
                <w:sz w:val="16"/>
                <w:szCs w:val="16"/>
                <w:color w:val="auto"/>
              </w:rPr>
              <w:t>Wygen I</w:t>
            </w:r>
          </w:p>
        </w:tc>
        <w:tc>
          <w:tcPr>
            <w:tcW w:w="8300" w:type="dxa"/>
            <w:vAlign w:val="bottom"/>
            <w:shd w:val="clear" w:color="auto" w:fill="CFF0FA"/>
          </w:tcPr>
          <w:p>
            <w:pPr>
              <w:ind w:left="900"/>
              <w:spacing w:after="0" w:line="176" w:lineRule="exact"/>
              <w:rPr>
                <w:sz w:val="20"/>
                <w:szCs w:val="20"/>
                <w:color w:val="auto"/>
              </w:rPr>
            </w:pPr>
            <w:r>
              <w:rPr>
                <w:rFonts w:ascii="Arial" w:cs="Arial" w:eastAsia="Arial" w:hAnsi="Arial"/>
                <w:sz w:val="16"/>
                <w:szCs w:val="16"/>
                <w:color w:val="auto"/>
              </w:rPr>
              <w:t>A mine-mouth, coal-fired generating facility with a total capacity of 90 MW located at our Gillette</w:t>
            </w:r>
          </w:p>
        </w:tc>
      </w:tr>
      <w:tr>
        <w:trPr>
          <w:trHeight w:val="189"/>
        </w:trPr>
        <w:tc>
          <w:tcPr>
            <w:tcW w:w="2940" w:type="dxa"/>
            <w:vAlign w:val="bottom"/>
            <w:shd w:val="clear" w:color="auto" w:fill="CFF0FA"/>
          </w:tcPr>
          <w:p>
            <w:pPr>
              <w:spacing w:after="0"/>
              <w:rPr>
                <w:sz w:val="16"/>
                <w:szCs w:val="16"/>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Energy Complex. Black Hills Wyoming owns 76.5% of the facility and Municipal Energy Agency of</w:t>
            </w:r>
          </w:p>
        </w:tc>
      </w:tr>
      <w:tr>
        <w:trPr>
          <w:trHeight w:val="217"/>
        </w:trPr>
        <w:tc>
          <w:tcPr>
            <w:tcW w:w="2940" w:type="dxa"/>
            <w:vAlign w:val="bottom"/>
            <w:shd w:val="clear" w:color="auto" w:fill="CFF0FA"/>
          </w:tcPr>
          <w:p>
            <w:pPr>
              <w:spacing w:after="0"/>
              <w:rPr>
                <w:sz w:val="18"/>
                <w:szCs w:val="18"/>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Nebraska (MEAN) owns the remaining 23.5%.</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Wyoming Electric</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Cheyenne Light, Fuel and Power Company, a direct, wholly-owned subsidiary of Black Hills</w:t>
            </w:r>
          </w:p>
        </w:tc>
      </w:tr>
      <w:tr>
        <w:trPr>
          <w:trHeight w:val="189"/>
        </w:trPr>
        <w:tc>
          <w:tcPr>
            <w:tcW w:w="294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Corporation, providing electric service to customers in the Cheyenne, Wyoming area (doing business</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as Black Hills Energy).</w:t>
            </w:r>
          </w:p>
        </w:tc>
      </w:tr>
      <w:tr>
        <w:trPr>
          <w:trHeight w:val="176"/>
        </w:trPr>
        <w:tc>
          <w:tcPr>
            <w:tcW w:w="2940" w:type="dxa"/>
            <w:vAlign w:val="bottom"/>
            <w:shd w:val="clear" w:color="auto" w:fill="CFF0FA"/>
          </w:tcPr>
          <w:p>
            <w:pPr>
              <w:ind w:left="20"/>
              <w:spacing w:after="0" w:line="176" w:lineRule="exact"/>
              <w:rPr>
                <w:sz w:val="20"/>
                <w:szCs w:val="20"/>
                <w:color w:val="auto"/>
              </w:rPr>
            </w:pPr>
            <w:r>
              <w:rPr>
                <w:rFonts w:ascii="Arial" w:cs="Arial" w:eastAsia="Arial" w:hAnsi="Arial"/>
                <w:sz w:val="16"/>
                <w:szCs w:val="16"/>
                <w:color w:val="auto"/>
              </w:rPr>
              <w:t>Wyoming Gas</w:t>
            </w:r>
          </w:p>
        </w:tc>
        <w:tc>
          <w:tcPr>
            <w:tcW w:w="8300" w:type="dxa"/>
            <w:vAlign w:val="bottom"/>
            <w:shd w:val="clear" w:color="auto" w:fill="CFF0FA"/>
          </w:tcPr>
          <w:p>
            <w:pPr>
              <w:ind w:left="900"/>
              <w:spacing w:after="0" w:line="176" w:lineRule="exact"/>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217"/>
        </w:trPr>
        <w:tc>
          <w:tcPr>
            <w:tcW w:w="2940" w:type="dxa"/>
            <w:vAlign w:val="bottom"/>
            <w:shd w:val="clear" w:color="auto" w:fill="CFF0FA"/>
          </w:tcPr>
          <w:p>
            <w:pPr>
              <w:spacing w:after="0"/>
              <w:rPr>
                <w:sz w:val="18"/>
                <w:szCs w:val="18"/>
                <w:color w:val="auto"/>
              </w:rPr>
            </w:pPr>
          </w:p>
        </w:tc>
        <w:tc>
          <w:tcPr>
            <w:tcW w:w="8300" w:type="dxa"/>
            <w:vAlign w:val="bottom"/>
            <w:shd w:val="clear" w:color="auto" w:fill="CFF0FA"/>
          </w:tcPr>
          <w:p>
            <w:pPr>
              <w:ind w:left="90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Wyoming Integrity Rider</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The Wyoming Integrity Rider (WIR) is a WPSC-approved tariff that allows us to recover costs from</w:t>
            </w:r>
          </w:p>
        </w:tc>
      </w:tr>
      <w:tr>
        <w:trPr>
          <w:trHeight w:val="189"/>
        </w:trPr>
        <w:tc>
          <w:tcPr>
            <w:tcW w:w="294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customers associated with ongoing infrastructure replacement, gas meter and yard line replacement</w:t>
            </w:r>
          </w:p>
        </w:tc>
      </w:tr>
      <w:tr>
        <w:trPr>
          <w:trHeight w:val="203"/>
        </w:trPr>
        <w:tc>
          <w:tcPr>
            <w:tcW w:w="2940" w:type="dxa"/>
            <w:vAlign w:val="bottom"/>
          </w:tcPr>
          <w:p>
            <w:pPr>
              <w:spacing w:after="0"/>
              <w:rPr>
                <w:sz w:val="17"/>
                <w:szCs w:val="17"/>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projects driven by federal regulation.</w:t>
            </w:r>
          </w:p>
        </w:tc>
      </w:tr>
      <w:tr>
        <w:trPr>
          <w:trHeight w:val="215"/>
        </w:trPr>
        <w:tc>
          <w:tcPr>
            <w:tcW w:w="2940" w:type="dxa"/>
            <w:vAlign w:val="bottom"/>
          </w:tcPr>
          <w:p>
            <w:pPr>
              <w:spacing w:after="0"/>
              <w:rPr>
                <w:sz w:val="18"/>
                <w:szCs w:val="18"/>
                <w:color w:val="auto"/>
              </w:rPr>
            </w:pPr>
          </w:p>
        </w:tc>
        <w:tc>
          <w:tcPr>
            <w:tcW w:w="8300" w:type="dxa"/>
            <w:vAlign w:val="bottom"/>
          </w:tcPr>
          <w:p>
            <w:pPr>
              <w:ind w:left="2640"/>
              <w:spacing w:after="0"/>
              <w:rPr>
                <w:sz w:val="20"/>
                <w:szCs w:val="20"/>
                <w:color w:val="auto"/>
              </w:rPr>
            </w:pPr>
            <w:r>
              <w:rPr>
                <w:rFonts w:ascii="Arial" w:cs="Arial" w:eastAsia="Arial" w:hAnsi="Arial"/>
                <w:sz w:val="16"/>
                <w:szCs w:val="16"/>
                <w:color w:val="auto"/>
              </w:rPr>
              <w:t>5</w:t>
            </w:r>
          </w:p>
        </w:tc>
      </w:tr>
      <w:tr>
        <w:trPr>
          <w:trHeight w:val="751"/>
        </w:trPr>
        <w:tc>
          <w:tcPr>
            <w:tcW w:w="29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2023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-144145</wp:posOffset>
            </wp:positionV>
            <wp:extent cx="354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142" w:lineRule="exact"/>
        <w:rPr>
          <w:sz w:val="20"/>
          <w:szCs w:val="20"/>
          <w:color w:val="auto"/>
        </w:rPr>
      </w:pPr>
    </w:p>
    <w:p>
      <w:pPr>
        <w:ind w:left="380" w:right="2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4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on our strategy;</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execute our financing plans;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changing interest rates;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achieve our greenhouse gas emissions intensity reduction goals;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Board of Directors’ approval of any future quarterly dividends;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future governmental regulation;</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inflation and volatile energy prices;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sufficient insurance coverage at reasonable costs and whether such coverage will protect us against significant losses; and</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Other factors discussed from time to time in our filings with the SEC.</w:t>
      </w:r>
    </w:p>
    <w:p>
      <w:pPr>
        <w:spacing w:after="0" w:line="20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88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1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94"/>
        </w:trPr>
        <w:tc>
          <w:tcPr>
            <w:tcW w:w="100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288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INFORMATION</w:t>
            </w: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00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88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STATEMENTS</w:t>
            </w: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4"/>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96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BLACK HILLS CORPORATION</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900" w:type="dxa"/>
            <w:vAlign w:val="bottom"/>
            <w:gridSpan w:val="4"/>
          </w:tcPr>
          <w:p>
            <w:pPr>
              <w:jc w:val="center"/>
              <w:ind w:right="339"/>
              <w:spacing w:after="0"/>
              <w:rPr>
                <w:sz w:val="20"/>
                <w:szCs w:val="20"/>
                <w:color w:val="auto"/>
              </w:rPr>
            </w:pPr>
            <w:r>
              <w:rPr>
                <w:rFonts w:ascii="Arial" w:cs="Arial" w:eastAsia="Arial" w:hAnsi="Arial"/>
                <w:sz w:val="16"/>
                <w:szCs w:val="16"/>
                <w:b w:val="1"/>
                <w:bCs w:val="1"/>
                <w:color w:val="auto"/>
                <w:w w:val="99"/>
              </w:rPr>
              <w:t>CONSOLIDATED STATEMENTS OF INCOME</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58"/>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gridSpan w:val="2"/>
          </w:tcPr>
          <w:p>
            <w:pPr>
              <w:jc w:val="center"/>
              <w:ind w:right="31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209"/>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color w:val="auto"/>
              </w:rPr>
              <w:t>(in millions, except per share amounts)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7"/>
        </w:trPr>
        <w:tc>
          <w:tcPr>
            <w:tcW w:w="1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Borders>
              <w:right w:val="single" w:sz="8" w:color="CFF0FC"/>
            </w:tcBorders>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401.6</w:t>
            </w:r>
          </w:p>
        </w:tc>
        <w:tc>
          <w:tcPr>
            <w:tcW w:w="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407.1</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1,530.6</w:t>
            </w: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1,739.6</w:t>
            </w:r>
          </w:p>
        </w:tc>
      </w:tr>
      <w:tr>
        <w:trPr>
          <w:trHeight w:val="209"/>
        </w:trPr>
        <w:tc>
          <w:tcPr>
            <w:tcW w:w="3880" w:type="dxa"/>
            <w:vAlign w:val="bottom"/>
            <w:tcBorders>
              <w:top w:val="single" w:sz="8" w:color="CFF0FC"/>
            </w:tcBorders>
            <w:gridSpan w:val="3"/>
          </w:tcPr>
          <w:p>
            <w:pPr>
              <w:spacing w:after="0"/>
              <w:rPr>
                <w:sz w:val="18"/>
                <w:szCs w:val="18"/>
                <w:color w:val="auto"/>
              </w:rPr>
            </w:pPr>
          </w:p>
        </w:tc>
        <w:tc>
          <w:tcPr>
            <w:tcW w:w="152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38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94.5</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102.2</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518.2</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749.8</w:t>
            </w:r>
          </w:p>
        </w:tc>
      </w:tr>
      <w:tr>
        <w:trPr>
          <w:trHeight w:val="217"/>
        </w:trPr>
        <w:tc>
          <w:tcPr>
            <w:tcW w:w="38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1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145.6</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125.7</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420.8</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412.5</w:t>
            </w:r>
          </w:p>
        </w:tc>
      </w:tr>
      <w:tr>
        <w:trPr>
          <w:trHeight w:val="215"/>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191.2</w:t>
            </w:r>
          </w:p>
        </w:tc>
      </w:tr>
      <w:tr>
        <w:trPr>
          <w:trHeight w:val="217"/>
        </w:trPr>
        <w:tc>
          <w:tcPr>
            <w:tcW w:w="38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15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16.4</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16.5</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50.0</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49.9</w:t>
            </w:r>
          </w:p>
        </w:tc>
      </w:tr>
      <w:tr>
        <w:trPr>
          <w:trHeight w:val="209"/>
        </w:trPr>
        <w:tc>
          <w:tcPr>
            <w:tcW w:w="3880" w:type="dxa"/>
            <w:vAlign w:val="bottom"/>
            <w:gridSpan w:val="3"/>
          </w:tcPr>
          <w:p>
            <w:pPr>
              <w:ind w:left="200"/>
              <w:spacing w:after="0"/>
              <w:rPr>
                <w:sz w:val="20"/>
                <w:szCs w:val="20"/>
                <w:color w:val="auto"/>
              </w:rPr>
            </w:pPr>
            <w:r>
              <w:rPr>
                <w:rFonts w:ascii="Arial" w:cs="Arial" w:eastAsia="Arial" w:hAnsi="Arial"/>
                <w:sz w:val="16"/>
                <w:szCs w:val="16"/>
                <w:color w:val="auto"/>
              </w:rPr>
              <w:t>Total operating expenses</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325.8</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309.3</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1,190.8</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1,403.4</w:t>
            </w:r>
          </w:p>
        </w:tc>
      </w:tr>
      <w:tr>
        <w:trPr>
          <w:trHeight w:val="217"/>
        </w:trPr>
        <w:tc>
          <w:tcPr>
            <w:tcW w:w="3880" w:type="dxa"/>
            <w:vAlign w:val="bottom"/>
            <w:gridSpan w:val="3"/>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97.8</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339.8</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336.2</w:t>
            </w:r>
          </w:p>
        </w:tc>
      </w:tr>
      <w:tr>
        <w:trPr>
          <w:trHeight w:val="217"/>
        </w:trPr>
        <w:tc>
          <w:tcPr>
            <w:tcW w:w="3880" w:type="dxa"/>
            <w:vAlign w:val="bottom"/>
            <w:gridSpan w:val="3"/>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Other income (expense):</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38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 incurred, net of amounts capitalized</w:t>
            </w:r>
          </w:p>
        </w:tc>
        <w:tc>
          <w:tcPr>
            <w:tcW w:w="1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(50.6 )</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(44.5 )</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(144.8 )</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(131.8 )</w:t>
            </w:r>
          </w:p>
        </w:tc>
      </w:tr>
      <w:tr>
        <w:trPr>
          <w:trHeight w:val="215"/>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5.8</w:t>
            </w:r>
          </w:p>
        </w:tc>
      </w:tr>
      <w:tr>
        <w:trPr>
          <w:trHeight w:val="217"/>
        </w:trPr>
        <w:tc>
          <w:tcPr>
            <w:tcW w:w="38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5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(1.7 )</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r>
      <w:tr>
        <w:trPr>
          <w:trHeight w:val="210"/>
        </w:trPr>
        <w:tc>
          <w:tcPr>
            <w:tcW w:w="3880" w:type="dxa"/>
            <w:vAlign w:val="bottom"/>
            <w:gridSpan w:val="3"/>
          </w:tcPr>
          <w:p>
            <w:pPr>
              <w:ind w:left="200"/>
              <w:spacing w:after="0"/>
              <w:rPr>
                <w:sz w:val="20"/>
                <w:szCs w:val="20"/>
                <w:color w:val="auto"/>
              </w:rPr>
            </w:pPr>
            <w:r>
              <w:rPr>
                <w:rFonts w:ascii="Arial" w:cs="Arial" w:eastAsia="Arial" w:hAnsi="Arial"/>
                <w:sz w:val="16"/>
                <w:szCs w:val="16"/>
                <w:color w:val="auto"/>
              </w:rPr>
              <w:t>Total other income (expense)</w:t>
            </w:r>
          </w:p>
        </w:tc>
        <w:tc>
          <w:tcPr>
            <w:tcW w:w="15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(46.5 )</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(41.6 )</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(133.6 )</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(127.5 )</w:t>
            </w:r>
          </w:p>
        </w:tc>
      </w:tr>
      <w:tr>
        <w:trPr>
          <w:trHeight w:val="209"/>
        </w:trPr>
        <w:tc>
          <w:tcPr>
            <w:tcW w:w="3880" w:type="dxa"/>
            <w:vAlign w:val="bottom"/>
            <w:gridSpan w:val="3"/>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Income before income taxes</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56.2</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206.2</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208.7</w:t>
            </w:r>
          </w:p>
        </w:tc>
      </w:tr>
      <w:tr>
        <w:trPr>
          <w:trHeight w:val="217"/>
        </w:trPr>
        <w:tc>
          <w:tcPr>
            <w:tcW w:w="38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5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(2.9 )</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(7.4 )</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(23.6 )</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(16.0 )</w:t>
            </w:r>
          </w:p>
        </w:tc>
      </w:tr>
      <w:tr>
        <w:trPr>
          <w:trHeight w:val="209"/>
        </w:trPr>
        <w:tc>
          <w:tcPr>
            <w:tcW w:w="1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182.6</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192.7</w:t>
            </w:r>
          </w:p>
        </w:tc>
      </w:tr>
      <w:tr>
        <w:trPr>
          <w:trHeight w:val="217"/>
        </w:trPr>
        <w:tc>
          <w:tcPr>
            <w:tcW w:w="38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5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(3.4 )</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(7.6 )</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(10.2 )</w:t>
            </w:r>
          </w:p>
        </w:tc>
      </w:tr>
      <w:tr>
        <w:trPr>
          <w:trHeight w:val="210"/>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Net income available for common stock</w:t>
            </w:r>
          </w:p>
        </w:tc>
        <w:tc>
          <w:tcPr>
            <w:tcW w:w="238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940" w:type="dxa"/>
            <w:vAlign w:val="bottom"/>
          </w:tcPr>
          <w:p>
            <w:pPr>
              <w:ind w:left="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182.5</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880" w:type="dxa"/>
            <w:vAlign w:val="bottom"/>
            <w:gridSpan w:val="3"/>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5"/>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Earnings per share of common stock:</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388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Earnings per share, Basic</w:t>
            </w:r>
          </w:p>
        </w:tc>
        <w:tc>
          <w:tcPr>
            <w:tcW w:w="15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0.35</w:t>
            </w:r>
          </w:p>
        </w:tc>
        <w:tc>
          <w:tcPr>
            <w:tcW w:w="9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0.67</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2.53</w:t>
            </w: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2.74</w:t>
            </w:r>
          </w:p>
        </w:tc>
      </w:tr>
      <w:tr>
        <w:trPr>
          <w:trHeight w:val="197"/>
        </w:trPr>
        <w:tc>
          <w:tcPr>
            <w:tcW w:w="3880" w:type="dxa"/>
            <w:vAlign w:val="bottom"/>
            <w:gridSpan w:val="3"/>
          </w:tcPr>
          <w:p>
            <w:pPr>
              <w:ind w:left="120"/>
              <w:spacing w:after="0"/>
              <w:rPr>
                <w:sz w:val="20"/>
                <w:szCs w:val="20"/>
                <w:color w:val="auto"/>
              </w:rPr>
            </w:pPr>
            <w:r>
              <w:rPr>
                <w:rFonts w:ascii="Arial" w:cs="Arial" w:eastAsia="Arial" w:hAnsi="Arial"/>
                <w:sz w:val="16"/>
                <w:szCs w:val="16"/>
                <w:color w:val="auto"/>
              </w:rPr>
              <w:t>Earnings per share, Diluted</w:t>
            </w:r>
          </w:p>
        </w:tc>
        <w:tc>
          <w:tcPr>
            <w:tcW w:w="238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940" w:type="dxa"/>
            <w:vAlign w:val="bottom"/>
          </w:tcPr>
          <w:p>
            <w:pPr>
              <w:ind w:left="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0.67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2.74</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880" w:type="dxa"/>
            <w:vAlign w:val="bottom"/>
            <w:gridSpan w:val="3"/>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5"/>
        </w:trPr>
        <w:tc>
          <w:tcPr>
            <w:tcW w:w="3880" w:type="dxa"/>
            <w:vAlign w:val="bottom"/>
            <w:gridSpan w:val="3"/>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CFF0FC"/>
              <w:right w:val="single" w:sz="8" w:color="CFF0FC"/>
            </w:tcBorders>
            <w:shd w:val="clear" w:color="auto" w:fill="CFF0FC"/>
          </w:tcPr>
          <w:p>
            <w:pPr>
              <w:spacing w:after="0"/>
              <w:rPr>
                <w:sz w:val="22"/>
                <w:szCs w:val="22"/>
                <w:color w:val="auto"/>
              </w:rPr>
            </w:pPr>
          </w:p>
        </w:tc>
        <w:tc>
          <w:tcPr>
            <w:tcW w:w="250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70.5</w:t>
            </w:r>
          </w:p>
        </w:tc>
        <w:tc>
          <w:tcPr>
            <w:tcW w:w="94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67.3</w:t>
            </w: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69.2</w:t>
            </w: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66.7</w:t>
            </w:r>
          </w:p>
        </w:tc>
      </w:tr>
      <w:tr>
        <w:trPr>
          <w:trHeight w:val="197"/>
        </w:trPr>
        <w:tc>
          <w:tcPr>
            <w:tcW w:w="10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70.6</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67.4</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66.7</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63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57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BLACK HILLS CORPORATION</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9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3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00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8"/>
              </w:rPr>
              <w:t>(in millions)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26.4</w:t>
            </w: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48.8</w:t>
            </w:r>
          </w:p>
        </w:tc>
        <w:tc>
          <w:tcPr>
            <w:tcW w:w="3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182.6</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Reclassification adjustments of benefit plan liability - net loss</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(net of tax of $0.0, $0.0, $0.0, and $(0.1), respectively)</w:t>
            </w:r>
          </w:p>
        </w:tc>
        <w:tc>
          <w:tcPr>
            <w:tcW w:w="78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63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Derivative instruments designated as cash flow hedges:</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Reclassification of net realized (gains) losses on settled/amortized interest rate</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swaps (net of tax of $(0.2), $(0.2), $(0.5), and $(0.5), respectively)</w:t>
            </w:r>
          </w:p>
        </w:tc>
        <w:tc>
          <w:tcPr>
            <w:tcW w:w="78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76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3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630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Net unrealized gains (losses) on commodity derivatives</w:t>
            </w: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0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(net of tax of $0.0, $0.1, $0.0, and $0.3, respectively)</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188"/>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Reclassification of net realized (gains) losses on settled commodity derivatives</w:t>
            </w:r>
          </w:p>
        </w:tc>
        <w:tc>
          <w:tcPr>
            <w:tcW w:w="780" w:type="dxa"/>
            <w:vAlign w:val="bottom"/>
          </w:tcPr>
          <w:p>
            <w:pPr>
              <w:spacing w:after="0"/>
              <w:rPr>
                <w:sz w:val="16"/>
                <w:szCs w:val="16"/>
                <w:color w:val="auto"/>
              </w:rPr>
            </w:pPr>
          </w:p>
        </w:tc>
        <w:tc>
          <w:tcPr>
            <w:tcW w:w="4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(net of tax of $(0.0), $0.0, $(0.7), and $(0.6), respectively)</w:t>
            </w: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income, net of tax</w:t>
            </w: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7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0.4</w:t>
            </w: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Comprehensive income</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27.1</w:t>
            </w: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49.2</w:t>
            </w: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186.8</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5"/>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(7.6 )</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25.1</w:t>
            </w: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45.8</w:t>
            </w:r>
          </w:p>
        </w:tc>
        <w:tc>
          <w:tcPr>
            <w:tcW w:w="3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179.2</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-4445</wp:posOffset>
            </wp:positionV>
            <wp:extent cx="302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37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370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BLACK HILLS CORPORATION</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70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CONSOLIDATED BALANCE SHEETS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85"/>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As of</w:t>
            </w:r>
          </w:p>
        </w:tc>
        <w:tc>
          <w:tcPr>
            <w:tcW w:w="218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4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September 30, 2024</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December 31, 2023</w:t>
            </w:r>
          </w:p>
        </w:tc>
      </w:tr>
      <w:tr>
        <w:trPr>
          <w:trHeight w:val="208"/>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(in millions)</w:t>
            </w:r>
          </w:p>
        </w:tc>
        <w:tc>
          <w:tcPr>
            <w:tcW w:w="2180" w:type="dxa"/>
            <w:vAlign w:val="bottom"/>
          </w:tcPr>
          <w:p>
            <w:pPr>
              <w:spacing w:after="0"/>
              <w:rPr>
                <w:sz w:val="18"/>
                <w:szCs w:val="18"/>
                <w:color w:val="auto"/>
              </w:rPr>
            </w:pPr>
          </w:p>
        </w:tc>
      </w:tr>
      <w:tr>
        <w:trPr>
          <w:trHeight w:val="217"/>
        </w:trPr>
        <w:tc>
          <w:tcPr>
            <w:tcW w:w="136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Arial" w:cs="Arial" w:eastAsia="Arial" w:hAnsi="Arial"/>
                <w:sz w:val="16"/>
                <w:szCs w:val="16"/>
                <w:b w:val="1"/>
                <w:bCs w:val="1"/>
                <w:color w:val="auto"/>
              </w:rPr>
              <w:t>ASSETS</w:t>
            </w: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assets:</w:t>
            </w: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3700" w:type="dxa"/>
            <w:vAlign w:val="bottom"/>
            <w:gridSpan w:val="2"/>
          </w:tcPr>
          <w:p>
            <w:pPr>
              <w:jc w:val="right"/>
              <w:ind w:right="1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86.6</w:t>
            </w: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Restricted cash and equivalents</w:t>
            </w: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w:t>
            </w: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Accounts receivable, net</w:t>
            </w: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205.4</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350.3</w:t>
            </w: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Materials, supplies and fuel</w:t>
            </w: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155.4</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160.9</w:t>
            </w: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Income tax receivable, net</w:t>
            </w: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18.5</w:t>
            </w: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assets, current</w:t>
            </w: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156.1</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175.7</w:t>
            </w:r>
          </w:p>
        </w:tc>
      </w:tr>
      <w:tr>
        <w:trPr>
          <w:trHeight w:val="216"/>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Other current assets</w:t>
            </w:r>
          </w:p>
        </w:tc>
        <w:tc>
          <w:tcPr>
            <w:tcW w:w="22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w:t>
            </w:r>
          </w:p>
        </w:tc>
      </w:tr>
      <w:tr>
        <w:trPr>
          <w:trHeight w:val="210"/>
        </w:trPr>
        <w:tc>
          <w:tcPr>
            <w:tcW w:w="37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599.5</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826.6</w:t>
            </w:r>
          </w:p>
        </w:tc>
      </w:tr>
      <w:tr>
        <w:trPr>
          <w:trHeight w:val="216"/>
        </w:trPr>
        <w:tc>
          <w:tcPr>
            <w:tcW w:w="376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9,383.0</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8,917.2</w:t>
            </w:r>
          </w:p>
        </w:tc>
      </w:tr>
      <w:tr>
        <w:trPr>
          <w:trHeight w:val="216"/>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Less: accumulated depreciation</w:t>
            </w:r>
          </w:p>
        </w:tc>
        <w:tc>
          <w:tcPr>
            <w:tcW w:w="22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(1,913.4 )</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(1,797.9 )</w:t>
            </w:r>
          </w:p>
        </w:tc>
      </w:tr>
      <w:tr>
        <w:trPr>
          <w:trHeight w:val="209"/>
        </w:trPr>
        <w:tc>
          <w:tcPr>
            <w:tcW w:w="37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property, plant and equipment, net</w:t>
            </w:r>
          </w:p>
        </w:tc>
        <w:tc>
          <w:tcPr>
            <w:tcW w:w="2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7,469.6</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7,119.3</w:t>
            </w:r>
          </w:p>
        </w:tc>
      </w:tr>
      <w:tr>
        <w:trPr>
          <w:trHeight w:val="210"/>
        </w:trPr>
        <w:tc>
          <w:tcPr>
            <w:tcW w:w="376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Goodwill</w:t>
            </w: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1,299.5</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1,299.5</w:t>
            </w: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Intangible assets, net</w:t>
            </w: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Regulatory assets, non-current</w:t>
            </w: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276.1</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304.4</w:t>
            </w:r>
          </w:p>
        </w:tc>
      </w:tr>
      <w:tr>
        <w:trPr>
          <w:trHeight w:val="217"/>
        </w:trPr>
        <w:tc>
          <w:tcPr>
            <w:tcW w:w="37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assets, non-current</w:t>
            </w:r>
          </w:p>
        </w:tc>
        <w:tc>
          <w:tcPr>
            <w:tcW w:w="2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66.1</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62.2</w:t>
            </w:r>
          </w:p>
        </w:tc>
      </w:tr>
      <w:tr>
        <w:trPr>
          <w:trHeight w:val="210"/>
        </w:trPr>
        <w:tc>
          <w:tcPr>
            <w:tcW w:w="3760" w:type="dxa"/>
            <w:vAlign w:val="bottom"/>
            <w:gridSpan w:val="2"/>
          </w:tcPr>
          <w:p>
            <w:pPr>
              <w:ind w:left="380"/>
              <w:spacing w:after="0"/>
              <w:rPr>
                <w:sz w:val="20"/>
                <w:szCs w:val="20"/>
                <w:color w:val="auto"/>
              </w:rPr>
            </w:pPr>
            <w:r>
              <w:rPr>
                <w:rFonts w:ascii="Arial" w:cs="Arial" w:eastAsia="Arial" w:hAnsi="Arial"/>
                <w:sz w:val="16"/>
                <w:szCs w:val="16"/>
                <w:color w:val="auto"/>
              </w:rPr>
              <w:t>Total other assets, non-current</w:t>
            </w:r>
          </w:p>
        </w:tc>
        <w:tc>
          <w:tcPr>
            <w:tcW w:w="22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1,649.6</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1,674.5</w:t>
            </w:r>
          </w:p>
        </w:tc>
      </w:tr>
      <w:tr>
        <w:trPr>
          <w:trHeight w:val="210"/>
        </w:trPr>
        <w:tc>
          <w:tcPr>
            <w:tcW w:w="3760" w:type="dxa"/>
            <w:vAlign w:val="bottom"/>
            <w:gridSpan w:val="2"/>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3700" w:type="dxa"/>
            <w:vAlign w:val="bottom"/>
            <w:gridSpan w:val="2"/>
          </w:tcPr>
          <w:p>
            <w:pPr>
              <w:jc w:val="right"/>
              <w:ind w:right="1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9,718.7</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9,620.4</w:t>
            </w:r>
          </w:p>
        </w:tc>
      </w:tr>
      <w:tr>
        <w:trPr>
          <w:trHeight w:val="20"/>
        </w:trPr>
        <w:tc>
          <w:tcPr>
            <w:tcW w:w="1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338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rPr>
              <w:t>BLACK HILLS CORPORATION</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3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rPr>
              <w:t>CONSOLIDATED BALANCE SHEETS</w:t>
            </w: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23"/>
        </w:trPr>
        <w:tc>
          <w:tcPr>
            <w:tcW w:w="13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38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rPr>
              <w:t>(Continued)</w:t>
            </w: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8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1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As of</w:t>
            </w:r>
          </w:p>
        </w:tc>
        <w:tc>
          <w:tcPr>
            <w:tcW w:w="218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4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September 30, 2024</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December 31, 2023</w:t>
            </w:r>
          </w:p>
        </w:tc>
      </w:tr>
      <w:tr>
        <w:trPr>
          <w:trHeight w:val="208"/>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gridSpan w:val="2"/>
          </w:tcPr>
          <w:p>
            <w:pPr>
              <w:jc w:val="right"/>
              <w:ind w:right="19"/>
              <w:spacing w:after="0"/>
              <w:rPr>
                <w:sz w:val="20"/>
                <w:szCs w:val="20"/>
                <w:color w:val="auto"/>
              </w:rPr>
            </w:pPr>
            <w:r>
              <w:rPr>
                <w:rFonts w:ascii="Arial" w:cs="Arial" w:eastAsia="Arial" w:hAnsi="Arial"/>
                <w:sz w:val="16"/>
                <w:szCs w:val="16"/>
                <w:color w:val="auto"/>
              </w:rPr>
              <w:t>(in millions)</w:t>
            </w:r>
          </w:p>
        </w:tc>
        <w:tc>
          <w:tcPr>
            <w:tcW w:w="2180" w:type="dxa"/>
            <w:vAlign w:val="bottom"/>
          </w:tcPr>
          <w:p>
            <w:pPr>
              <w:spacing w:after="0"/>
              <w:rPr>
                <w:sz w:val="18"/>
                <w:szCs w:val="18"/>
                <w:color w:val="auto"/>
              </w:rPr>
            </w:pPr>
          </w:p>
        </w:tc>
      </w:tr>
      <w:tr>
        <w:trPr>
          <w:trHeight w:val="217"/>
        </w:trPr>
        <w:tc>
          <w:tcPr>
            <w:tcW w:w="1360" w:type="dxa"/>
            <w:vAlign w:val="bottom"/>
          </w:tcPr>
          <w:p>
            <w:pPr>
              <w:spacing w:after="0"/>
              <w:rPr>
                <w:sz w:val="18"/>
                <w:szCs w:val="18"/>
                <w:color w:val="auto"/>
              </w:rPr>
            </w:pPr>
          </w:p>
        </w:tc>
        <w:tc>
          <w:tcPr>
            <w:tcW w:w="2740" w:type="dxa"/>
            <w:vAlign w:val="bottom"/>
          </w:tcPr>
          <w:p>
            <w:pPr>
              <w:ind w:left="640"/>
              <w:spacing w:after="0"/>
              <w:rPr>
                <w:sz w:val="20"/>
                <w:szCs w:val="20"/>
                <w:color w:val="auto"/>
              </w:rPr>
            </w:pPr>
            <w:r>
              <w:rPr>
                <w:rFonts w:ascii="Arial" w:cs="Arial" w:eastAsia="Arial" w:hAnsi="Arial"/>
                <w:sz w:val="16"/>
                <w:szCs w:val="16"/>
                <w:b w:val="1"/>
                <w:bCs w:val="1"/>
                <w:color w:val="auto"/>
              </w:rPr>
              <w:t>LIABILITIES AND EQUITY</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3380" w:type="dxa"/>
            <w:vAlign w:val="bottom"/>
            <w:gridSpan w:val="2"/>
          </w:tcPr>
          <w:p>
            <w:pPr>
              <w:jc w:val="right"/>
              <w:ind w:right="13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186.4</w:t>
            </w: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291.7</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293.3</w:t>
            </w: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Derivative liabilities, current</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6.5</w:t>
            </w: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liabilities, current</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86.2</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98.9</w:t>
            </w: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Notes payable</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Current maturities of long-term debt</w:t>
            </w:r>
          </w:p>
        </w:tc>
        <w:tc>
          <w:tcPr>
            <w:tcW w:w="18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600.0</w:t>
            </w:r>
          </w:p>
        </w:tc>
      </w:tr>
      <w:tr>
        <w:trPr>
          <w:trHeight w:val="209"/>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current liabilities</w:t>
            </w:r>
          </w:p>
        </w:tc>
        <w:tc>
          <w:tcPr>
            <w:tcW w:w="18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536.2</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1,185.1</w:t>
            </w:r>
          </w:p>
        </w:tc>
      </w:tr>
      <w:tr>
        <w:trPr>
          <w:trHeight w:val="210"/>
        </w:trPr>
        <w:tc>
          <w:tcPr>
            <w:tcW w:w="4100" w:type="dxa"/>
            <w:vAlign w:val="bottom"/>
            <w:gridSpan w:val="2"/>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4,248.8</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3,801.2</w:t>
            </w:r>
          </w:p>
        </w:tc>
      </w:tr>
      <w:tr>
        <w:trPr>
          <w:trHeight w:val="209"/>
        </w:trPr>
        <w:tc>
          <w:tcPr>
            <w:tcW w:w="4100" w:type="dxa"/>
            <w:vAlign w:val="bottom"/>
            <w:gridSpan w:val="2"/>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Deferred income tax liabilities, net</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603.3</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548.0</w:t>
            </w: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Regulatory liabilities, non-current</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470.8</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467.7</w:t>
            </w: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Benefit plan liabilities</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122.9</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123.9</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Other deferred credits and other liabilities</w:t>
            </w:r>
          </w:p>
        </w:tc>
        <w:tc>
          <w:tcPr>
            <w:tcW w:w="18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204.5</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188.7</w:t>
            </w:r>
          </w:p>
        </w:tc>
      </w:tr>
      <w:tr>
        <w:trPr>
          <w:trHeight w:val="210"/>
        </w:trPr>
        <w:tc>
          <w:tcPr>
            <w:tcW w:w="41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8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1,401.5</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1,328.3</w:t>
            </w:r>
          </w:p>
        </w:tc>
      </w:tr>
      <w:tr>
        <w:trPr>
          <w:trHeight w:val="210"/>
        </w:trPr>
        <w:tc>
          <w:tcPr>
            <w:tcW w:w="410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Commitments, contingencies and guarantees (Note 3)</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410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Stockholder's equity -</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89"/>
        </w:trPr>
        <w:tc>
          <w:tcPr>
            <w:tcW w:w="7480" w:type="dxa"/>
            <w:vAlign w:val="bottom"/>
            <w:gridSpan w:val="4"/>
            <w:shd w:val="clear" w:color="auto" w:fill="CFF0FC"/>
          </w:tcPr>
          <w:p>
            <w:pPr>
              <w:ind w:left="200"/>
              <w:spacing w:after="0"/>
              <w:rPr>
                <w:sz w:val="20"/>
                <w:szCs w:val="20"/>
                <w:color w:val="auto"/>
              </w:rPr>
            </w:pPr>
            <w:r>
              <w:rPr>
                <w:rFonts w:ascii="Arial" w:cs="Arial" w:eastAsia="Arial" w:hAnsi="Arial"/>
                <w:sz w:val="16"/>
                <w:szCs w:val="16"/>
                <w:color w:val="auto"/>
              </w:rPr>
              <w:t>Common stock $1 par value; 100,000,000 shares authorized; issued</w:t>
            </w:r>
          </w:p>
        </w:tc>
        <w:tc>
          <w:tcPr>
            <w:tcW w:w="1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71,676,746 and 68,265,042 shares, respectively</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71.7</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68.3</w:t>
            </w: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Additional paid-in capital</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2,193.9</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2,007.7</w:t>
            </w: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Retained earnings</w:t>
            </w: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1,197.5</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1,158.2</w:t>
            </w:r>
          </w:p>
        </w:tc>
      </w:tr>
      <w:tr>
        <w:trPr>
          <w:trHeight w:val="215"/>
        </w:trPr>
        <w:tc>
          <w:tcPr>
            <w:tcW w:w="7480" w:type="dxa"/>
            <w:vAlign w:val="bottom"/>
            <w:gridSpan w:val="4"/>
          </w:tcPr>
          <w:p>
            <w:pPr>
              <w:ind w:left="200"/>
              <w:spacing w:after="0"/>
              <w:rPr>
                <w:sz w:val="20"/>
                <w:szCs w:val="20"/>
                <w:color w:val="auto"/>
              </w:rPr>
            </w:pPr>
            <w:r>
              <w:rPr>
                <w:rFonts w:ascii="Arial" w:cs="Arial" w:eastAsia="Arial" w:hAnsi="Arial"/>
                <w:sz w:val="16"/>
                <w:szCs w:val="16"/>
                <w:color w:val="auto"/>
              </w:rPr>
              <w:t>Treasury stock, at cost - 101,471 and 68,073 shares, respectively</w:t>
            </w:r>
          </w:p>
        </w:tc>
        <w:tc>
          <w:tcPr>
            <w:tcW w:w="1120" w:type="dxa"/>
            <w:vAlign w:val="bottom"/>
          </w:tcPr>
          <w:p>
            <w:pPr>
              <w:jc w:val="right"/>
              <w:spacing w:after="0"/>
              <w:rPr>
                <w:sz w:val="20"/>
                <w:szCs w:val="20"/>
                <w:color w:val="auto"/>
              </w:rPr>
            </w:pPr>
            <w:r>
              <w:rPr>
                <w:rFonts w:ascii="Arial" w:cs="Arial" w:eastAsia="Arial" w:hAnsi="Arial"/>
                <w:sz w:val="16"/>
                <w:szCs w:val="16"/>
                <w:color w:val="auto"/>
              </w:rPr>
              <w:t>(5.9 )</w:t>
            </w:r>
          </w:p>
        </w:tc>
        <w:tc>
          <w:tcPr>
            <w:tcW w:w="4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(10.6 )</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(14.8 )</w:t>
            </w:r>
          </w:p>
        </w:tc>
      </w:tr>
      <w:tr>
        <w:trPr>
          <w:trHeight w:val="209"/>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stockholders' equity</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3,446.6</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3,215.3</w:t>
            </w: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18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85.6</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90.5</w:t>
            </w:r>
          </w:p>
        </w:tc>
      </w:tr>
      <w:tr>
        <w:trPr>
          <w:trHeight w:val="210"/>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equity</w:t>
            </w:r>
          </w:p>
        </w:tc>
        <w:tc>
          <w:tcPr>
            <w:tcW w:w="18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3,532.2</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3,305.8</w:t>
            </w:r>
          </w:p>
        </w:tc>
      </w:tr>
      <w:tr>
        <w:trPr>
          <w:trHeight w:val="210"/>
        </w:trPr>
        <w:tc>
          <w:tcPr>
            <w:tcW w:w="4100" w:type="dxa"/>
            <w:vAlign w:val="bottom"/>
            <w:gridSpan w:val="2"/>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TOTAL LIABILITIES AND TOTAL EQUITY</w:t>
            </w:r>
          </w:p>
        </w:tc>
        <w:tc>
          <w:tcPr>
            <w:tcW w:w="3380" w:type="dxa"/>
            <w:vAlign w:val="bottom"/>
            <w:gridSpan w:val="2"/>
          </w:tcPr>
          <w:p>
            <w:pPr>
              <w:jc w:val="right"/>
              <w:ind w:right="13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9,718.7</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9,620.4</w:t>
            </w:r>
          </w:p>
        </w:tc>
      </w:tr>
      <w:tr>
        <w:trPr>
          <w:trHeight w:val="20"/>
        </w:trPr>
        <w:tc>
          <w:tcPr>
            <w:tcW w:w="1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78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6440" w:type="dxa"/>
            <w:vAlign w:val="bottom"/>
          </w:tcPr>
          <w:p>
            <w:pPr>
              <w:jc w:val="center"/>
              <w:ind w:left="1999"/>
              <w:spacing w:after="0"/>
              <w:rPr>
                <w:sz w:val="20"/>
                <w:szCs w:val="20"/>
                <w:color w:val="auto"/>
              </w:rPr>
            </w:pPr>
            <w:r>
              <w:rPr>
                <w:rFonts w:ascii="Arial" w:cs="Arial" w:eastAsia="Arial" w:hAnsi="Arial"/>
                <w:sz w:val="16"/>
                <w:szCs w:val="16"/>
                <w:b w:val="1"/>
                <w:bCs w:val="1"/>
                <w:color w:val="auto"/>
              </w:rPr>
              <w:t>BLACK HILLS CORPORATION</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6440" w:type="dxa"/>
            <w:vAlign w:val="bottom"/>
          </w:tcPr>
          <w:p>
            <w:pPr>
              <w:jc w:val="center"/>
              <w:ind w:left="1999"/>
              <w:spacing w:after="0"/>
              <w:rPr>
                <w:sz w:val="20"/>
                <w:szCs w:val="20"/>
                <w:color w:val="auto"/>
              </w:rPr>
            </w:pPr>
            <w:r>
              <w:rPr>
                <w:rFonts w:ascii="Arial" w:cs="Arial" w:eastAsia="Arial" w:hAnsi="Arial"/>
                <w:sz w:val="16"/>
                <w:szCs w:val="16"/>
                <w:b w:val="1"/>
                <w:bCs w:val="1"/>
                <w:color w:val="auto"/>
              </w:rPr>
              <w:t>CONSOLIDATED STATEMENTS OF CASH FLOWS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85"/>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24"/>
                <w:szCs w:val="24"/>
                <w:color w:val="auto"/>
              </w:rPr>
            </w:pPr>
          </w:p>
        </w:tc>
        <w:tc>
          <w:tcPr>
            <w:tcW w:w="32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Nine Months Ended September 30,</w:t>
            </w:r>
          </w:p>
        </w:tc>
      </w:tr>
      <w:tr>
        <w:trPr>
          <w:trHeight w:val="217"/>
        </w:trPr>
        <w:tc>
          <w:tcPr>
            <w:tcW w:w="13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09"/>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spacing w:after="0"/>
              <w:rPr>
                <w:sz w:val="18"/>
                <w:szCs w:val="18"/>
                <w:color w:val="auto"/>
              </w:rPr>
            </w:pPr>
          </w:p>
        </w:tc>
        <w:tc>
          <w:tcPr>
            <w:tcW w:w="2000" w:type="dxa"/>
            <w:vAlign w:val="bottom"/>
            <w:gridSpan w:val="2"/>
          </w:tcPr>
          <w:p>
            <w:pPr>
              <w:jc w:val="center"/>
              <w:ind w:left="819"/>
              <w:spacing w:after="0"/>
              <w:rPr>
                <w:sz w:val="20"/>
                <w:szCs w:val="20"/>
                <w:color w:val="auto"/>
              </w:rPr>
            </w:pPr>
            <w:r>
              <w:rPr>
                <w:rFonts w:ascii="Arial" w:cs="Arial" w:eastAsia="Arial" w:hAnsi="Arial"/>
                <w:sz w:val="16"/>
                <w:szCs w:val="16"/>
                <w:color w:val="auto"/>
              </w:rPr>
              <w:t>(in millions)</w:t>
            </w:r>
          </w:p>
        </w:tc>
        <w:tc>
          <w:tcPr>
            <w:tcW w:w="1220" w:type="dxa"/>
            <w:vAlign w:val="bottom"/>
          </w:tcPr>
          <w:p>
            <w:pPr>
              <w:spacing w:after="0"/>
              <w:rPr>
                <w:sz w:val="18"/>
                <w:szCs w:val="18"/>
                <w:color w:val="auto"/>
              </w:rPr>
            </w:pPr>
          </w:p>
        </w:tc>
      </w:tr>
      <w:tr>
        <w:trPr>
          <w:trHeight w:val="217"/>
        </w:trPr>
        <w:tc>
          <w:tcPr>
            <w:tcW w:w="78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192.7</w:t>
            </w:r>
          </w:p>
        </w:tc>
      </w:tr>
      <w:tr>
        <w:trPr>
          <w:trHeight w:val="215"/>
        </w:trPr>
        <w:tc>
          <w:tcPr>
            <w:tcW w:w="7800" w:type="dxa"/>
            <w:vAlign w:val="bottom"/>
            <w:gridSpan w:val="2"/>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201.8</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191.2</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Deferred financing cost amortization</w:t>
            </w:r>
          </w:p>
        </w:tc>
        <w:tc>
          <w:tcPr>
            <w:tcW w:w="2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Stock compensation</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16.1</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Employee benefit plans</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Other adjustments, net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(1.8 )</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7"/>
        </w:trPr>
        <w:tc>
          <w:tcPr>
            <w:tcW w:w="7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Changes in certain operating assets and liabilities:</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Materials, supplies and fuel</w:t>
            </w:r>
          </w:p>
        </w:tc>
        <w:tc>
          <w:tcPr>
            <w:tcW w:w="2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43.5</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Accounts receivable and other current assets</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123.9</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302.8</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(61.8 )</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(186.5 )</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Regulatory assets</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61.6</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199.1</w:t>
            </w:r>
          </w:p>
        </w:tc>
      </w:tr>
      <w:tr>
        <w:trPr>
          <w:trHeight w:val="216"/>
        </w:trPr>
        <w:tc>
          <w:tcPr>
            <w:tcW w:w="7800" w:type="dxa"/>
            <w:vAlign w:val="bottom"/>
            <w:gridSpan w:val="2"/>
          </w:tcPr>
          <w:p>
            <w:pPr>
              <w:ind w:left="120"/>
              <w:spacing w:after="0"/>
              <w:rPr>
                <w:sz w:val="20"/>
                <w:szCs w:val="20"/>
                <w:color w:val="auto"/>
              </w:rPr>
            </w:pPr>
            <w:r>
              <w:rPr>
                <w:rFonts w:ascii="Arial" w:cs="Arial" w:eastAsia="Arial" w:hAnsi="Arial"/>
                <w:sz w:val="16"/>
                <w:szCs w:val="16"/>
                <w:color w:val="auto"/>
              </w:rPr>
              <w:t>Other operating activities, net</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(16.0 )</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(16.2 )</w:t>
            </w:r>
          </w:p>
        </w:tc>
      </w:tr>
      <w:tr>
        <w:trPr>
          <w:trHeight w:val="209"/>
        </w:trPr>
        <w:tc>
          <w:tcPr>
            <w:tcW w:w="78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566.1</w:t>
            </w: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756.0</w:t>
            </w:r>
          </w:p>
        </w:tc>
      </w:tr>
    </w:tbl>
    <w:p>
      <w:pPr>
        <w:spacing w:after="0" w:line="200" w:lineRule="exact"/>
        <w:rPr>
          <w:sz w:val="20"/>
          <w:szCs w:val="20"/>
          <w:color w:val="auto"/>
        </w:rPr>
      </w:pPr>
    </w:p>
    <w:p>
      <w:pPr>
        <w:sectPr>
          <w:pgSz w:w="11900" w:h="16838" w:orient="portrait"/>
          <w:cols w:equalWidth="0" w:num="1">
            <w:col w:w="11240"/>
          </w:cols>
          <w:pgMar w:left="320" w:top="766"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Property, plant and equipment additions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jc w:val="right"/>
              <w:ind w:right="519"/>
              <w:spacing w:after="0"/>
              <w:rPr>
                <w:sz w:val="20"/>
                <w:szCs w:val="20"/>
                <w:color w:val="auto"/>
              </w:rPr>
            </w:pPr>
            <w:r>
              <w:rPr>
                <w:rFonts w:ascii="Arial" w:cs="Arial" w:eastAsia="Arial" w:hAnsi="Arial"/>
                <w:sz w:val="16"/>
                <w:szCs w:val="16"/>
                <w:color w:val="auto"/>
              </w:rPr>
              <w:t>(530.5 )</w:t>
            </w:r>
          </w:p>
        </w:tc>
        <w:tc>
          <w:tcPr>
            <w:tcW w:w="1160" w:type="dxa"/>
            <w:vAlign w:val="bottom"/>
          </w:tcPr>
          <w:p>
            <w:pPr>
              <w:jc w:val="right"/>
              <w:spacing w:after="0"/>
              <w:rPr>
                <w:sz w:val="20"/>
                <w:szCs w:val="20"/>
                <w:color w:val="auto"/>
              </w:rPr>
            </w:pPr>
            <w:r>
              <w:rPr>
                <w:rFonts w:ascii="Arial" w:cs="Arial" w:eastAsia="Arial" w:hAnsi="Arial"/>
                <w:sz w:val="16"/>
                <w:szCs w:val="16"/>
                <w:color w:val="auto"/>
              </w:rPr>
              <w:t>(421.8 )</w:t>
            </w:r>
          </w:p>
        </w:tc>
      </w:tr>
      <w:tr>
        <w:trPr>
          <w:trHeight w:val="217"/>
        </w:trPr>
        <w:tc>
          <w:tcPr>
            <w:tcW w:w="2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(1.5 )</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r>
      <w:tr>
        <w:trPr>
          <w:trHeight w:val="210"/>
        </w:trPr>
        <w:tc>
          <w:tcPr>
            <w:tcW w:w="2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(532.0 )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-565150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-290830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80" w:space="720"/>
            <w:col w:w="3440"/>
          </w:cols>
          <w:pgMar w:left="320" w:top="76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 paid on common stock</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(135.8 )</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(125.4 )</w:t>
            </w: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181.6</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107.4</w:t>
            </w: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(535.6 )</w:t>
            </w: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Long-term debt - issuance</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800.0</w:t>
            </w: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Long-term debt - repayments</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(600.0 )</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Distributions to non-controlling interests</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(12.5 )</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(12.9 )</w:t>
            </w:r>
          </w:p>
        </w:tc>
      </w:tr>
      <w:tr>
        <w:trPr>
          <w:trHeight w:val="217"/>
        </w:trPr>
        <w:tc>
          <w:tcPr>
            <w:tcW w:w="7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financing activities</w:t>
            </w:r>
          </w:p>
        </w:tc>
        <w:tc>
          <w:tcPr>
            <w:tcW w:w="6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(8.3 )</w:t>
            </w:r>
          </w:p>
        </w:tc>
        <w:tc>
          <w:tcPr>
            <w:tcW w:w="6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(12.2 )</w:t>
            </w: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(107.5 )</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221.3</w:t>
            </w:r>
          </w:p>
        </w:tc>
      </w:tr>
      <w:tr>
        <w:trPr>
          <w:trHeight w:val="210"/>
        </w:trPr>
        <w:tc>
          <w:tcPr>
            <w:tcW w:w="78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Net change in cash, restricted cash and cash equivalents</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(73.4 )</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573.5</w:t>
            </w:r>
          </w:p>
        </w:tc>
      </w:tr>
      <w:tr>
        <w:trPr>
          <w:trHeight w:val="217"/>
        </w:trPr>
        <w:tc>
          <w:tcPr>
            <w:tcW w:w="78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beginning of period</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restricted cash, and cash equivalents end of period</w:t>
            </w: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19.6</w:t>
            </w: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600.5</w:t>
            </w:r>
          </w:p>
        </w:tc>
      </w:tr>
      <w:tr>
        <w:trPr>
          <w:trHeight w:val="197"/>
        </w:trPr>
        <w:tc>
          <w:tcPr>
            <w:tcW w:w="7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cash flow information:</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Cash (paid) received during the period:</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(net of amounts capitalized)</w:t>
            </w: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FF0FC"/>
          </w:tcPr>
          <w:p>
            <w:pPr>
              <w:jc w:val="right"/>
              <w:ind w:right="439"/>
              <w:spacing w:after="0"/>
              <w:rPr>
                <w:sz w:val="20"/>
                <w:szCs w:val="20"/>
                <w:color w:val="auto"/>
              </w:rPr>
            </w:pPr>
            <w:r>
              <w:rPr>
                <w:rFonts w:ascii="Arial" w:cs="Arial" w:eastAsia="Arial" w:hAnsi="Arial"/>
                <w:sz w:val="16"/>
                <w:szCs w:val="16"/>
                <w:color w:val="auto"/>
              </w:rPr>
              <w:t>(122.5 )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(108.8 )</w:t>
            </w:r>
          </w:p>
        </w:tc>
      </w:tr>
      <w:tr>
        <w:trPr>
          <w:trHeight w:val="215"/>
        </w:trPr>
        <w:tc>
          <w:tcPr>
            <w:tcW w:w="7800" w:type="dxa"/>
            <w:vAlign w:val="bottom"/>
          </w:tcPr>
          <w:p>
            <w:pPr>
              <w:ind w:left="200"/>
              <w:spacing w:after="0"/>
              <w:rPr>
                <w:sz w:val="20"/>
                <w:szCs w:val="20"/>
                <w:color w:val="auto"/>
              </w:rPr>
            </w:pPr>
            <w:r>
              <w:rPr>
                <w:rFonts w:ascii="Arial" w:cs="Arial" w:eastAsia="Arial" w:hAnsi="Arial"/>
                <w:sz w:val="16"/>
                <w:szCs w:val="16"/>
                <w:color w:val="auto"/>
              </w:rPr>
              <w:t>Income taxes, net of transferred tax credits (Note 11)</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0.1</w:t>
            </w: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7800" w:type="dxa"/>
            <w:vAlign w:val="bottom"/>
          </w:tcPr>
          <w:p>
            <w:pPr>
              <w:ind w:left="200"/>
              <w:spacing w:after="0"/>
              <w:rPr>
                <w:sz w:val="20"/>
                <w:szCs w:val="20"/>
                <w:color w:val="auto"/>
              </w:rPr>
            </w:pPr>
            <w:r>
              <w:rPr>
                <w:rFonts w:ascii="Arial" w:cs="Arial" w:eastAsia="Arial" w:hAnsi="Arial"/>
                <w:sz w:val="16"/>
                <w:szCs w:val="16"/>
                <w:color w:val="auto"/>
              </w:rPr>
              <w:t>Accrued property, plant, and equipment purchases at September 30,</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64.0</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53.0</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60"/>
        </w:trPr>
        <w:tc>
          <w:tcPr>
            <w:tcW w:w="29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80" w:type="dxa"/>
            <w:vAlign w:val="bottom"/>
            <w:gridSpan w:val="2"/>
          </w:tcPr>
          <w:p>
            <w:pPr>
              <w:jc w:val="center"/>
              <w:ind w:right="68"/>
              <w:spacing w:after="0" w:line="160"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rPr>
              <w:t>Paid in</w:t>
            </w:r>
          </w:p>
        </w:tc>
        <w:tc>
          <w:tcPr>
            <w:tcW w:w="8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7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Capital</w:t>
            </w:r>
          </w:p>
        </w:tc>
        <w:tc>
          <w:tcPr>
            <w:tcW w:w="8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AOCI</w:t>
            </w: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Interest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68,265,04</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85"/>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2023</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68.3</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68,073</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(4.1 ) $</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2,007.7</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1,158.2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(14.8 )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90.5</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3,305.8</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127.9</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131.6</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2.5</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(44.4 )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104,181</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14,270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600,355</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31.5</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68,969,57</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2024</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69.0</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82,343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(4.7 )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2,040.2</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1,241.7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88.6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3,422.5</w:t>
            </w:r>
          </w:p>
        </w:tc>
      </w:tr>
      <w:tr>
        <w:trPr>
          <w:trHeight w:val="16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24.7</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1.0</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(44.9 )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(44.9 )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9,623</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768,019</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42.2</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69,747,22</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2024</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69.7</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83,160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(4.9 )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2,084.2</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1,219.6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86.1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3,443.4</w:t>
            </w: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26.4</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0.7</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0.7</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(46.5 )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(46.5 )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18,311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1,929,516</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107.7</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109.7</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71,676,74</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September 30, 2024</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71.7</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101,471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(5.9 )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2,193.9</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1,197.5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3,532.2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60"/>
        </w:trPr>
        <w:tc>
          <w:tcPr>
            <w:tcW w:w="29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80" w:type="dxa"/>
            <w:vAlign w:val="bottom"/>
            <w:gridSpan w:val="2"/>
          </w:tcPr>
          <w:p>
            <w:pPr>
              <w:jc w:val="center"/>
              <w:ind w:right="68"/>
              <w:spacing w:after="0" w:line="160"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rPr>
              <w:t>Paid in</w:t>
            </w:r>
          </w:p>
        </w:tc>
        <w:tc>
          <w:tcPr>
            <w:tcW w:w="8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7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Capital</w:t>
            </w:r>
          </w:p>
        </w:tc>
        <w:tc>
          <w:tcPr>
            <w:tcW w:w="8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AOCI</w:t>
            </w: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Interest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66,140,39</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85"/>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2022</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66.1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36,726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(2.4 ) $</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1,882.7</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1,064.1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(15.6 )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3,089.9</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114.1</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117.4</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1.2</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84,735</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445,578</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27.7</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66,670,70</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66.7</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(2.7 )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1,911.5</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1,136.8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93.8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3,191.7</w:t>
            </w: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26.6</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1.1</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(41.7 )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(41.7 )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8,492</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436,202</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27.6</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67,115,40</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67.1</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48,623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(3.2 )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1,941.2</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1,118.2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92.8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3,202.8</w:t>
            </w: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48.8</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0.4</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(42.3 )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(42.3 )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930,844</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0.9</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52.4</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53.3</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68,046,26</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September 30, 2023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68.0</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54,428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(3.5 )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1,994.4</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1,121.3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92.3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3,259.6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Condensed 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included in the Company’s 2023 Annual Report on Form 10-K)</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2023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September 30, 2024, December 31, 2023, and September 30, 2023, financial information. Certain lines of business in which we operate are highly seasonal and our interim results of operations are not necessarily indicative of the results of operations to be expected for an entire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Reportable Segment Disclosures, ASU 2023-07</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Improvements to Reportable Segment Disclosures</w:t>
      </w:r>
      <w:r>
        <w:rPr>
          <w:rFonts w:ascii="Arial" w:cs="Arial" w:eastAsia="Arial" w:hAnsi="Arial"/>
          <w:sz w:val="16"/>
          <w:szCs w:val="16"/>
          <w:color w:val="auto"/>
        </w:rPr>
        <w:t>, which expands public entities’ segment disclosures by requiring disclosure of significant segment expenses that are regularly reviewed by the CODM and included within each reported measure of segment profit or loss, an amount and description of its composition for other segment items, and interim disclosures of a reportable segment’s profit or loss and assets. ASU 2023-07 also allows, in addition to the measure that is most consistent with GAAP, the disclosure of additional measures of segment profit or loss that are used by the CODM in assessing segment performance and deciding how to allocate resources. ASU 2023-07 is effective for our Annual Report on Form 10-K for the fiscal year ended December 31, 2024, and subsequent interim periods, with early adoption permitted. We do not expect ASU 2023-07 to have an impact on our financial position, results of operations and cash flows; however, are currently evaluating the impact on our consolidated financial statement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ASU 2023-09 is effective for our Annual Report on Form 10-K for the fiscal year ended December 31, 2025, with early adoption permitted. We do not expect ASU 2023-09 to have an impact on our financial position, results of operations and cash flows; however, are currently evaluating the impact on our consolidated financial statement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Disaggregation of Income Statement Expenses, ASU 2024-03</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Disaggregation of Income Statement Expenses</w:t>
      </w:r>
      <w:r>
        <w:rPr>
          <w:rFonts w:ascii="Arial" w:cs="Arial" w:eastAsia="Arial" w:hAnsi="Arial"/>
          <w:sz w:val="16"/>
          <w:szCs w:val="16"/>
          <w:color w:val="auto"/>
        </w:rPr>
        <w:t>, which requires public entities to disclose, in the notes to financial statements, certain costs and expenses, such as purchases of inventory, employee compensation, and costs related to depreciation and amortization. ASU 2024-03 is effective for our Annual Report on Form 10-K for the fiscal year ended December 31, 2027, and subsequent interim periods, with early adoption permitted. We do not expect ASU 2024-03 to have an impact on our financial position, results of operations and cash flows; however, are currently evaluating the impact on our consolidated financial statement disclosures.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7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2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70"/>
        </w:trPr>
        <w:tc>
          <w:tcPr>
            <w:tcW w:w="61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w:t>
            </w: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93"/>
        </w:trPr>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0" w:type="dxa"/>
            <w:vAlign w:val="bottom"/>
          </w:tcPr>
          <w:p>
            <w:pPr>
              <w:jc w:val="right"/>
              <w:ind w:right="479"/>
              <w:spacing w:after="0"/>
              <w:rPr>
                <w:sz w:val="20"/>
                <w:szCs w:val="20"/>
                <w:color w:val="auto"/>
              </w:rPr>
            </w:pPr>
            <w:r>
              <w:rPr>
                <w:rFonts w:ascii="Arial" w:cs="Arial" w:eastAsia="Arial" w:hAnsi="Arial"/>
                <w:sz w:val="16"/>
                <w:szCs w:val="16"/>
                <w:b w:val="1"/>
                <w:bCs w:val="1"/>
                <w:color w:val="auto"/>
              </w:rPr>
              <w:t>As of</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jc w:val="right"/>
              <w:ind w:right="1039"/>
              <w:spacing w:after="0"/>
              <w:rPr>
                <w:sz w:val="20"/>
                <w:szCs w:val="20"/>
                <w:color w:val="auto"/>
              </w:rPr>
            </w:pPr>
            <w:r>
              <w:rPr>
                <w:rFonts w:ascii="Arial" w:cs="Arial" w:eastAsia="Arial" w:hAnsi="Arial"/>
                <w:sz w:val="16"/>
                <w:szCs w:val="16"/>
                <w:b w:val="1"/>
                <w:bCs w:val="1"/>
                <w:color w:val="auto"/>
              </w:rPr>
              <w:t>As of</w:t>
            </w:r>
          </w:p>
        </w:tc>
      </w:tr>
      <w:tr>
        <w:trPr>
          <w:trHeight w:val="217"/>
        </w:trPr>
        <w:tc>
          <w:tcPr>
            <w:tcW w:w="3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2024</w:t>
            </w: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3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(in millions)</w:t>
            </w:r>
          </w:p>
        </w:tc>
        <w:tc>
          <w:tcPr>
            <w:tcW w:w="2140" w:type="dxa"/>
            <w:vAlign w:val="bottom"/>
          </w:tcPr>
          <w:p>
            <w:pPr>
              <w:spacing w:after="0"/>
              <w:rPr>
                <w:sz w:val="18"/>
                <w:szCs w:val="18"/>
                <w:color w:val="auto"/>
              </w:rPr>
            </w:pPr>
          </w:p>
        </w:tc>
      </w:tr>
      <w:tr>
        <w:trPr>
          <w:trHeight w:val="217"/>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Winter Storm Uri</w:t>
            </w:r>
          </w:p>
        </w:tc>
        <w:tc>
          <w:tcPr>
            <w:tcW w:w="2000" w:type="dxa"/>
            <w:vAlign w:val="bottom"/>
          </w:tcPr>
          <w:p>
            <w:pPr>
              <w:jc w:val="right"/>
              <w:ind w:right="179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123.4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199.6</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Deferred energy and fuel cost adjustments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61.1</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55.1</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gas cost adjustments</w:t>
            </w:r>
          </w:p>
        </w:tc>
        <w:tc>
          <w:tcPr>
            <w:tcW w:w="20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420" w:type="dxa"/>
            <w:vAlign w:val="bottom"/>
          </w:tcPr>
          <w:p>
            <w:pPr>
              <w:spacing w:after="0"/>
              <w:rPr>
                <w:sz w:val="18"/>
                <w:szCs w:val="18"/>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Gas price derivatives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taxes on AFUDC</w:t>
            </w:r>
          </w:p>
        </w:tc>
        <w:tc>
          <w:tcPr>
            <w:tcW w:w="20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420" w:type="dxa"/>
            <w:vAlign w:val="bottom"/>
          </w:tcPr>
          <w:p>
            <w:pPr>
              <w:spacing w:after="0"/>
              <w:rPr>
                <w:sz w:val="18"/>
                <w:szCs w:val="18"/>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7.1</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plans and related deferred taxes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86.1</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89.3</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Environmental</w:t>
            </w:r>
          </w:p>
        </w:tc>
        <w:tc>
          <w:tcPr>
            <w:tcW w:w="20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420" w:type="dxa"/>
            <w:vAlign w:val="bottom"/>
          </w:tcPr>
          <w:p>
            <w:pPr>
              <w:spacing w:after="0"/>
              <w:rPr>
                <w:sz w:val="18"/>
                <w:szCs w:val="18"/>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2.9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Loss on reacquired debt</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16.1</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taxes on flow through accounting</w:t>
            </w:r>
          </w:p>
        </w:tc>
        <w:tc>
          <w:tcPr>
            <w:tcW w:w="20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80.9</w:t>
            </w:r>
          </w:p>
        </w:tc>
        <w:tc>
          <w:tcPr>
            <w:tcW w:w="420" w:type="dxa"/>
            <w:vAlign w:val="bottom"/>
          </w:tcPr>
          <w:p>
            <w:pPr>
              <w:spacing w:after="0"/>
              <w:rPr>
                <w:sz w:val="18"/>
                <w:szCs w:val="18"/>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74.7</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Decommissioning costs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regulatory assets</w:t>
            </w:r>
          </w:p>
        </w:tc>
        <w:tc>
          <w:tcPr>
            <w:tcW w:w="2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w:t>
            </w: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r>
      <w:tr>
        <w:trPr>
          <w:trHeight w:val="210"/>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assets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432.2</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480.1</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assets</w:t>
            </w:r>
          </w:p>
        </w:tc>
        <w:tc>
          <w:tcPr>
            <w:tcW w:w="2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(156.1 )</w:t>
            </w: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(175.7 )</w:t>
            </w:r>
          </w:p>
        </w:tc>
      </w:tr>
      <w:tr>
        <w:trPr>
          <w:trHeight w:val="249"/>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 non-current</w:t>
            </w:r>
          </w:p>
        </w:tc>
        <w:tc>
          <w:tcPr>
            <w:tcW w:w="2000" w:type="dxa"/>
            <w:vAlign w:val="bottom"/>
            <w:tcBorders>
              <w:bottom w:val="single" w:sz="8" w:color="auto"/>
            </w:tcBorders>
            <w:shd w:val="clear" w:color="auto" w:fill="CFF0FC"/>
          </w:tcPr>
          <w:p>
            <w:pPr>
              <w:jc w:val="right"/>
              <w:ind w:right="1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276.1</w:t>
            </w:r>
          </w:p>
        </w:tc>
        <w:tc>
          <w:tcPr>
            <w:tcW w:w="4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304.4</w:t>
            </w:r>
          </w:p>
        </w:tc>
      </w:tr>
      <w:tr>
        <w:trPr>
          <w:trHeight w:val="197"/>
        </w:trPr>
        <w:tc>
          <w:tcPr>
            <w:tcW w:w="6100" w:type="dxa"/>
            <w:vAlign w:val="bottom"/>
            <w:gridSpan w:val="2"/>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16"/>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energy and gas costs</w:t>
            </w:r>
          </w:p>
        </w:tc>
        <w:tc>
          <w:tcPr>
            <w:tcW w:w="2000" w:type="dxa"/>
            <w:vAlign w:val="bottom"/>
          </w:tcPr>
          <w:p>
            <w:pPr>
              <w:jc w:val="right"/>
              <w:ind w:right="179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88.9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 costs and related deferred taxes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34.6</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36.2</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Cost of removal</w:t>
            </w:r>
          </w:p>
        </w:tc>
        <w:tc>
          <w:tcPr>
            <w:tcW w:w="20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193.2</w:t>
            </w:r>
          </w:p>
        </w:tc>
        <w:tc>
          <w:tcPr>
            <w:tcW w:w="420" w:type="dxa"/>
            <w:vAlign w:val="bottom"/>
          </w:tcPr>
          <w:p>
            <w:pPr>
              <w:spacing w:after="0"/>
              <w:rPr>
                <w:sz w:val="18"/>
                <w:szCs w:val="18"/>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181.9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Excess deferred income taxes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240.5</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247.1</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regulatory liabilities</w:t>
            </w:r>
          </w:p>
        </w:tc>
        <w:tc>
          <w:tcPr>
            <w:tcW w:w="2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r>
      <w:tr>
        <w:trPr>
          <w:trHeight w:val="210"/>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liabilities</w:t>
            </w:r>
          </w:p>
        </w:tc>
        <w:tc>
          <w:tcPr>
            <w:tcW w:w="2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557.0</w:t>
            </w:r>
          </w:p>
        </w:tc>
        <w:tc>
          <w:tcPr>
            <w:tcW w:w="4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566.6</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liabilities</w:t>
            </w:r>
          </w:p>
        </w:tc>
        <w:tc>
          <w:tcPr>
            <w:tcW w:w="2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(86.2 )</w:t>
            </w: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(98.9 )</w:t>
            </w:r>
          </w:p>
        </w:tc>
      </w:tr>
      <w:tr>
        <w:trPr>
          <w:trHeight w:val="249"/>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 non-current</w:t>
            </w:r>
          </w:p>
        </w:tc>
        <w:tc>
          <w:tcPr>
            <w:tcW w:w="2000" w:type="dxa"/>
            <w:vAlign w:val="bottom"/>
            <w:tcBorders>
              <w:bottom w:val="single" w:sz="8" w:color="auto"/>
            </w:tcBorders>
            <w:shd w:val="clear" w:color="auto" w:fill="CFF0FC"/>
          </w:tcPr>
          <w:p>
            <w:pPr>
              <w:jc w:val="right"/>
              <w:ind w:right="1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470.8</w:t>
            </w:r>
          </w:p>
        </w:tc>
        <w:tc>
          <w:tcPr>
            <w:tcW w:w="4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467.7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December 4, 2023, Arkansas Gas filed a rate review with the APSC seeking recovery of significant infrastructure investments in its 7,200-mile natural gas pipeline system. On October 1, 2024, Arkansas Gas received final approval for a settlement agreement for a general rate increase which is expected to generate $25.4 million of new annual revenue and shift $3.7 million of rider revenue to base rates. The approval allows a capital structure of 46% equity and 54% debt and a return on equity of 9.9%. New rates were effective October 14,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Electric</w:t>
      </w:r>
    </w:p>
    <w:p>
      <w:pPr>
        <w:spacing w:after="0" w:line="19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On June 14, 2024, Colorado Electric filed a rate review with the CPUC seeking recovery of significant infrastructure investments in its 3,200-mile electric distribution and 600-mile electric transmission systems. The rate review requests $36.7 million in new annual revenue with a </w:t>
      </w:r>
      <w:r>
        <w:rPr>
          <w:rFonts w:ascii="Arial" w:cs="Arial" w:eastAsia="Arial" w:hAnsi="Arial"/>
          <w:sz w:val="16"/>
          <w:szCs w:val="16"/>
          <w:color w:val="242424"/>
        </w:rPr>
        <w:t>capital structure of 53% equity</w:t>
      </w:r>
      <w:r>
        <w:rPr>
          <w:rFonts w:ascii="Arial" w:cs="Arial" w:eastAsia="Arial" w:hAnsi="Arial"/>
          <w:sz w:val="16"/>
          <w:szCs w:val="16"/>
          <w:color w:val="auto"/>
        </w:rPr>
        <w:t xml:space="preserve"> </w:t>
      </w:r>
      <w:r>
        <w:rPr>
          <w:rFonts w:ascii="Arial" w:cs="Arial" w:eastAsia="Arial" w:hAnsi="Arial"/>
          <w:sz w:val="16"/>
          <w:szCs w:val="16"/>
          <w:color w:val="242424"/>
        </w:rPr>
        <w:t>and 47% debt and a return on equity of 10.5%. The request seeks to finalize rates in the first quarter of 2025.</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On May 9, 2023, Colorado Gas filed a rate review with the CPUC seeking recovery of significant infrastructure investments in its 10,000-mile natural gas pipeline system. In March 2024, Colorado Gas received final approval for a settlement agreement for a general rate increase which </w:t>
      </w:r>
      <w:r>
        <w:rPr>
          <w:rFonts w:ascii="Arial" w:cs="Arial" w:eastAsia="Arial" w:hAnsi="Arial"/>
          <w:sz w:val="16"/>
          <w:szCs w:val="16"/>
          <w:color w:val="242424"/>
        </w:rPr>
        <w:t>is expected to generate</w:t>
      </w:r>
      <w:r>
        <w:rPr>
          <w:rFonts w:ascii="Arial" w:cs="Arial" w:eastAsia="Arial" w:hAnsi="Arial"/>
          <w:sz w:val="16"/>
          <w:szCs w:val="16"/>
          <w:color w:val="auto"/>
        </w:rPr>
        <w:t xml:space="preserve"> </w:t>
      </w:r>
      <w:r>
        <w:rPr>
          <w:rFonts w:ascii="Arial" w:cs="Arial" w:eastAsia="Arial" w:hAnsi="Arial"/>
          <w:sz w:val="16"/>
          <w:szCs w:val="16"/>
          <w:color w:val="242424"/>
        </w:rPr>
        <w:t xml:space="preserve">$20.2 million of new annual revenue with a capital structure of 51% equity and 49% debt and a return on equity of 9.3%. </w:t>
      </w:r>
      <w:r>
        <w:rPr>
          <w:rFonts w:ascii="Arial" w:cs="Arial" w:eastAsia="Arial" w:hAnsi="Arial"/>
          <w:sz w:val="16"/>
          <w:szCs w:val="16"/>
          <w:color w:val="000000"/>
        </w:rPr>
        <w:t>Final rates were enacted on May 1,</w:t>
      </w:r>
      <w:r>
        <w:rPr>
          <w:rFonts w:ascii="Arial" w:cs="Arial" w:eastAsia="Arial" w:hAnsi="Arial"/>
          <w:sz w:val="16"/>
          <w:szCs w:val="16"/>
          <w:color w:val="242424"/>
        </w:rPr>
        <w:t xml:space="preserve"> </w:t>
      </w:r>
      <w:r>
        <w:rPr>
          <w:rFonts w:ascii="Arial" w:cs="Arial" w:eastAsia="Arial" w:hAnsi="Arial"/>
          <w:sz w:val="16"/>
          <w:szCs w:val="16"/>
          <w:color w:val="000000"/>
        </w:rPr>
        <w:t>2024, and replaced interim rates effective February 13, 2024.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May 1, 2024, Iowa Gas filed a rate review with the IUC seeking recovery of significant infrastructure investments in its 5,000-mile natural gas pipeline system. On October 15, 2024, Iowa Gas reached a settlement agreement with the Iowa Office of Consumer Advocate for a general rate increase, which is subject to IUC approval. T</w:t>
      </w:r>
      <w:r>
        <w:rPr>
          <w:rFonts w:ascii="Arial" w:cs="Arial" w:eastAsia="Arial" w:hAnsi="Arial"/>
          <w:sz w:val="16"/>
          <w:szCs w:val="16"/>
          <w:color w:val="242424"/>
        </w:rPr>
        <w:t>he settlement is expected to generate $15.0 million of new annual revenue based on a weighted average cost of capital of 7.2%. If</w:t>
      </w:r>
      <w:r>
        <w:rPr>
          <w:rFonts w:ascii="Arial" w:cs="Arial" w:eastAsia="Arial" w:hAnsi="Arial"/>
          <w:sz w:val="16"/>
          <w:szCs w:val="16"/>
          <w:color w:val="auto"/>
        </w:rPr>
        <w:t xml:space="preserve"> </w:t>
      </w:r>
      <w:r>
        <w:rPr>
          <w:rFonts w:ascii="Arial" w:cs="Arial" w:eastAsia="Arial" w:hAnsi="Arial"/>
          <w:sz w:val="16"/>
          <w:szCs w:val="16"/>
          <w:color w:val="242424"/>
        </w:rPr>
        <w:t xml:space="preserve">approved, new </w:t>
      </w:r>
      <w:r>
        <w:rPr>
          <w:rFonts w:ascii="Arial" w:cs="Arial" w:eastAsia="Arial" w:hAnsi="Arial"/>
          <w:sz w:val="16"/>
          <w:szCs w:val="16"/>
          <w:color w:val="000000"/>
        </w:rPr>
        <w:t>rates will be effective in the first quarter of 2025 and will replace interim rates effective May 11,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Gas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On May 18, 2023, Wyoming Gas filed a rate review with the WPSC seeking recovery of significant infrastructure investments in its 6,400-mile natural gas pipeline system. On January 17, 2024, the WPSC approved a settlement agreement for a general rate increase which is expected to generate $13.9 million in new annual revenue with a capital structure of 51% equity and 49% debt and a return on equity of 9.9%. New rates were effective February 1, 2024. The agreement also included approval of a four-year extension of the Wyoming Integrity Rider.</w:t>
      </w:r>
    </w:p>
    <w:p>
      <w:pPr>
        <w:spacing w:after="0" w:line="34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19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2023 Annual Report on Form 10-K except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Plant</w:t>
      </w:r>
    </w:p>
    <w:p>
      <w:pPr>
        <w:spacing w:after="0" w:line="19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 2008, we acquired whole and partial liabilities for former manufactured gas plant sites in Nebraska and Iowa, which were previously used to convert coal to natural gas. The acquisition provided for an insurance recovery, now valued at $1.5 million recorded in Other assets, non-current on our Consolidated Balance Sheets, which will be used to help offset remediation costs. During the nine months ended September 30, 2024, we increased our Iowa manufactured gas plant site remediation cost estimate by $7.4 million based on recent site investigations and remediation work completed, which resulted in a corresponding increase in our Accrued liabilities and Regulatory assets. As of September 30, 2024, we had an Accrued liability of $ 11.5 million and a Regulatory asset of $10.6 million on our Consolidated Balance Sheets for the remediation of the manufactured gas plant site in Iowa. The remediation cost estimate could change materially due to results of further investigations, actions of environmental agencies or the financial viability of other responsible parties.</w:t>
      </w:r>
    </w:p>
    <w:p>
      <w:pPr>
        <w:spacing w:after="0" w:line="34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4"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and nine months ended September 30, 2024, and 2023. Sales tax and other similar taxes are excluded from revenues.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Inter-segment</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 September 30, 2024</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Eliminations</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16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2"/>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195.5</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117.4</w:t>
            </w:r>
          </w:p>
        </w:tc>
        <w:tc>
          <w:tcPr>
            <w:tcW w:w="1400" w:type="dxa"/>
            <w:vAlign w:val="bottom"/>
            <w:tcBorders>
              <w:top w:val="single" w:sz="8" w:color="CFF0FC"/>
            </w:tcBorders>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312.9</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(0.2 )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43.0</w:t>
            </w:r>
          </w:p>
        </w:tc>
      </w:tr>
      <w:tr>
        <w:trPr>
          <w:trHeight w:val="215"/>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6.2</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w:t>
            </w:r>
          </w:p>
        </w:tc>
      </w:tr>
      <w:tr>
        <w:trPr>
          <w:trHeight w:val="216"/>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(4.3 )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w:t>
            </w:r>
          </w:p>
        </w:tc>
      </w:tr>
      <w:tr>
        <w:trPr>
          <w:trHeight w:val="210"/>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231.6</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171.5</w:t>
            </w:r>
          </w:p>
        </w:tc>
        <w:tc>
          <w:tcPr>
            <w:tcW w:w="140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398.6</w:t>
            </w:r>
          </w:p>
        </w:tc>
      </w:tr>
      <w:tr>
        <w:trPr>
          <w:trHeight w:val="216"/>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r>
      <w:tr>
        <w:trPr>
          <w:trHeight w:val="250"/>
        </w:trPr>
        <w:tc>
          <w:tcPr>
            <w:tcW w:w="41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232.5</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173.6</w:t>
            </w:r>
          </w:p>
        </w:tc>
        <w:tc>
          <w:tcPr>
            <w:tcW w:w="140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401.6</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9.3</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222.3</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171.5</w:t>
            </w:r>
          </w:p>
        </w:tc>
        <w:tc>
          <w:tcPr>
            <w:tcW w:w="14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0"/>
              </w:rPr>
              <w:t>(4.5 )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389.3</w:t>
            </w:r>
          </w:p>
        </w:tc>
      </w:tr>
      <w:tr>
        <w:trPr>
          <w:trHeight w:val="209"/>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140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398.6</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4180" w:type="dxa"/>
            <w:vAlign w:val="bottom"/>
            <w:gridSpan w:val="5"/>
          </w:tcPr>
          <w:p>
            <w:pPr>
              <w:spacing w:after="0"/>
              <w:rPr>
                <w:sz w:val="20"/>
                <w:szCs w:val="20"/>
                <w:color w:val="auto"/>
              </w:rPr>
            </w:pPr>
            <w:r>
              <w:rPr>
                <w:rFonts w:ascii="Arial" w:cs="Arial" w:eastAsia="Arial" w:hAnsi="Arial"/>
                <w:sz w:val="16"/>
                <w:szCs w:val="16"/>
                <w:b w:val="1"/>
                <w:bCs w:val="1"/>
                <w:color w:val="0000FF"/>
              </w:rPr>
              <w:t>Table of Contents</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573"/>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4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September 30, 2023</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80" w:type="dxa"/>
            <w:vAlign w:val="bottom"/>
            <w:gridSpan w:val="3"/>
            <w:shd w:val="clear" w:color="auto" w:fill="CFF0FC"/>
          </w:tcPr>
          <w:p>
            <w:pPr>
              <w:jc w:val="right"/>
              <w:ind w:right="13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3"/>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191.0</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120.8</w:t>
            </w:r>
          </w:p>
        </w:tc>
        <w:tc>
          <w:tcPr>
            <w:tcW w:w="2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311.8</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42.6</w:t>
            </w: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9.4</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w:t>
            </w:r>
          </w:p>
        </w:tc>
      </w:tr>
      <w:tr>
        <w:trPr>
          <w:trHeight w:val="209"/>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231.5</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173.1</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(4.5 )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400.1</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r>
      <w:tr>
        <w:trPr>
          <w:trHeight w:val="250"/>
        </w:trPr>
        <w:tc>
          <w:tcPr>
            <w:tcW w:w="41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237.3</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(4.5 )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407.1</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7.8</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223.7</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173.1</w:t>
            </w: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392.3</w:t>
            </w:r>
          </w:p>
        </w:tc>
      </w:tr>
      <w:tr>
        <w:trPr>
          <w:trHeight w:val="209"/>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(4.5 )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4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 September 30, 2024</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80" w:type="dxa"/>
            <w:vAlign w:val="bottom"/>
            <w:gridSpan w:val="3"/>
            <w:shd w:val="clear" w:color="auto" w:fill="CFF0FC"/>
          </w:tcPr>
          <w:p>
            <w:pPr>
              <w:jc w:val="right"/>
              <w:ind w:right="13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3"/>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555.1</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707.7</w:t>
            </w:r>
          </w:p>
        </w:tc>
        <w:tc>
          <w:tcPr>
            <w:tcW w:w="2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1,262.8</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130.5</w:t>
            </w: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21.2</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21.2</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75.6</w:t>
            </w:r>
          </w:p>
        </w:tc>
      </w:tr>
      <w:tr>
        <w:trPr>
          <w:trHeight w:val="210"/>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655.7</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(13.4 )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1,513.0</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r>
      <w:tr>
        <w:trPr>
          <w:trHeight w:val="250"/>
        </w:trPr>
        <w:tc>
          <w:tcPr>
            <w:tcW w:w="41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659.8</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(13.4 )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1,530.6</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25.9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25.9</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629.8</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870.7</w:t>
            </w: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1,487.1</w:t>
            </w:r>
          </w:p>
        </w:tc>
      </w:tr>
      <w:tr>
        <w:trPr>
          <w:trHeight w:val="210"/>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(13.4 )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1,513.0</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4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 September 30, 2023</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80" w:type="dxa"/>
            <w:vAlign w:val="bottom"/>
            <w:gridSpan w:val="3"/>
            <w:shd w:val="clear" w:color="auto" w:fill="CFF0FC"/>
          </w:tcPr>
          <w:p>
            <w:pPr>
              <w:jc w:val="right"/>
              <w:ind w:right="13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3"/>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522.3</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931.1</w:t>
            </w:r>
          </w:p>
        </w:tc>
        <w:tc>
          <w:tcPr>
            <w:tcW w:w="2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1,453.4</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131.1</w:t>
            </w: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24.6</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24.6</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37.9</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70.4</w:t>
            </w:r>
          </w:p>
        </w:tc>
      </w:tr>
      <w:tr>
        <w:trPr>
          <w:trHeight w:val="210"/>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639.1</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(13.4 )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1,717.4</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w:t>
            </w:r>
          </w:p>
        </w:tc>
      </w:tr>
      <w:tr>
        <w:trPr>
          <w:trHeight w:val="249"/>
        </w:trPr>
        <w:tc>
          <w:tcPr>
            <w:tcW w:w="41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649.1</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1,103.9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(13.4 )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1,739.6</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24.3</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614.8</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1,091.7</w:t>
            </w: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1,693.1</w:t>
            </w:r>
          </w:p>
        </w:tc>
      </w:tr>
      <w:tr>
        <w:trPr>
          <w:trHeight w:val="209"/>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(13.4 )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1,717.4</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both"/>
        <w:ind w:right="10000" w:firstLine="8"/>
        <w:spacing w:after="0" w:line="493" w:lineRule="auto"/>
        <w:tabs>
          <w:tab w:leader="none" w:pos="50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On May 31, 2024, we amended and restated our corporate Revolving Credit Facility, maintaining total commitments of $750 million and extending the term through May 31, 2029,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SOFR options. Based on our current credit ratings, the margins for base rate borrowings, SOFR borrowings and letters of credit will be 0.125%, 1.125%, and 1.125%, respectively, and a 0.175% commitment fee will be charged on unused amounts.</w:t>
      </w:r>
    </w:p>
    <w:p>
      <w:pPr>
        <w:spacing w:after="0" w:line="15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2024</w:t>
            </w:r>
          </w:p>
        </w:tc>
        <w:tc>
          <w:tcPr>
            <w:tcW w:w="5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December 31, 2023</w:t>
            </w:r>
          </w:p>
        </w:tc>
        <w:tc>
          <w:tcPr>
            <w:tcW w:w="620" w:type="dxa"/>
            <w:vAlign w:val="bottom"/>
            <w:tcBorders>
              <w:bottom w:val="single" w:sz="8" w:color="auto"/>
            </w:tcBorders>
          </w:tcPr>
          <w:p>
            <w:pPr>
              <w:spacing w:after="0"/>
              <w:rPr>
                <w:sz w:val="18"/>
                <w:szCs w:val="18"/>
                <w:color w:val="auto"/>
              </w:rPr>
            </w:pPr>
          </w:p>
        </w:tc>
      </w:tr>
      <w:tr>
        <w:trPr>
          <w:trHeight w:val="209"/>
        </w:trPr>
        <w:tc>
          <w:tcPr>
            <w:tcW w:w="4140" w:type="dxa"/>
            <w:vAlign w:val="bottom"/>
          </w:tcPr>
          <w:p>
            <w:pPr>
              <w:spacing w:after="0"/>
              <w:rPr>
                <w:sz w:val="18"/>
                <w:szCs w:val="18"/>
                <w:color w:val="auto"/>
              </w:rPr>
            </w:pPr>
          </w:p>
        </w:tc>
        <w:tc>
          <w:tcPr>
            <w:tcW w:w="6480" w:type="dxa"/>
            <w:vAlign w:val="bottom"/>
            <w:gridSpan w:val="3"/>
          </w:tcPr>
          <w:p>
            <w:pPr>
              <w:jc w:val="right"/>
              <w:ind w:right="1339"/>
              <w:spacing w:after="0"/>
              <w:rPr>
                <w:sz w:val="20"/>
                <w:szCs w:val="20"/>
                <w:color w:val="auto"/>
              </w:rPr>
            </w:pPr>
            <w:r>
              <w:rPr>
                <w:rFonts w:ascii="Arial" w:cs="Arial" w:eastAsia="Arial" w:hAnsi="Arial"/>
                <w:sz w:val="16"/>
                <w:szCs w:val="16"/>
                <w:color w:val="auto"/>
              </w:rPr>
              <w:t>(dollars in millions)</w:t>
            </w:r>
          </w:p>
        </w:tc>
        <w:tc>
          <w:tcPr>
            <w:tcW w:w="620" w:type="dxa"/>
            <w:vAlign w:val="bottom"/>
          </w:tcPr>
          <w:p>
            <w:pPr>
              <w:spacing w:after="0"/>
              <w:rPr>
                <w:sz w:val="18"/>
                <w:szCs w:val="18"/>
                <w:color w:val="auto"/>
              </w:rPr>
            </w:pPr>
          </w:p>
        </w:tc>
      </w:tr>
      <w:tr>
        <w:trPr>
          <w:trHeight w:val="217"/>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Amount outstanding</w:t>
            </w:r>
          </w:p>
        </w:tc>
        <w:tc>
          <w:tcPr>
            <w:tcW w:w="3760" w:type="dxa"/>
            <w:vAlign w:val="bottom"/>
            <w:shd w:val="clear" w:color="auto" w:fill="CFF0FC"/>
          </w:tcPr>
          <w:p>
            <w:pPr>
              <w:jc w:val="right"/>
              <w:ind w:right="1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2220" w:type="dxa"/>
            <w:vAlign w:val="bottom"/>
            <w:shd w:val="clear" w:color="auto" w:fill="CFF0FC"/>
          </w:tcPr>
          <w:p>
            <w:pPr>
              <w:jc w:val="right"/>
              <w:ind w:right="19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3760" w:type="dxa"/>
            <w:vAlign w:val="bottom"/>
          </w:tcPr>
          <w:p>
            <w:pPr>
              <w:jc w:val="right"/>
              <w:ind w:right="17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2220" w:type="dxa"/>
            <w:vAlign w:val="bottom"/>
          </w:tcPr>
          <w:p>
            <w:pPr>
              <w:jc w:val="right"/>
              <w:ind w:right="19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Available capacity</w:t>
            </w:r>
          </w:p>
        </w:tc>
        <w:tc>
          <w:tcPr>
            <w:tcW w:w="3760" w:type="dxa"/>
            <w:vAlign w:val="bottom"/>
            <w:shd w:val="clear" w:color="auto" w:fill="CFF0FC"/>
          </w:tcPr>
          <w:p>
            <w:pPr>
              <w:jc w:val="right"/>
              <w:ind w:right="1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729.0</w:t>
            </w:r>
          </w:p>
        </w:tc>
        <w:tc>
          <w:tcPr>
            <w:tcW w:w="2220" w:type="dxa"/>
            <w:vAlign w:val="bottom"/>
            <w:shd w:val="clear" w:color="auto" w:fill="CFF0FC"/>
          </w:tcPr>
          <w:p>
            <w:pPr>
              <w:jc w:val="right"/>
              <w:ind w:right="19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746.3</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3760" w:type="dxa"/>
            <w:vAlign w:val="bottom"/>
          </w:tcPr>
          <w:p>
            <w:pPr>
              <w:spacing w:after="0"/>
              <w:rPr>
                <w:sz w:val="18"/>
                <w:szCs w:val="18"/>
                <w:color w:val="auto"/>
              </w:rPr>
            </w:pPr>
          </w:p>
        </w:tc>
        <w:tc>
          <w:tcPr>
            <w:tcW w:w="2720" w:type="dxa"/>
            <w:vAlign w:val="bottom"/>
            <w:gridSpan w:val="2"/>
          </w:tcPr>
          <w:p>
            <w:pPr>
              <w:jc w:val="right"/>
              <w:ind w:right="2039"/>
              <w:spacing w:after="0"/>
              <w:rPr>
                <w:sz w:val="20"/>
                <w:szCs w:val="20"/>
                <w:color w:val="auto"/>
              </w:rPr>
            </w:pPr>
            <w:r>
              <w:rPr>
                <w:rFonts w:ascii="Arial" w:cs="Arial" w:eastAsia="Arial" w:hAnsi="Arial"/>
                <w:sz w:val="16"/>
                <w:szCs w:val="16"/>
                <w:color w:val="auto"/>
              </w:rPr>
              <w:t>4.93 %</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N/A</w:t>
            </w:r>
          </w:p>
        </w:tc>
      </w:tr>
    </w:tbl>
    <w:p>
      <w:pPr>
        <w:spacing w:after="0" w:line="136" w:lineRule="exact"/>
        <w:rPr>
          <w:sz w:val="20"/>
          <w:szCs w:val="20"/>
          <w:color w:val="auto"/>
        </w:rPr>
      </w:pPr>
    </w:p>
    <w:p>
      <w:pPr>
        <w:ind w:right="1920" w:firstLine="8"/>
        <w:spacing w:after="0" w:line="501" w:lineRule="auto"/>
        <w:tabs>
          <w:tab w:leader="none" w:pos="509" w:val="left"/>
        </w:tabs>
        <w:numPr>
          <w:ilvl w:val="0"/>
          <w:numId w:val="8"/>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Revolving Credit Facility and CP Program borrowing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1045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45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Nine Months Ended September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80" w:type="dxa"/>
            <w:vAlign w:val="bottom"/>
            <w:gridSpan w:val="2"/>
          </w:tcPr>
          <w:p>
            <w:pPr>
              <w:jc w:val="right"/>
              <w:ind w:right="739"/>
              <w:spacing w:after="0"/>
              <w:rPr>
                <w:sz w:val="20"/>
                <w:szCs w:val="20"/>
                <w:color w:val="auto"/>
              </w:rPr>
            </w:pPr>
            <w:r>
              <w:rPr>
                <w:rFonts w:ascii="Arial" w:cs="Arial" w:eastAsia="Arial" w:hAnsi="Arial"/>
                <w:sz w:val="16"/>
                <w:szCs w:val="16"/>
                <w:color w:val="auto"/>
              </w:rPr>
              <w:t>(dollars in millions)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30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480" w:type="dxa"/>
            <w:vAlign w:val="bottom"/>
            <w:shd w:val="clear" w:color="auto" w:fill="CFF0FC"/>
          </w:tcPr>
          <w:p>
            <w:pPr>
              <w:jc w:val="right"/>
              <w:ind w:right="12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548.7</w:t>
            </w:r>
          </w:p>
        </w:tc>
        <w:tc>
          <w:tcPr>
            <w:tcW w:w="40" w:type="dxa"/>
            <w:vAlign w:val="bottom"/>
          </w:tcPr>
          <w:p>
            <w:pPr>
              <w:spacing w:after="0"/>
              <w:rPr>
                <w:sz w:val="18"/>
                <w:szCs w:val="18"/>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300" w:type="dxa"/>
            <w:vAlign w:val="bottom"/>
          </w:tcPr>
          <w:p>
            <w:pPr>
              <w:jc w:val="right"/>
              <w:ind w:right="1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w:t>
            </w:r>
          </w:p>
        </w:tc>
        <w:tc>
          <w:tcPr>
            <w:tcW w:w="1480" w:type="dxa"/>
            <w:vAlign w:val="bottom"/>
          </w:tcPr>
          <w:p>
            <w:pPr>
              <w:jc w:val="right"/>
              <w:ind w:right="12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109.2</w:t>
            </w:r>
          </w:p>
        </w:tc>
        <w:tc>
          <w:tcPr>
            <w:tcW w:w="40" w:type="dxa"/>
            <w:vAlign w:val="bottom"/>
          </w:tcPr>
          <w:p>
            <w:pPr>
              <w:spacing w:after="0"/>
              <w:rPr>
                <w:sz w:val="18"/>
                <w:szCs w:val="18"/>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2300" w:type="dxa"/>
            <w:vAlign w:val="bottom"/>
          </w:tcPr>
          <w:p>
            <w:pPr>
              <w:spacing w:after="0"/>
              <w:rPr>
                <w:sz w:val="18"/>
                <w:szCs w:val="18"/>
                <w:color w:val="auto"/>
              </w:rPr>
            </w:pPr>
          </w:p>
        </w:tc>
        <w:tc>
          <w:tcPr>
            <w:tcW w:w="2280" w:type="dxa"/>
            <w:vAlign w:val="bottom"/>
            <w:gridSpan w:val="2"/>
          </w:tcPr>
          <w:p>
            <w:pPr>
              <w:jc w:val="right"/>
              <w:ind w:right="1299"/>
              <w:spacing w:after="0"/>
              <w:rPr>
                <w:sz w:val="20"/>
                <w:szCs w:val="20"/>
                <w:color w:val="auto"/>
              </w:rPr>
            </w:pPr>
            <w:r>
              <w:rPr>
                <w:rFonts w:ascii="Arial" w:cs="Arial" w:eastAsia="Arial" w:hAnsi="Arial"/>
                <w:sz w:val="16"/>
                <w:szCs w:val="16"/>
                <w:color w:val="auto"/>
              </w:rPr>
              <w:t>5.15 %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On May 16, 2024, we completed a public debt offering of $450 million, 6.00% senior unsecured notes due January 15, 2035. Proceeds from the offering, which were net of $5.2 million of deferred financing costs, along with available cash and short-term borrowings under our existing facilities were used to repay all $600 million principal amount outstanding of our 1.04% senior unsecured notes on their August 23, 2024, maturity date and for other general corporate purposes.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September 30, 2024.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September 30, 2024, our Consolidated Indebtedness to Capitalization Ratio was 0.55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Wyoming Electric was in compliance with all covenants within its financing agreements as of September 30, 2024. Wyoming Electric is required to maintain a debt to capitalization ratio of no more than 0.60 to 1.00. As of September 30, 2024, Wyoming Electric's debt to capitalization ratio was 0.52 to 1.00.</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3"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5160" w:type="dxa"/>
            <w:vAlign w:val="bottom"/>
            <w:gridSpan w:val="7"/>
          </w:tcPr>
          <w:p>
            <w:pPr>
              <w:spacing w:after="0"/>
              <w:rPr>
                <w:sz w:val="20"/>
                <w:szCs w:val="20"/>
                <w:color w:val="auto"/>
              </w:rPr>
            </w:pPr>
            <w:r>
              <w:rPr>
                <w:rFonts w:ascii="Arial" w:cs="Arial" w:eastAsia="Arial" w:hAnsi="Arial"/>
                <w:sz w:val="16"/>
                <w:szCs w:val="16"/>
                <w:b w:val="1"/>
                <w:bCs w:val="1"/>
                <w:color w:val="0000FF"/>
              </w:rPr>
              <w:t>Table of Contents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93"/>
        </w:trPr>
        <w:tc>
          <w:tcPr>
            <w:tcW w:w="13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auto"/>
              </w:rPr>
              <w:t>Equity</w:t>
            </w:r>
          </w:p>
        </w:tc>
        <w:tc>
          <w:tcPr>
            <w:tcW w:w="380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5160" w:type="dxa"/>
            <w:vAlign w:val="bottom"/>
            <w:gridSpan w:val="7"/>
          </w:tcPr>
          <w:p>
            <w:pPr>
              <w:spacing w:after="0"/>
              <w:rPr>
                <w:sz w:val="20"/>
                <w:szCs w:val="20"/>
                <w:color w:val="auto"/>
              </w:rPr>
            </w:pPr>
            <w:r>
              <w:rPr>
                <w:rFonts w:ascii="Arial" w:cs="Arial" w:eastAsia="Arial" w:hAnsi="Arial"/>
                <w:sz w:val="16"/>
                <w:szCs w:val="16"/>
                <w:color w:val="auto"/>
              </w:rPr>
              <w:t>At-the-Market Equity Offering Program</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9"/>
        </w:trPr>
        <w:tc>
          <w:tcPr>
            <w:tcW w:w="276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ATM activity was as follows:</w:t>
            </w:r>
          </w:p>
        </w:tc>
        <w:tc>
          <w:tcPr>
            <w:tcW w:w="24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1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29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Nine Months Ended September 30,</w:t>
            </w:r>
          </w:p>
        </w:tc>
      </w:tr>
      <w:tr>
        <w:trPr>
          <w:trHeight w:val="243"/>
        </w:trPr>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xml:space="preserve">2024 </w:t>
            </w:r>
            <w:r>
              <w:rPr>
                <w:rFonts w:ascii="Arial" w:cs="Arial" w:eastAsia="Arial" w:hAnsi="Arial"/>
                <w:sz w:val="21"/>
                <w:szCs w:val="21"/>
                <w:b w:val="1"/>
                <w:bCs w:val="1"/>
                <w:color w:val="auto"/>
                <w:vertAlign w:val="superscript"/>
              </w:rPr>
              <w:t>(a)</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xml:space="preserve">2024 </w:t>
            </w:r>
            <w:r>
              <w:rPr>
                <w:rFonts w:ascii="Arial" w:cs="Arial" w:eastAsia="Arial" w:hAnsi="Arial"/>
                <w:sz w:val="21"/>
                <w:szCs w:val="21"/>
                <w:b w:val="1"/>
                <w:bCs w:val="1"/>
                <w:color w:val="auto"/>
                <w:vertAlign w:val="superscript"/>
              </w:rPr>
              <w:t>(a)</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69"/>
        </w:trPr>
        <w:tc>
          <w:tcPr>
            <w:tcW w:w="5160" w:type="dxa"/>
            <w:vAlign w:val="bottom"/>
            <w:gridSpan w:val="7"/>
          </w:tcPr>
          <w:p>
            <w:pPr>
              <w:ind w:left="20"/>
              <w:spacing w:after="0" w:line="169" w:lineRule="exact"/>
              <w:rPr>
                <w:sz w:val="20"/>
                <w:szCs w:val="20"/>
                <w:color w:val="auto"/>
              </w:rPr>
            </w:pPr>
            <w:r>
              <w:rPr>
                <w:rFonts w:ascii="Arial" w:cs="Arial" w:eastAsia="Arial" w:hAnsi="Arial"/>
                <w:sz w:val="16"/>
                <w:szCs w:val="16"/>
                <w:i w:val="1"/>
                <w:iCs w:val="1"/>
                <w:color w:val="auto"/>
              </w:rPr>
              <w:t>August 4, 2020 ATM Program</w:t>
            </w:r>
          </w:p>
        </w:tc>
        <w:tc>
          <w:tcPr>
            <w:tcW w:w="500" w:type="dxa"/>
            <w:vAlign w:val="bottom"/>
          </w:tcPr>
          <w:p>
            <w:pPr>
              <w:spacing w:after="0"/>
              <w:rPr>
                <w:sz w:val="14"/>
                <w:szCs w:val="14"/>
                <w:color w:val="auto"/>
              </w:rPr>
            </w:pPr>
          </w:p>
        </w:tc>
        <w:tc>
          <w:tcPr>
            <w:tcW w:w="4580" w:type="dxa"/>
            <w:vAlign w:val="bottom"/>
            <w:gridSpan w:val="6"/>
          </w:tcPr>
          <w:p>
            <w:pPr>
              <w:jc w:val="right"/>
              <w:spacing w:after="0" w:line="169" w:lineRule="exact"/>
              <w:rPr>
                <w:sz w:val="20"/>
                <w:szCs w:val="20"/>
                <w:color w:val="auto"/>
              </w:rPr>
            </w:pPr>
            <w:r>
              <w:rPr>
                <w:rFonts w:ascii="Arial" w:cs="Arial" w:eastAsia="Arial" w:hAnsi="Arial"/>
                <w:sz w:val="16"/>
                <w:szCs w:val="16"/>
                <w:color w:val="auto"/>
              </w:rPr>
              <w:t>(in millions, except Average price per share amounts)</w:t>
            </w:r>
          </w:p>
        </w:tc>
        <w:tc>
          <w:tcPr>
            <w:tcW w:w="10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8"/>
        </w:trPr>
        <w:tc>
          <w:tcPr>
            <w:tcW w:w="516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$0.0, $0.0, $0.0, and $(0.5),</w:t>
            </w: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17"/>
        </w:trPr>
        <w:tc>
          <w:tcPr>
            <w:tcW w:w="516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48.5</w:t>
            </w:r>
          </w:p>
        </w:tc>
      </w:tr>
      <w:tr>
        <w:trPr>
          <w:trHeight w:val="215"/>
        </w:trPr>
        <w:tc>
          <w:tcPr>
            <w:tcW w:w="5160" w:type="dxa"/>
            <w:vAlign w:val="bottom"/>
            <w:gridSpan w:val="7"/>
          </w:tcPr>
          <w:p>
            <w:pPr>
              <w:ind w:left="20"/>
              <w:spacing w:after="0"/>
              <w:rPr>
                <w:sz w:val="20"/>
                <w:szCs w:val="20"/>
                <w:color w:val="auto"/>
              </w:rPr>
            </w:pPr>
            <w:r>
              <w:rPr>
                <w:rFonts w:ascii="Arial" w:cs="Arial" w:eastAsia="Arial" w:hAnsi="Arial"/>
                <w:sz w:val="16"/>
                <w:szCs w:val="16"/>
                <w:color w:val="auto"/>
              </w:rPr>
              <w:t>Number of shares issued</w:t>
            </w: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217"/>
        </w:trPr>
        <w:tc>
          <w:tcPr>
            <w:tcW w:w="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175"/>
        </w:trPr>
        <w:tc>
          <w:tcPr>
            <w:tcW w:w="5160" w:type="dxa"/>
            <w:vAlign w:val="bottom"/>
            <w:gridSpan w:val="7"/>
          </w:tcPr>
          <w:p>
            <w:pPr>
              <w:ind w:left="20"/>
              <w:spacing w:after="0" w:line="175" w:lineRule="exact"/>
              <w:rPr>
                <w:sz w:val="20"/>
                <w:szCs w:val="20"/>
                <w:color w:val="auto"/>
              </w:rPr>
            </w:pPr>
            <w:r>
              <w:rPr>
                <w:rFonts w:ascii="Arial" w:cs="Arial" w:eastAsia="Arial" w:hAnsi="Arial"/>
                <w:sz w:val="16"/>
                <w:szCs w:val="16"/>
                <w:i w:val="1"/>
                <w:iCs w:val="1"/>
                <w:color w:val="auto"/>
              </w:rPr>
              <w:t>June 16, 2023 ATM Program</w:t>
            </w: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8"/>
        </w:trPr>
        <w:tc>
          <w:tcPr>
            <w:tcW w:w="516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$(1.1), $(0.5), $(1.8), and $(0.6),</w:t>
            </w: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17"/>
        </w:trPr>
        <w:tc>
          <w:tcPr>
            <w:tcW w:w="516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181.6</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59.2</w:t>
            </w:r>
          </w:p>
        </w:tc>
      </w:tr>
      <w:tr>
        <w:trPr>
          <w:trHeight w:val="215"/>
        </w:trPr>
        <w:tc>
          <w:tcPr>
            <w:tcW w:w="5160" w:type="dxa"/>
            <w:vAlign w:val="bottom"/>
            <w:gridSpan w:val="7"/>
          </w:tcPr>
          <w:p>
            <w:pPr>
              <w:ind w:left="20"/>
              <w:spacing w:after="0"/>
              <w:rPr>
                <w:sz w:val="20"/>
                <w:szCs w:val="20"/>
                <w:color w:val="auto"/>
              </w:rPr>
            </w:pPr>
            <w:r>
              <w:rPr>
                <w:rFonts w:ascii="Arial" w:cs="Arial" w:eastAsia="Arial" w:hAnsi="Arial"/>
                <w:sz w:val="16"/>
                <w:szCs w:val="16"/>
                <w:color w:val="auto"/>
              </w:rPr>
              <w:t>Number of shares issued</w:t>
            </w: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217"/>
        </w:trPr>
        <w:tc>
          <w:tcPr>
            <w:tcW w:w="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176"/>
        </w:trPr>
        <w:tc>
          <w:tcPr>
            <w:tcW w:w="5160" w:type="dxa"/>
            <w:vAlign w:val="bottom"/>
            <w:gridSpan w:val="7"/>
          </w:tcPr>
          <w:p>
            <w:pPr>
              <w:ind w:left="20"/>
              <w:spacing w:after="0" w:line="175" w:lineRule="exact"/>
              <w:rPr>
                <w:sz w:val="20"/>
                <w:szCs w:val="20"/>
                <w:color w:val="auto"/>
              </w:rPr>
            </w:pPr>
            <w:r>
              <w:rPr>
                <w:rFonts w:ascii="Arial" w:cs="Arial" w:eastAsia="Arial" w:hAnsi="Arial"/>
                <w:sz w:val="16"/>
                <w:szCs w:val="16"/>
                <w:i w:val="1"/>
                <w:iCs w:val="1"/>
                <w:color w:val="auto"/>
              </w:rPr>
              <w:t>Total activity under both ATM Programs</w:t>
            </w: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8"/>
        </w:trPr>
        <w:tc>
          <w:tcPr>
            <w:tcW w:w="516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$(1.1), $(0.5), $(1.8), and $(1.1),</w:t>
            </w: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17"/>
        </w:trPr>
        <w:tc>
          <w:tcPr>
            <w:tcW w:w="516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181.6</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107.7</w:t>
            </w:r>
          </w:p>
        </w:tc>
      </w:tr>
      <w:tr>
        <w:trPr>
          <w:trHeight w:val="215"/>
        </w:trPr>
        <w:tc>
          <w:tcPr>
            <w:tcW w:w="5160" w:type="dxa"/>
            <w:vAlign w:val="bottom"/>
            <w:gridSpan w:val="7"/>
          </w:tcPr>
          <w:p>
            <w:pPr>
              <w:ind w:left="20"/>
              <w:spacing w:after="0"/>
              <w:rPr>
                <w:sz w:val="20"/>
                <w:szCs w:val="20"/>
                <w:color w:val="auto"/>
              </w:rPr>
            </w:pPr>
            <w:r>
              <w:rPr>
                <w:rFonts w:ascii="Arial" w:cs="Arial" w:eastAsia="Arial" w:hAnsi="Arial"/>
                <w:sz w:val="16"/>
                <w:szCs w:val="16"/>
                <w:color w:val="auto"/>
              </w:rPr>
              <w:t>Number of shares issued</w:t>
            </w: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217"/>
        </w:trPr>
        <w:tc>
          <w:tcPr>
            <w:tcW w:w="516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Average price per share</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56.84</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57.33</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55.63</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August 2024, we executed a block trade, which completed our planned equity issuances for 2024.</w:t>
      </w:r>
    </w:p>
    <w:p>
      <w:pPr>
        <w:spacing w:after="0" w:line="374"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86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880" w:type="dxa"/>
            <w:vAlign w:val="bottom"/>
            <w:gridSpan w:val="4"/>
          </w:tcPr>
          <w:p>
            <w:pPr>
              <w:ind w:left="80"/>
              <w:spacing w:after="0"/>
              <w:rPr>
                <w:sz w:val="20"/>
                <w:szCs w:val="20"/>
                <w:color w:val="auto"/>
              </w:rPr>
            </w:pPr>
            <w:r>
              <w:rPr>
                <w:rFonts w:ascii="Arial" w:cs="Arial" w:eastAsia="Arial" w:hAnsi="Arial"/>
                <w:sz w:val="16"/>
                <w:szCs w:val="16"/>
                <w:b w:val="1"/>
                <w:bCs w:val="1"/>
                <w:color w:val="auto"/>
              </w:rPr>
              <w:t>Nine Months Ended September 30,</w:t>
            </w:r>
          </w:p>
        </w:tc>
      </w:tr>
      <w:tr>
        <w:trPr>
          <w:trHeight w:val="217"/>
        </w:trPr>
        <w:tc>
          <w:tcPr>
            <w:tcW w:w="5500" w:type="dxa"/>
            <w:vAlign w:val="bottom"/>
          </w:tcPr>
          <w:p>
            <w:pPr>
              <w:spacing w:after="0"/>
              <w:rPr>
                <w:sz w:val="18"/>
                <w:szCs w:val="18"/>
                <w:color w:val="auto"/>
              </w:rPr>
            </w:pPr>
          </w:p>
        </w:tc>
        <w:tc>
          <w:tcPr>
            <w:tcW w:w="94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5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(in millions, except per share amounts)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5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w:t>
            </w:r>
          </w:p>
        </w:tc>
        <w:tc>
          <w:tcPr>
            <w:tcW w:w="9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182.5</w:t>
            </w:r>
          </w:p>
        </w:tc>
      </w:tr>
      <w:tr>
        <w:trPr>
          <w:trHeight w:val="196"/>
        </w:trPr>
        <w:tc>
          <w:tcPr>
            <w:tcW w:w="5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 basic</w:t>
            </w: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66.7</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Dilutive effect of equity compensation</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 diluted</w:t>
            </w:r>
          </w:p>
        </w:tc>
        <w:tc>
          <w:tcPr>
            <w:tcW w:w="9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70.6</w:t>
            </w:r>
          </w:p>
        </w:tc>
        <w:tc>
          <w:tcPr>
            <w:tcW w:w="3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69.3</w:t>
            </w: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66.7</w:t>
            </w:r>
          </w:p>
        </w:tc>
      </w:tr>
      <w:tr>
        <w:trPr>
          <w:trHeight w:val="196"/>
        </w:trPr>
        <w:tc>
          <w:tcPr>
            <w:tcW w:w="5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 per share - Diluted</w:t>
            </w:r>
          </w:p>
        </w:tc>
        <w:tc>
          <w:tcPr>
            <w:tcW w:w="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0.35</w:t>
            </w:r>
          </w:p>
        </w:tc>
        <w:tc>
          <w:tcPr>
            <w:tcW w:w="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0.67</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2.74</w:t>
            </w:r>
          </w:p>
        </w:tc>
      </w:tr>
      <w:tr>
        <w:trPr>
          <w:trHeight w:val="390"/>
        </w:trPr>
        <w:tc>
          <w:tcPr>
            <w:tcW w:w="9780" w:type="dxa"/>
            <w:vAlign w:val="bottom"/>
            <w:gridSpan w:val="7"/>
          </w:tcPr>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6"/>
        </w:trPr>
        <w:tc>
          <w:tcPr>
            <w:tcW w:w="5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Nine Months Ended September</w:t>
            </w:r>
          </w:p>
        </w:tc>
      </w:tr>
      <w:tr>
        <w:trPr>
          <w:trHeight w:val="216"/>
        </w:trPr>
        <w:tc>
          <w:tcPr>
            <w:tcW w:w="550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15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30,</w:t>
            </w:r>
          </w:p>
        </w:tc>
        <w:tc>
          <w:tcPr>
            <w:tcW w:w="1120" w:type="dxa"/>
            <w:vAlign w:val="bottom"/>
          </w:tcPr>
          <w:p>
            <w:pPr>
              <w:spacing w:after="0"/>
              <w:rPr>
                <w:sz w:val="18"/>
                <w:szCs w:val="18"/>
                <w:color w:val="auto"/>
              </w:rPr>
            </w:pPr>
          </w:p>
        </w:tc>
      </w:tr>
      <w:tr>
        <w:trPr>
          <w:trHeight w:val="217"/>
        </w:trPr>
        <w:tc>
          <w:tcPr>
            <w:tcW w:w="550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Arial" w:cs="Arial" w:eastAsia="Arial" w:hAnsi="Arial"/>
                <w:sz w:val="16"/>
                <w:szCs w:val="16"/>
                <w:b w:val="1"/>
                <w:bCs w:val="1"/>
                <w:color w:val="auto"/>
              </w:rPr>
              <w:t>2024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r>
    </w:tbl>
    <w:p>
      <w:pPr>
        <w:spacing w:after="0" w:line="1" w:lineRule="exact"/>
        <w:rPr>
          <w:sz w:val="20"/>
          <w:szCs w:val="20"/>
          <w:color w:val="auto"/>
        </w:rPr>
      </w:pPr>
    </w:p>
    <w:p>
      <w:pPr>
        <w:sectPr>
          <w:pgSz w:w="11900" w:h="16838" w:orient="portrait"/>
          <w:cols w:equalWidth="0" w:num="1">
            <w:col w:w="11240"/>
          </w:cols>
          <w:pgMar w:left="320" w:top="766" w:right="339" w:bottom="1440" w:gutter="0" w:footer="0" w:header="0"/>
        </w:sect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compensation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stock</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Anti-dilutive shares excluded from computation of earnings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7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 millions of shares)</w:t>
            </w:r>
          </w:p>
        </w:tc>
        <w:tc>
          <w:tcPr>
            <w:tcW w:w="10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5"/>
        </w:trPr>
        <w:tc>
          <w:tcPr>
            <w:tcW w:w="17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939"/>
              <w:spacing w:after="0"/>
              <w:rPr>
                <w:sz w:val="20"/>
                <w:szCs w:val="20"/>
                <w:color w:val="auto"/>
              </w:rPr>
            </w:pPr>
            <w:r>
              <w:rPr>
                <w:rFonts w:ascii="Arial" w:cs="Arial" w:eastAsia="Arial" w:hAnsi="Arial"/>
                <w:sz w:val="16"/>
                <w:szCs w:val="16"/>
                <w:color w:val="auto"/>
              </w:rPr>
              <w:t>0.1</w:t>
            </w:r>
          </w:p>
        </w:tc>
        <w:tc>
          <w:tcPr>
            <w:tcW w:w="10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0.1</w:t>
            </w: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-445135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-162560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440"/>
            <w:col w:w="5840"/>
          </w:cols>
          <w:pgMar w:left="320" w:top="766"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right="8060" w:firstLine="8"/>
        <w:spacing w:after="0" w:line="493" w:lineRule="auto"/>
        <w:tabs>
          <w:tab w:leader="none" w:pos="50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900" w:right="120" w:hanging="518"/>
        <w:spacing w:after="0" w:line="259" w:lineRule="auto"/>
        <w:tabs>
          <w:tab w:leader="none" w:pos="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900" w:hanging="518"/>
        <w:spacing w:after="0"/>
        <w:tabs>
          <w:tab w:leader="none" w:pos="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-45720</wp:posOffset>
            </wp:positionV>
            <wp:extent cx="302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enter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4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October 2024 through August 2026.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and (short) positions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September 30, 2024</w:t>
            </w:r>
          </w:p>
        </w:tc>
        <w:tc>
          <w:tcPr>
            <w:tcW w:w="300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December 31, 2023</w:t>
            </w:r>
          </w:p>
        </w:tc>
      </w:tr>
      <w:tr>
        <w:trPr>
          <w:trHeight w:val="182"/>
        </w:trPr>
        <w:tc>
          <w:tcPr>
            <w:tcW w:w="5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jc w:val="center"/>
              <w:ind w:right="179"/>
              <w:spacing w:after="0" w:line="182" w:lineRule="exact"/>
              <w:rPr>
                <w:sz w:val="20"/>
                <w:szCs w:val="20"/>
                <w:color w:val="auto"/>
              </w:rPr>
            </w:pPr>
            <w:r>
              <w:rPr>
                <w:rFonts w:ascii="Arial" w:cs="Arial" w:eastAsia="Arial" w:hAnsi="Arial"/>
                <w:sz w:val="16"/>
                <w:szCs w:val="16"/>
                <w:b w:val="1"/>
                <w:bCs w:val="1"/>
                <w:color w:val="auto"/>
                <w:w w:val="99"/>
              </w:rPr>
              <w:t>Notional</w:t>
            </w:r>
          </w:p>
        </w:tc>
        <w:tc>
          <w:tcPr>
            <w:tcW w:w="1580" w:type="dxa"/>
            <w:vAlign w:val="bottom"/>
          </w:tcPr>
          <w:p>
            <w:pPr>
              <w:spacing w:after="0"/>
              <w:rPr>
                <w:sz w:val="15"/>
                <w:szCs w:val="15"/>
                <w:color w:val="auto"/>
              </w:rPr>
            </w:pPr>
          </w:p>
        </w:tc>
      </w:tr>
      <w:tr>
        <w:trPr>
          <w:trHeight w:val="163"/>
        </w:trPr>
        <w:tc>
          <w:tcPr>
            <w:tcW w:w="5020" w:type="dxa"/>
            <w:vAlign w:val="bottom"/>
          </w:tcPr>
          <w:p>
            <w:pPr>
              <w:spacing w:after="0"/>
              <w:rPr>
                <w:sz w:val="14"/>
                <w:szCs w:val="14"/>
                <w:color w:val="auto"/>
              </w:rPr>
            </w:pPr>
          </w:p>
        </w:tc>
        <w:tc>
          <w:tcPr>
            <w:tcW w:w="156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auto"/>
              </w:rPr>
              <w:t>Notional Amounts</w:t>
            </w:r>
          </w:p>
        </w:tc>
        <w:tc>
          <w:tcPr>
            <w:tcW w:w="1660" w:type="dxa"/>
            <w:vAlign w:val="bottom"/>
          </w:tcPr>
          <w:p>
            <w:pPr>
              <w:jc w:val="right"/>
              <w:ind w:right="279"/>
              <w:spacing w:after="0" w:line="163" w:lineRule="exact"/>
              <w:rPr>
                <w:sz w:val="20"/>
                <w:szCs w:val="20"/>
                <w:color w:val="auto"/>
              </w:rPr>
            </w:pPr>
            <w:r>
              <w:rPr>
                <w:rFonts w:ascii="Arial" w:cs="Arial" w:eastAsia="Arial" w:hAnsi="Arial"/>
                <w:sz w:val="16"/>
                <w:szCs w:val="16"/>
                <w:b w:val="1"/>
                <w:bCs w:val="1"/>
                <w:color w:val="auto"/>
              </w:rPr>
              <w:t>Maximum Term</w:t>
            </w:r>
          </w:p>
        </w:tc>
        <w:tc>
          <w:tcPr>
            <w:tcW w:w="1420" w:type="dxa"/>
            <w:vAlign w:val="bottom"/>
          </w:tcPr>
          <w:p>
            <w:pPr>
              <w:jc w:val="center"/>
              <w:ind w:right="159"/>
              <w:spacing w:after="0" w:line="163" w:lineRule="exact"/>
              <w:rPr>
                <w:sz w:val="20"/>
                <w:szCs w:val="20"/>
                <w:color w:val="auto"/>
              </w:rPr>
            </w:pPr>
            <w:r>
              <w:rPr>
                <w:rFonts w:ascii="Arial" w:cs="Arial" w:eastAsia="Arial" w:hAnsi="Arial"/>
                <w:sz w:val="16"/>
                <w:szCs w:val="16"/>
                <w:b w:val="1"/>
                <w:bCs w:val="1"/>
                <w:color w:val="auto"/>
              </w:rPr>
              <w:t>Amounts</w:t>
            </w:r>
          </w:p>
        </w:tc>
        <w:tc>
          <w:tcPr>
            <w:tcW w:w="158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auto"/>
              </w:rPr>
              <w:t>Maximum Term</w:t>
            </w:r>
          </w:p>
        </w:tc>
      </w:tr>
      <w:tr>
        <w:trPr>
          <w:trHeight w:val="243"/>
        </w:trPr>
        <w:tc>
          <w:tcPr>
            <w:tcW w:w="5020" w:type="dxa"/>
            <w:vAlign w:val="bottom"/>
          </w:tcPr>
          <w:p>
            <w:pPr>
              <w:spacing w:after="0"/>
              <w:rPr>
                <w:sz w:val="21"/>
                <w:szCs w:val="21"/>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(MMBtus)</w:t>
            </w:r>
          </w:p>
        </w:tc>
        <w:tc>
          <w:tcPr>
            <w:tcW w:w="1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(MMBtus)</w:t>
            </w: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(a)</w:t>
            </w:r>
          </w:p>
        </w:tc>
      </w:tr>
      <w:tr>
        <w:trPr>
          <w:trHeight w:val="20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futures purchased</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1,800,000</w:t>
            </w:r>
          </w:p>
        </w:tc>
        <w:tc>
          <w:tcPr>
            <w:tcW w:w="16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650,000</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7,680,000</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2,850,000</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217"/>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basis swaps purchased</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1,800,000</w:t>
            </w:r>
          </w:p>
        </w:tc>
        <w:tc>
          <w:tcPr>
            <w:tcW w:w="16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1,050,000</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4,890,000</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3,890,000</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32,240,665</w:t>
            </w:r>
          </w:p>
        </w:tc>
        <w:tc>
          <w:tcPr>
            <w:tcW w:w="16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12,582,415</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September 30, 2024, 2,276,000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171"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September 30, 2024, the Company posted $0.5 million related to such provisions, which is included in Other current assets on the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4120" w:type="dxa"/>
            <w:vAlign w:val="bottom"/>
          </w:tcPr>
          <w:p>
            <w:pPr>
              <w:spacing w:after="0"/>
              <w:rPr>
                <w:sz w:val="18"/>
                <w:szCs w:val="18"/>
                <w:color w:val="auto"/>
              </w:rPr>
            </w:pPr>
          </w:p>
        </w:tc>
        <w:tc>
          <w:tcPr>
            <w:tcW w:w="394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Balance Sheet Location</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r>
      <w:tr>
        <w:trPr>
          <w:trHeight w:val="209"/>
        </w:trPr>
        <w:tc>
          <w:tcPr>
            <w:tcW w:w="4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2"/>
          </w:tcPr>
          <w:p>
            <w:pPr>
              <w:jc w:val="right"/>
              <w:ind w:right="1159"/>
              <w:spacing w:after="0"/>
              <w:rPr>
                <w:sz w:val="20"/>
                <w:szCs w:val="20"/>
                <w:color w:val="auto"/>
              </w:rPr>
            </w:pPr>
            <w:r>
              <w:rPr>
                <w:rFonts w:ascii="Arial" w:cs="Arial" w:eastAsia="Arial" w:hAnsi="Arial"/>
                <w:sz w:val="16"/>
                <w:szCs w:val="16"/>
                <w:color w:val="auto"/>
              </w:rPr>
              <w:t>(in millions)</w:t>
            </w:r>
          </w:p>
        </w:tc>
      </w:tr>
      <w:tr>
        <w:trPr>
          <w:trHeight w:val="217"/>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hedges:</w:t>
            </w:r>
          </w:p>
        </w:tc>
        <w:tc>
          <w:tcPr>
            <w:tcW w:w="3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412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(0.6 )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412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40" w:type="dxa"/>
            <w:vAlign w:val="bottom"/>
          </w:tcPr>
          <w:p>
            <w:pPr>
              <w:spacing w:after="0"/>
              <w:rPr>
                <w:sz w:val="20"/>
                <w:szCs w:val="20"/>
                <w:color w:val="auto"/>
              </w:rPr>
            </w:pPr>
            <w:r>
              <w:rPr>
                <w:rFonts w:ascii="Arial" w:cs="Arial" w:eastAsia="Arial" w:hAnsi="Arial"/>
                <w:sz w:val="16"/>
                <w:szCs w:val="16"/>
                <w:color w:val="auto"/>
              </w:rPr>
              <w:t>Other assets, non-current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250"/>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(0.6 ) $</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(2.9 )</w:t>
            </w:r>
          </w:p>
        </w:tc>
      </w:tr>
      <w:tr>
        <w:trPr>
          <w:trHeight w:val="196"/>
        </w:trPr>
        <w:tc>
          <w:tcPr>
            <w:tcW w:w="4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hedges:</w:t>
            </w:r>
          </w:p>
        </w:tc>
        <w:tc>
          <w:tcPr>
            <w:tcW w:w="3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412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(3.9 )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(3.8 )</w:t>
            </w:r>
          </w:p>
        </w:tc>
      </w:tr>
      <w:tr>
        <w:trPr>
          <w:trHeight w:val="216"/>
        </w:trPr>
        <w:tc>
          <w:tcPr>
            <w:tcW w:w="412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40" w:type="dxa"/>
            <w:vAlign w:val="bottom"/>
          </w:tcPr>
          <w:p>
            <w:pPr>
              <w:spacing w:after="0"/>
              <w:rPr>
                <w:sz w:val="20"/>
                <w:szCs w:val="20"/>
                <w:color w:val="auto"/>
              </w:rPr>
            </w:pPr>
            <w:r>
              <w:rPr>
                <w:rFonts w:ascii="Arial" w:cs="Arial" w:eastAsia="Arial" w:hAnsi="Arial"/>
                <w:sz w:val="16"/>
                <w:szCs w:val="16"/>
                <w:color w:val="auto"/>
              </w:rPr>
              <w:t>Other deferred credits and other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49"/>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(4.0 ) $</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are presented below for the three and nine months ended September 30, 2024, and 2023.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September 30,</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82"/>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179"/>
              <w:spacing w:after="0" w:line="182"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8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20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Amount of Gain/(Loss)</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rPr>
              <w:t>Reclassified from AOCI</w:t>
            </w:r>
          </w:p>
        </w:tc>
      </w:tr>
      <w:tr>
        <w:trPr>
          <w:trHeight w:val="21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Recognized in OCI</w:t>
            </w:r>
          </w:p>
        </w:tc>
        <w:tc>
          <w:tcPr>
            <w:tcW w:w="34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Income Statement Location</w:t>
            </w: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209"/>
        </w:trPr>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color w:val="auto"/>
              </w:rPr>
              <w:t>(in millions)</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 millions)</w:t>
            </w:r>
          </w:p>
        </w:tc>
      </w:tr>
      <w:tr>
        <w:trPr>
          <w:trHeight w:val="210"/>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(0.8 )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(0.7 )</w:t>
            </w:r>
          </w:p>
        </w:tc>
      </w:t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7"/>
        </w:trPr>
        <w:tc>
          <w:tcPr>
            <w:tcW w:w="358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4280" w:type="dxa"/>
            <w:vAlign w:val="bottom"/>
            <w:gridSpan w:val="2"/>
          </w:tcPr>
          <w:p>
            <w:pPr>
              <w:ind w:left="400"/>
              <w:spacing w:after="0"/>
              <w:rPr>
                <w:sz w:val="20"/>
                <w:szCs w:val="20"/>
                <w:color w:val="auto"/>
              </w:rPr>
            </w:pPr>
            <w:r>
              <w:rPr>
                <w:rFonts w:ascii="Arial" w:cs="Arial" w:eastAsia="Arial" w:hAnsi="Arial"/>
                <w:sz w:val="16"/>
                <w:szCs w:val="16"/>
                <w:color w:val="auto"/>
              </w:rPr>
              <w:t>(0.2 ) sold</w:t>
            </w:r>
          </w:p>
        </w:tc>
        <w:tc>
          <w:tcPr>
            <w:tcW w:w="100" w:type="dxa"/>
            <w:vAlign w:val="bottom"/>
          </w:tcPr>
          <w:p>
            <w:pPr>
              <w:spacing w:after="0"/>
              <w:rPr>
                <w:sz w:val="18"/>
                <w:szCs w:val="18"/>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35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c>
          <w:tcPr>
            <w:tcW w:w="3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(0.8 ) $</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22028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22028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35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Nine Months Ended</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September 30,</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82"/>
        </w:trPr>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179"/>
              <w:spacing w:after="0" w:line="182"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Derivatives in Cash Flow Hedging</w:t>
            </w:r>
          </w:p>
        </w:tc>
        <w:tc>
          <w:tcPr>
            <w:tcW w:w="20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Amount of Gain/(Loss)</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rPr>
              <w:t>Reclassified from AOCI</w:t>
            </w:r>
          </w:p>
        </w:tc>
      </w:tr>
      <w:tr>
        <w:trPr>
          <w:trHeight w:val="217"/>
        </w:trPr>
        <w:tc>
          <w:tcPr>
            <w:tcW w:w="3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Relationships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Recognized in OCI</w:t>
            </w:r>
          </w:p>
        </w:tc>
        <w:tc>
          <w:tcPr>
            <w:tcW w:w="34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Income Statement Location</w:t>
            </w: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209"/>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color w:val="auto"/>
              </w:rPr>
              <w:t>(in millions)</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 millions)</w:t>
            </w:r>
          </w:p>
        </w:tc>
      </w:tr>
      <w:tr>
        <w:trPr>
          <w:trHeight w:val="210"/>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(2.2 )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(2.1 )</w:t>
            </w:r>
          </w:p>
        </w:tc>
      </w:tr>
      <w:tr>
        <w:trPr>
          <w:trHeight w:val="188"/>
        </w:trPr>
        <w:tc>
          <w:tcPr>
            <w:tcW w:w="1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7"/>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Commodity derivatives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3480" w:type="dxa"/>
            <w:vAlign w:val="bottom"/>
          </w:tcPr>
          <w:p>
            <w:pPr>
              <w:ind w:left="20"/>
              <w:spacing w:after="0"/>
              <w:rPr>
                <w:sz w:val="20"/>
                <w:szCs w:val="20"/>
                <w:color w:val="auto"/>
              </w:rPr>
            </w:pPr>
            <w:r>
              <w:rPr>
                <w:rFonts w:ascii="Arial" w:cs="Arial" w:eastAsia="Arial" w:hAnsi="Arial"/>
                <w:sz w:val="16"/>
                <w:szCs w:val="16"/>
                <w:color w:val="auto"/>
              </w:rPr>
              <w:t>sold</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(3.2 )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250"/>
        </w:trPr>
        <w:tc>
          <w:tcPr>
            <w:tcW w:w="358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w:t>
            </w:r>
          </w:p>
        </w:tc>
        <w:tc>
          <w:tcPr>
            <w:tcW w:w="3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6"/>
                <w:szCs w:val="16"/>
                <w:color w:val="auto"/>
              </w:rPr>
              <w:t>(5.4 ) $</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22028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22028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5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of September 30, 2024, $2.9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and nine months ended September 30, 2024, and 2023.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52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center"/>
              <w:ind w:left="39"/>
              <w:spacing w:after="0" w:line="182" w:lineRule="exact"/>
              <w:rPr>
                <w:sz w:val="20"/>
                <w:szCs w:val="20"/>
                <w:color w:val="auto"/>
              </w:rPr>
            </w:pPr>
            <w:r>
              <w:rPr>
                <w:rFonts w:ascii="Arial" w:cs="Arial" w:eastAsia="Arial" w:hAnsi="Arial"/>
                <w:sz w:val="16"/>
                <w:szCs w:val="16"/>
                <w:b w:val="1"/>
                <w:bCs w:val="1"/>
                <w:color w:val="auto"/>
              </w:rPr>
              <w:t>Derivatives Not Designated as Hedging</w:t>
            </w:r>
          </w:p>
        </w:tc>
        <w:tc>
          <w:tcPr>
            <w:tcW w:w="3620" w:type="dxa"/>
            <w:vAlign w:val="bottom"/>
          </w:tcPr>
          <w:p>
            <w:pPr>
              <w:jc w:val="center"/>
              <w:ind w:left="59"/>
              <w:spacing w:after="0" w:line="182" w:lineRule="exact"/>
              <w:rPr>
                <w:sz w:val="20"/>
                <w:szCs w:val="20"/>
                <w:color w:val="auto"/>
              </w:rPr>
            </w:pPr>
            <w:r>
              <w:rPr>
                <w:rFonts w:ascii="Arial" w:cs="Arial" w:eastAsia="Arial" w:hAnsi="Arial"/>
                <w:sz w:val="16"/>
                <w:szCs w:val="16"/>
                <w:b w:val="1"/>
                <w:bCs w:val="1"/>
                <w:color w:val="auto"/>
              </w:rPr>
              <w:t>Location of Gain/(Loss) on Derivatives</w:t>
            </w:r>
          </w:p>
        </w:tc>
        <w:tc>
          <w:tcPr>
            <w:tcW w:w="4080" w:type="dxa"/>
            <w:vAlign w:val="bottom"/>
            <w:gridSpan w:val="4"/>
          </w:tcPr>
          <w:p>
            <w:pPr>
              <w:jc w:val="center"/>
              <w:ind w:right="59"/>
              <w:spacing w:after="0" w:line="182"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center"/>
              <w:ind w:right="839"/>
              <w:spacing w:after="0"/>
              <w:rPr>
                <w:sz w:val="20"/>
                <w:szCs w:val="20"/>
                <w:color w:val="auto"/>
              </w:rPr>
            </w:pPr>
            <w:r>
              <w:rPr>
                <w:rFonts w:ascii="Arial" w:cs="Arial" w:eastAsia="Arial" w:hAnsi="Arial"/>
                <w:sz w:val="16"/>
                <w:szCs w:val="16"/>
                <w:b w:val="1"/>
                <w:bCs w:val="1"/>
                <w:color w:val="auto"/>
              </w:rPr>
              <w:t>in Income</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2"/>
          </w:tcPr>
          <w:p>
            <w:pPr>
              <w:jc w:val="center"/>
              <w:ind w:right="819"/>
              <w:spacing w:after="0"/>
              <w:rPr>
                <w:sz w:val="20"/>
                <w:szCs w:val="20"/>
                <w:color w:val="auto"/>
              </w:rPr>
            </w:pPr>
            <w:r>
              <w:rPr>
                <w:rFonts w:ascii="Arial" w:cs="Arial" w:eastAsia="Arial" w:hAnsi="Arial"/>
                <w:sz w:val="16"/>
                <w:szCs w:val="16"/>
                <w:color w:val="auto"/>
              </w:rPr>
              <w:t>(in millions)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spacing w:after="0"/>
              <w:rPr>
                <w:sz w:val="16"/>
                <w:szCs w:val="16"/>
                <w:color w:val="auto"/>
              </w:rPr>
            </w:pPr>
          </w:p>
        </w:tc>
        <w:tc>
          <w:tcPr>
            <w:tcW w:w="36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2160" w:type="dxa"/>
            <w:vAlign w:val="bottom"/>
            <w:gridSpan w:val="2"/>
            <w:vMerge w:val="restart"/>
            <w:shd w:val="clear" w:color="auto" w:fill="CFF0FC"/>
          </w:tcPr>
          <w:p>
            <w:pPr>
              <w:jc w:val="right"/>
              <w:ind w:right="1279"/>
              <w:spacing w:after="0"/>
              <w:rPr>
                <w:sz w:val="20"/>
                <w:szCs w:val="20"/>
                <w:color w:val="auto"/>
              </w:rPr>
            </w:pPr>
            <w:r>
              <w:rPr>
                <w:rFonts w:ascii="Arial" w:cs="Arial" w:eastAsia="Arial" w:hAnsi="Arial"/>
                <w:sz w:val="16"/>
                <w:szCs w:val="16"/>
                <w:color w:val="auto"/>
              </w:rPr>
              <w:t>(0.3 ) $</w:t>
            </w:r>
          </w:p>
        </w:tc>
        <w:tc>
          <w:tcPr>
            <w:tcW w:w="5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2160" w:type="dxa"/>
            <w:vAlign w:val="bottom"/>
            <w:tcBorders>
              <w:bottom w:val="single" w:sz="8" w:color="auto"/>
            </w:tcBorders>
            <w:gridSpan w:val="2"/>
            <w:vMerge w:val="continue"/>
            <w:shd w:val="clear" w:color="auto" w:fill="CFF0FC"/>
          </w:tcPr>
          <w:p>
            <w:pPr>
              <w:spacing w:after="0"/>
              <w:rPr>
                <w:sz w:val="17"/>
                <w:szCs w:val="17"/>
                <w:color w:val="auto"/>
              </w:rPr>
            </w:pPr>
          </w:p>
        </w:tc>
        <w:tc>
          <w:tcPr>
            <w:tcW w:w="5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auto"/>
            </w:tcBorders>
            <w:gridSpan w:val="2"/>
          </w:tcPr>
          <w:p>
            <w:pPr>
              <w:jc w:val="right"/>
              <w:ind w:right="1279"/>
              <w:spacing w:after="0"/>
              <w:rPr>
                <w:sz w:val="20"/>
                <w:szCs w:val="20"/>
                <w:color w:val="auto"/>
              </w:rPr>
            </w:pPr>
            <w:r>
              <w:rPr>
                <w:rFonts w:ascii="Arial" w:cs="Arial" w:eastAsia="Arial" w:hAnsi="Arial"/>
                <w:sz w:val="16"/>
                <w:szCs w:val="16"/>
                <w:color w:val="auto"/>
              </w:rPr>
              <w:t>(0.3 ) $</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52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2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Nine Months Ended September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center"/>
              <w:ind w:left="39"/>
              <w:spacing w:after="0" w:line="182" w:lineRule="exact"/>
              <w:rPr>
                <w:sz w:val="20"/>
                <w:szCs w:val="20"/>
                <w:color w:val="auto"/>
              </w:rPr>
            </w:pPr>
            <w:r>
              <w:rPr>
                <w:rFonts w:ascii="Arial" w:cs="Arial" w:eastAsia="Arial" w:hAnsi="Arial"/>
                <w:sz w:val="16"/>
                <w:szCs w:val="16"/>
                <w:b w:val="1"/>
                <w:bCs w:val="1"/>
                <w:color w:val="auto"/>
              </w:rPr>
              <w:t>Derivatives Not Designated as Hedging</w:t>
            </w:r>
          </w:p>
        </w:tc>
        <w:tc>
          <w:tcPr>
            <w:tcW w:w="3620" w:type="dxa"/>
            <w:vAlign w:val="bottom"/>
          </w:tcPr>
          <w:p>
            <w:pPr>
              <w:jc w:val="center"/>
              <w:ind w:left="59"/>
              <w:spacing w:after="0" w:line="182" w:lineRule="exact"/>
              <w:rPr>
                <w:sz w:val="20"/>
                <w:szCs w:val="20"/>
                <w:color w:val="auto"/>
              </w:rPr>
            </w:pPr>
            <w:r>
              <w:rPr>
                <w:rFonts w:ascii="Arial" w:cs="Arial" w:eastAsia="Arial" w:hAnsi="Arial"/>
                <w:sz w:val="16"/>
                <w:szCs w:val="16"/>
                <w:b w:val="1"/>
                <w:bCs w:val="1"/>
                <w:color w:val="auto"/>
              </w:rPr>
              <w:t>Location of Gain/(Loss) on Derivatives</w:t>
            </w:r>
          </w:p>
        </w:tc>
        <w:tc>
          <w:tcPr>
            <w:tcW w:w="4080" w:type="dxa"/>
            <w:vAlign w:val="bottom"/>
            <w:gridSpan w:val="4"/>
          </w:tcPr>
          <w:p>
            <w:pPr>
              <w:jc w:val="center"/>
              <w:ind w:right="59"/>
              <w:spacing w:after="0" w:line="182"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center"/>
              <w:ind w:right="839"/>
              <w:spacing w:after="0"/>
              <w:rPr>
                <w:sz w:val="20"/>
                <w:szCs w:val="20"/>
                <w:color w:val="auto"/>
              </w:rPr>
            </w:pPr>
            <w:r>
              <w:rPr>
                <w:rFonts w:ascii="Arial" w:cs="Arial" w:eastAsia="Arial" w:hAnsi="Arial"/>
                <w:sz w:val="16"/>
                <w:szCs w:val="16"/>
                <w:b w:val="1"/>
                <w:bCs w:val="1"/>
                <w:color w:val="auto"/>
              </w:rPr>
              <w:t>in Income</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2"/>
          </w:tcPr>
          <w:p>
            <w:pPr>
              <w:jc w:val="center"/>
              <w:ind w:right="819"/>
              <w:spacing w:after="0"/>
              <w:rPr>
                <w:sz w:val="20"/>
                <w:szCs w:val="20"/>
                <w:color w:val="auto"/>
              </w:rPr>
            </w:pPr>
            <w:r>
              <w:rPr>
                <w:rFonts w:ascii="Arial" w:cs="Arial" w:eastAsia="Arial" w:hAnsi="Arial"/>
                <w:sz w:val="16"/>
                <w:szCs w:val="16"/>
                <w:color w:val="auto"/>
              </w:rPr>
              <w:t>(in millions)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spacing w:after="0"/>
              <w:rPr>
                <w:sz w:val="16"/>
                <w:szCs w:val="16"/>
                <w:color w:val="auto"/>
              </w:rPr>
            </w:pPr>
          </w:p>
        </w:tc>
        <w:tc>
          <w:tcPr>
            <w:tcW w:w="36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520" w:type="dxa"/>
            <w:vAlign w:val="bottom"/>
            <w:vMerge w:val="restart"/>
            <w:shd w:val="clear" w:color="auto" w:fill="CFF0FC"/>
          </w:tcPr>
          <w:p>
            <w:pPr>
              <w:jc w:val="right"/>
              <w:ind w:right="1279"/>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1520" w:type="dxa"/>
            <w:vAlign w:val="bottom"/>
            <w:tcBorders>
              <w:bottom w:val="single" w:sz="8" w:color="auto"/>
            </w:tcBorders>
            <w:vMerge w:val="continue"/>
            <w:shd w:val="clear" w:color="auto" w:fill="CFF0FC"/>
          </w:tcPr>
          <w:p>
            <w:pPr>
              <w:spacing w:after="0"/>
              <w:rPr>
                <w:sz w:val="17"/>
                <w:szCs w:val="17"/>
                <w:color w:val="auto"/>
              </w:rPr>
            </w:pPr>
          </w:p>
        </w:tc>
        <w:tc>
          <w:tcPr>
            <w:tcW w:w="5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52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We had $3.2 million in net unrealized losses included in our Regulatory asset accounts related to these financial instruments in our Gas Utilities as of September 30, 2024, and the amount was $5.1 million as of December 31, 2023.</w:t>
      </w:r>
    </w:p>
    <w:p>
      <w:pPr>
        <w:spacing w:after="0" w:line="340"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2023 Annual Report on Form 10-K.</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4"/>
          </w:tcPr>
          <w:p>
            <w:pPr>
              <w:jc w:val="right"/>
              <w:ind w:right="1543"/>
              <w:spacing w:after="0"/>
              <w:rPr>
                <w:sz w:val="20"/>
                <w:szCs w:val="20"/>
                <w:color w:val="auto"/>
              </w:rPr>
            </w:pPr>
            <w:r>
              <w:rPr>
                <w:rFonts w:ascii="Arial" w:cs="Arial" w:eastAsia="Arial" w:hAnsi="Arial"/>
                <w:sz w:val="16"/>
                <w:szCs w:val="16"/>
                <w:b w:val="1"/>
                <w:bCs w:val="1"/>
                <w:color w:val="auto"/>
              </w:rPr>
              <w:t>As of September 30, 2024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443"/>
              <w:spacing w:after="0"/>
              <w:rPr>
                <w:sz w:val="20"/>
                <w:szCs w:val="20"/>
                <w:color w:val="auto"/>
              </w:rPr>
            </w:pPr>
            <w:r>
              <w:rPr>
                <w:rFonts w:ascii="Arial" w:cs="Arial" w:eastAsia="Arial" w:hAnsi="Arial"/>
                <w:sz w:val="16"/>
                <w:szCs w:val="16"/>
                <w:b w:val="1"/>
                <w:bCs w:val="1"/>
                <w:color w:val="auto"/>
              </w:rPr>
              <w:t>Cash Collateral and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60" w:type="dxa"/>
            <w:vAlign w:val="bottom"/>
            <w:gridSpan w:val="2"/>
          </w:tcPr>
          <w:p>
            <w:pPr>
              <w:jc w:val="center"/>
              <w:ind w:right="303"/>
              <w:spacing w:after="0" w:line="163" w:lineRule="exact"/>
              <w:rPr>
                <w:sz w:val="20"/>
                <w:szCs w:val="20"/>
                <w:color w:val="auto"/>
              </w:rPr>
            </w:pPr>
            <w:r>
              <w:rPr>
                <w:rFonts w:ascii="Arial" w:cs="Arial" w:eastAsia="Arial" w:hAnsi="Arial"/>
                <w:sz w:val="16"/>
                <w:szCs w:val="16"/>
                <w:b w:val="1"/>
                <w:bCs w:val="1"/>
                <w:color w:val="auto"/>
              </w:rPr>
              <w:t>Counterparty Netting</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020" w:type="dxa"/>
            <w:vAlign w:val="bottom"/>
            <w:vMerge w:val="restart"/>
          </w:tcPr>
          <w:p>
            <w:pPr>
              <w:jc w:val="right"/>
              <w:ind w:right="59"/>
              <w:spacing w:after="0" w:line="175" w:lineRule="exact"/>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0"/>
                <w:szCs w:val="10"/>
                <w:color w:val="auto"/>
              </w:rPr>
            </w:pPr>
          </w:p>
        </w:tc>
        <w:tc>
          <w:tcPr>
            <w:tcW w:w="980" w:type="dxa"/>
            <w:vAlign w:val="bottom"/>
            <w:vMerge w:val="restart"/>
          </w:tcPr>
          <w:p>
            <w:pPr>
              <w:jc w:val="right"/>
              <w:spacing w:after="0" w:line="175" w:lineRule="exact"/>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339"/>
              <w:spacing w:after="0" w:line="175"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2040" w:type="dxa"/>
            <w:vAlign w:val="bottom"/>
          </w:tcPr>
          <w:p>
            <w:pPr>
              <w:jc w:val="center"/>
              <w:ind w:right="383"/>
              <w:spacing w:after="0" w:line="122" w:lineRule="exact"/>
              <w:rPr>
                <w:sz w:val="20"/>
                <w:szCs w:val="20"/>
                <w:color w:val="auto"/>
              </w:rPr>
            </w:pPr>
            <w:r>
              <w:rPr>
                <w:rFonts w:ascii="Arial" w:cs="Arial" w:eastAsia="Arial" w:hAnsi="Arial"/>
                <w:sz w:val="11"/>
                <w:szCs w:val="11"/>
                <w:b w:val="1"/>
                <w:bCs w:val="1"/>
                <w:color w:val="auto"/>
              </w:rPr>
              <w:t>(a)</w:t>
            </w:r>
          </w:p>
        </w:tc>
        <w:tc>
          <w:tcPr>
            <w:tcW w:w="1060" w:type="dxa"/>
            <w:vAlign w:val="bottom"/>
            <w:vMerge w:val="restart"/>
          </w:tcPr>
          <w:p>
            <w:pPr>
              <w:jc w:val="right"/>
              <w:ind w:right="439"/>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(5.6 )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(5.6 )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(1.1 )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(1.1 )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360" w:hanging="512"/>
        <w:spacing w:after="0" w:line="285"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September 30, 2024, $5.6 million of our commodity derivative assets and $1.1 million of our commodity derivative liabilities, as well as related gross collateral amounts, were subject to master netting agreements.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gridSpan w:val="4"/>
          </w:tcPr>
          <w:p>
            <w:pPr>
              <w:jc w:val="right"/>
              <w:ind w:right="1563"/>
              <w:spacing w:after="0"/>
              <w:rPr>
                <w:sz w:val="20"/>
                <w:szCs w:val="20"/>
                <w:color w:val="auto"/>
              </w:rPr>
            </w:pPr>
            <w:r>
              <w:rPr>
                <w:rFonts w:ascii="Arial" w:cs="Arial" w:eastAsia="Arial" w:hAnsi="Arial"/>
                <w:sz w:val="16"/>
                <w:szCs w:val="16"/>
                <w:b w:val="1"/>
                <w:bCs w:val="1"/>
                <w:color w:val="auto"/>
              </w:rPr>
              <w:t>As of December 31, 2023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443"/>
              <w:spacing w:after="0"/>
              <w:rPr>
                <w:sz w:val="20"/>
                <w:szCs w:val="20"/>
                <w:color w:val="auto"/>
              </w:rPr>
            </w:pPr>
            <w:r>
              <w:rPr>
                <w:rFonts w:ascii="Arial" w:cs="Arial" w:eastAsia="Arial" w:hAnsi="Arial"/>
                <w:sz w:val="16"/>
                <w:szCs w:val="16"/>
                <w:b w:val="1"/>
                <w:bCs w:val="1"/>
                <w:color w:val="auto"/>
              </w:rPr>
              <w:t>Cash Collateral and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Level 3</w:t>
            </w:r>
          </w:p>
        </w:tc>
        <w:tc>
          <w:tcPr>
            <w:tcW w:w="2160" w:type="dxa"/>
            <w:vAlign w:val="bottom"/>
            <w:gridSpan w:val="2"/>
          </w:tcPr>
          <w:p>
            <w:pPr>
              <w:jc w:val="center"/>
              <w:ind w:right="303"/>
              <w:spacing w:after="0" w:line="163" w:lineRule="exact"/>
              <w:rPr>
                <w:sz w:val="20"/>
                <w:szCs w:val="20"/>
                <w:color w:val="auto"/>
              </w:rPr>
            </w:pPr>
            <w:r>
              <w:rPr>
                <w:rFonts w:ascii="Arial" w:cs="Arial" w:eastAsia="Arial" w:hAnsi="Arial"/>
                <w:sz w:val="16"/>
                <w:szCs w:val="16"/>
                <w:b w:val="1"/>
                <w:bCs w:val="1"/>
                <w:color w:val="auto"/>
              </w:rPr>
              <w:t>Counterparty Netting</w:t>
            </w:r>
          </w:p>
        </w:tc>
        <w:tc>
          <w:tcPr>
            <w:tcW w:w="106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ind w:right="383"/>
              <w:spacing w:after="0"/>
              <w:rPr>
                <w:sz w:val="20"/>
                <w:szCs w:val="20"/>
                <w:color w:val="auto"/>
              </w:rPr>
            </w:pPr>
            <w:r>
              <w:rPr>
                <w:rFonts w:ascii="Arial" w:cs="Arial" w:eastAsia="Arial" w:hAnsi="Arial"/>
                <w:sz w:val="11"/>
                <w:szCs w:val="11"/>
                <w:b w:val="1"/>
                <w:bCs w:val="1"/>
                <w:color w:val="auto"/>
              </w:rPr>
              <w:t>(a)</w:t>
            </w: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(1.9 )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(1.9 )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(3.3 )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10.1</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(3.3 )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400" w:hanging="512"/>
        <w:spacing w:after="0" w:line="249"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December 31, 2023, $1.9 million of our commodity derivative assets and $3.3 million of our commodity derivative liabilities, as well as related gross collateral amounts, were subject to master netting agreements.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2023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September 30, 2024</w:t>
            </w: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December 31, 2023</w:t>
            </w:r>
          </w:p>
        </w:tc>
      </w:tr>
      <w:tr>
        <w:trPr>
          <w:trHeight w:val="182"/>
        </w:trPr>
        <w:tc>
          <w:tcPr>
            <w:tcW w:w="5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9"/>
              <w:spacing w:after="0" w:line="182" w:lineRule="exact"/>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7"/>
        </w:trPr>
        <w:tc>
          <w:tcPr>
            <w:tcW w:w="5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3"/>
          </w:tcPr>
          <w:p>
            <w:pPr>
              <w:jc w:val="right"/>
              <w:ind w:right="979"/>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546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4,248.8</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4,198.7</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4,401.2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220" w:hanging="512"/>
        <w:spacing w:after="0" w:line="285"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15"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rPr>
              <w:t>Amount Reclassified from</w:t>
            </w:r>
          </w:p>
        </w:tc>
        <w:tc>
          <w:tcPr>
            <w:tcW w:w="230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rPr>
              <w:t>Amount Reclassified from</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AOCI</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left="479"/>
              <w:spacing w:after="0"/>
              <w:rPr>
                <w:sz w:val="20"/>
                <w:szCs w:val="20"/>
                <w:color w:val="auto"/>
              </w:rPr>
            </w:pPr>
            <w:r>
              <w:rPr>
                <w:rFonts w:ascii="Arial" w:cs="Arial" w:eastAsia="Arial" w:hAnsi="Arial"/>
                <w:sz w:val="16"/>
                <w:szCs w:val="16"/>
                <w:b w:val="1"/>
                <w:bCs w:val="1"/>
                <w:color w:val="auto"/>
                <w:w w:val="99"/>
              </w:rPr>
              <w:t>AOCI</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960" w:type="dxa"/>
            <w:vAlign w:val="bottom"/>
          </w:tcPr>
          <w:p>
            <w:pPr>
              <w:ind w:left="340"/>
              <w:spacing w:after="0"/>
              <w:rPr>
                <w:sz w:val="20"/>
                <w:szCs w:val="20"/>
                <w:color w:val="auto"/>
              </w:rPr>
            </w:pPr>
            <w:r>
              <w:rPr>
                <w:rFonts w:ascii="Arial" w:cs="Arial" w:eastAsia="Arial" w:hAnsi="Arial"/>
                <w:sz w:val="16"/>
                <w:szCs w:val="16"/>
                <w:b w:val="1"/>
                <w:bCs w:val="1"/>
                <w:color w:val="auto"/>
              </w:rPr>
              <w:t>Location on the Consolidated</w:t>
            </w:r>
          </w:p>
        </w:tc>
        <w:tc>
          <w:tcPr>
            <w:tcW w:w="200" w:type="dxa"/>
            <w:vAlign w:val="bottom"/>
          </w:tcPr>
          <w:p>
            <w:pPr>
              <w:spacing w:after="0"/>
              <w:rPr>
                <w:sz w:val="16"/>
                <w:szCs w:val="16"/>
                <w:color w:val="auto"/>
              </w:rPr>
            </w:pPr>
          </w:p>
        </w:tc>
        <w:tc>
          <w:tcPr>
            <w:tcW w:w="204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04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7"/>
        </w:trPr>
        <w:tc>
          <w:tcPr>
            <w:tcW w:w="3740" w:type="dxa"/>
            <w:vAlign w:val="bottom"/>
          </w:tcPr>
          <w:p>
            <w:pPr>
              <w:spacing w:after="0"/>
              <w:rPr>
                <w:sz w:val="18"/>
                <w:szCs w:val="18"/>
                <w:color w:val="auto"/>
              </w:rPr>
            </w:pPr>
          </w:p>
        </w:tc>
        <w:tc>
          <w:tcPr>
            <w:tcW w:w="2960" w:type="dxa"/>
            <w:vAlign w:val="bottom"/>
          </w:tcPr>
          <w:p>
            <w:pPr>
              <w:ind w:left="660"/>
              <w:spacing w:after="0"/>
              <w:rPr>
                <w:sz w:val="20"/>
                <w:szCs w:val="20"/>
                <w:color w:val="auto"/>
              </w:rPr>
            </w:pPr>
            <w:r>
              <w:rPr>
                <w:rFonts w:ascii="Arial" w:cs="Arial" w:eastAsia="Arial" w:hAnsi="Arial"/>
                <w:sz w:val="16"/>
                <w:szCs w:val="16"/>
                <w:b w:val="1"/>
                <w:bCs w:val="1"/>
                <w:color w:val="auto"/>
              </w:rPr>
              <w:t>Statements of Income</w:t>
            </w: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ind w:right="959"/>
              <w:spacing w:after="0"/>
              <w:rPr>
                <w:sz w:val="20"/>
                <w:szCs w:val="20"/>
                <w:color w:val="auto"/>
              </w:rPr>
            </w:pPr>
            <w:r>
              <w:rPr>
                <w:rFonts w:ascii="Arial" w:cs="Arial" w:eastAsia="Arial" w:hAnsi="Arial"/>
                <w:sz w:val="16"/>
                <w:szCs w:val="16"/>
                <w:color w:val="auto"/>
              </w:rPr>
              <w:t>(in millions)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Gains and (losses) on cash flow hedges:</w:t>
            </w:r>
          </w:p>
        </w:tc>
        <w:tc>
          <w:tcPr>
            <w:tcW w:w="2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(0.8 ) $</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(0.7 ) $</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(2.2 ) $</w:t>
            </w:r>
          </w:p>
        </w:tc>
        <w:tc>
          <w:tcPr>
            <w:tcW w:w="88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spacing w:after="0"/>
              <w:rPr>
                <w:sz w:val="16"/>
                <w:szCs w:val="16"/>
                <w:color w:val="auto"/>
              </w:rPr>
            </w:pPr>
          </w:p>
        </w:tc>
        <w:tc>
          <w:tcPr>
            <w:tcW w:w="2960" w:type="dxa"/>
            <w:vAlign w:val="bottom"/>
            <w:shd w:val="clear" w:color="auto" w:fill="CFF0FC"/>
          </w:tcPr>
          <w:p>
            <w:pPr>
              <w:ind w:left="40"/>
              <w:spacing w:after="0"/>
              <w:rPr>
                <w:sz w:val="20"/>
                <w:szCs w:val="20"/>
                <w:color w:val="auto"/>
              </w:rPr>
            </w:pPr>
            <w:r>
              <w:rPr>
                <w:rFonts w:ascii="Arial" w:cs="Arial" w:eastAsia="Arial" w:hAnsi="Arial"/>
                <w:sz w:val="16"/>
                <w:szCs w:val="16"/>
                <w:color w:val="auto"/>
              </w:rPr>
              <w:t>Fuel, purchased power, and cost of</w:t>
            </w:r>
          </w:p>
        </w:tc>
        <w:tc>
          <w:tcPr>
            <w:tcW w:w="20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ind w:right="199"/>
              <w:spacing w:after="0"/>
              <w:rPr>
                <w:sz w:val="20"/>
                <w:szCs w:val="20"/>
                <w:color w:val="auto"/>
              </w:rPr>
            </w:pPr>
            <w:r>
              <w:rPr>
                <w:rFonts w:ascii="Arial" w:cs="Arial" w:eastAsia="Arial" w:hAnsi="Arial"/>
                <w:sz w:val="16"/>
                <w:szCs w:val="16"/>
                <w:color w:val="auto"/>
              </w:rPr>
              <w:t>(3.2 )</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contracts</w:t>
            </w:r>
          </w:p>
        </w:tc>
        <w:tc>
          <w:tcPr>
            <w:tcW w:w="2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(0.8 ) $</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(0.7 ) $</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(5.4 ) $</w:t>
            </w:r>
          </w:p>
        </w:tc>
        <w:tc>
          <w:tcPr>
            <w:tcW w:w="880" w:type="dxa"/>
            <w:vAlign w:val="bottom"/>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w:t>
            </w:r>
          </w:p>
        </w:tc>
        <w:tc>
          <w:tcPr>
            <w:tcW w:w="2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line="182" w:lineRule="exact"/>
              <w:rPr>
                <w:sz w:val="20"/>
                <w:szCs w:val="20"/>
                <w:color w:val="auto"/>
              </w:rPr>
            </w:pPr>
            <w:r>
              <w:rPr>
                <w:rFonts w:ascii="Arial" w:cs="Arial" w:eastAsia="Arial" w:hAnsi="Arial"/>
                <w:sz w:val="16"/>
                <w:szCs w:val="16"/>
                <w:color w:val="auto"/>
              </w:rPr>
              <w:t>Total reclassification adjustments related to cash</w:t>
            </w:r>
          </w:p>
        </w:tc>
        <w:tc>
          <w:tcPr>
            <w:tcW w:w="2960" w:type="dxa"/>
            <w:vAlign w:val="bottom"/>
          </w:tcPr>
          <w:p>
            <w:pPr>
              <w:spacing w:after="0"/>
              <w:rPr>
                <w:sz w:val="15"/>
                <w:szCs w:val="15"/>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(0.6 ) $</w:t>
            </w:r>
          </w:p>
        </w:tc>
        <w:tc>
          <w:tcPr>
            <w:tcW w:w="110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(0.6 ) $</w:t>
            </w: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(4.2 ) $</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8"/>
        </w:trPr>
        <w:tc>
          <w:tcPr>
            <w:tcW w:w="3740" w:type="dxa"/>
            <w:vAlign w:val="bottom"/>
          </w:tcPr>
          <w:p>
            <w:pPr>
              <w:ind w:left="20"/>
              <w:spacing w:after="0"/>
              <w:rPr>
                <w:sz w:val="20"/>
                <w:szCs w:val="20"/>
                <w:color w:val="auto"/>
              </w:rPr>
            </w:pPr>
            <w:r>
              <w:rPr>
                <w:rFonts w:ascii="Arial" w:cs="Arial" w:eastAsia="Arial" w:hAnsi="Arial"/>
                <w:sz w:val="16"/>
                <w:szCs w:val="16"/>
                <w:color w:val="auto"/>
              </w:rPr>
              <w:t>flow hedges, net of tax</w:t>
            </w:r>
          </w:p>
        </w:tc>
        <w:tc>
          <w:tcPr>
            <w:tcW w:w="296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w:t>
            </w: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plans:</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Actuarial (loss)</w:t>
            </w:r>
          </w:p>
        </w:tc>
        <w:tc>
          <w:tcPr>
            <w:tcW w:w="2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Operations and maintenance</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(0.1 )</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(0.1 ) $</w:t>
            </w:r>
          </w:p>
        </w:tc>
        <w:tc>
          <w:tcPr>
            <w:tcW w:w="88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w:t>
            </w:r>
          </w:p>
        </w:tc>
        <w:tc>
          <w:tcPr>
            <w:tcW w:w="2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line="182" w:lineRule="exact"/>
              <w:rPr>
                <w:sz w:val="20"/>
                <w:szCs w:val="20"/>
                <w:color w:val="auto"/>
              </w:rPr>
            </w:pPr>
            <w:r>
              <w:rPr>
                <w:rFonts w:ascii="Arial" w:cs="Arial" w:eastAsia="Arial" w:hAnsi="Arial"/>
                <w:sz w:val="16"/>
                <w:szCs w:val="16"/>
                <w:color w:val="auto"/>
              </w:rPr>
              <w:t>Total reclassification adjustments related to defined</w:t>
            </w:r>
          </w:p>
        </w:tc>
        <w:tc>
          <w:tcPr>
            <w:tcW w:w="2960" w:type="dxa"/>
            <w:vAlign w:val="bottom"/>
          </w:tcPr>
          <w:p>
            <w:pPr>
              <w:spacing w:after="0"/>
              <w:rPr>
                <w:sz w:val="15"/>
                <w:szCs w:val="15"/>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(0.1 ) $</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8"/>
        </w:trPr>
        <w:tc>
          <w:tcPr>
            <w:tcW w:w="3740" w:type="dxa"/>
            <w:vAlign w:val="bottom"/>
          </w:tcPr>
          <w:p>
            <w:pPr>
              <w:ind w:left="20"/>
              <w:spacing w:after="0"/>
              <w:rPr>
                <w:sz w:val="20"/>
                <w:szCs w:val="20"/>
                <w:color w:val="auto"/>
              </w:rPr>
            </w:pPr>
            <w:r>
              <w:rPr>
                <w:rFonts w:ascii="Arial" w:cs="Arial" w:eastAsia="Arial" w:hAnsi="Arial"/>
                <w:sz w:val="16"/>
                <w:szCs w:val="16"/>
                <w:color w:val="auto"/>
              </w:rPr>
              <w:t>benefit plans, net of tax</w:t>
            </w:r>
          </w:p>
        </w:tc>
        <w:tc>
          <w:tcPr>
            <w:tcW w:w="296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reclassifications</w:t>
            </w:r>
          </w:p>
        </w:tc>
        <w:tc>
          <w:tcPr>
            <w:tcW w:w="29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(0.6 ) $</w:t>
            </w:r>
          </w:p>
        </w:tc>
        <w:tc>
          <w:tcPr>
            <w:tcW w:w="1100" w:type="dxa"/>
            <w:vAlign w:val="bottom"/>
            <w:tcBorders>
              <w:bottom w:val="single" w:sz="8" w:color="auto"/>
            </w:tcBorders>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(0.6 ) $</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(4.3 ) $</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Derivatives Designated as Cash Flow Hedges</w:t>
            </w: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2"/>
        </w:trPr>
        <w:tc>
          <w:tcPr>
            <w:tcW w:w="3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479"/>
              <w:spacing w:after="0" w:line="182" w:lineRule="exact"/>
              <w:rPr>
                <w:sz w:val="20"/>
                <w:szCs w:val="20"/>
                <w:color w:val="auto"/>
              </w:rPr>
            </w:pPr>
            <w:r>
              <w:rPr>
                <w:rFonts w:ascii="Arial" w:cs="Arial" w:eastAsia="Arial" w:hAnsi="Arial"/>
                <w:sz w:val="16"/>
                <w:szCs w:val="16"/>
                <w:b w:val="1"/>
                <w:bCs w:val="1"/>
                <w:color w:val="auto"/>
              </w:rPr>
              <w:t>Commodity</w:t>
            </w:r>
          </w:p>
        </w:tc>
        <w:tc>
          <w:tcPr>
            <w:tcW w:w="140" w:type="dxa"/>
            <w:vAlign w:val="bottom"/>
          </w:tcPr>
          <w:p>
            <w:pPr>
              <w:spacing w:after="0"/>
              <w:rPr>
                <w:sz w:val="15"/>
                <w:szCs w:val="15"/>
                <w:color w:val="auto"/>
              </w:rPr>
            </w:pPr>
          </w:p>
        </w:tc>
        <w:tc>
          <w:tcPr>
            <w:tcW w:w="2220" w:type="dxa"/>
            <w:vAlign w:val="bottom"/>
          </w:tcPr>
          <w:p>
            <w:pPr>
              <w:jc w:val="right"/>
              <w:ind w:right="719"/>
              <w:spacing w:after="0" w:line="182" w:lineRule="exact"/>
              <w:rPr>
                <w:sz w:val="20"/>
                <w:szCs w:val="20"/>
                <w:color w:val="auto"/>
              </w:rPr>
            </w:pPr>
            <w:r>
              <w:rPr>
                <w:rFonts w:ascii="Arial" w:cs="Arial" w:eastAsia="Arial" w:hAnsi="Arial"/>
                <w:sz w:val="16"/>
                <w:szCs w:val="16"/>
                <w:b w:val="1"/>
                <w:bCs w:val="1"/>
                <w:color w:val="auto"/>
              </w:rPr>
              <w:t>Employee Benefit</w:t>
            </w:r>
          </w:p>
        </w:tc>
        <w:tc>
          <w:tcPr>
            <w:tcW w:w="1640" w:type="dxa"/>
            <w:vAlign w:val="bottom"/>
          </w:tcPr>
          <w:p>
            <w:pPr>
              <w:spacing w:after="0"/>
              <w:rPr>
                <w:sz w:val="15"/>
                <w:szCs w:val="15"/>
                <w:color w:val="auto"/>
              </w:rPr>
            </w:pPr>
          </w:p>
        </w:tc>
      </w:tr>
      <w:tr>
        <w:trPr>
          <w:trHeight w:val="217"/>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Interest Rate Swaps</w:t>
            </w:r>
          </w:p>
        </w:tc>
        <w:tc>
          <w:tcPr>
            <w:tcW w:w="17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Derivatives</w:t>
            </w:r>
          </w:p>
        </w:tc>
        <w:tc>
          <w:tcPr>
            <w:tcW w:w="22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Plans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Total</w:t>
            </w:r>
          </w:p>
        </w:tc>
      </w:tr>
      <w:tr>
        <w:trPr>
          <w:trHeight w:val="209"/>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60" w:type="dxa"/>
            <w:vAlign w:val="bottom"/>
            <w:gridSpan w:val="3"/>
          </w:tcPr>
          <w:p>
            <w:pPr>
              <w:jc w:val="right"/>
              <w:ind w:right="1919"/>
              <w:spacing w:after="0"/>
              <w:rPr>
                <w:sz w:val="20"/>
                <w:szCs w:val="20"/>
                <w:color w:val="auto"/>
              </w:rPr>
            </w:pPr>
            <w:r>
              <w:rPr>
                <w:rFonts w:ascii="Arial" w:cs="Arial" w:eastAsia="Arial" w:hAnsi="Arial"/>
                <w:sz w:val="16"/>
                <w:szCs w:val="16"/>
                <w:color w:val="auto"/>
              </w:rPr>
              <w:t>(in millions)</w:t>
            </w:r>
          </w:p>
        </w:tc>
        <w:tc>
          <w:tcPr>
            <w:tcW w:w="1640" w:type="dxa"/>
            <w:vAlign w:val="bottom"/>
          </w:tcPr>
          <w:p>
            <w:pPr>
              <w:spacing w:after="0"/>
              <w:rPr>
                <w:sz w:val="18"/>
                <w:szCs w:val="18"/>
                <w:color w:val="auto"/>
              </w:rPr>
            </w:pPr>
          </w:p>
        </w:tc>
      </w:tr>
      <w:tr>
        <w:trPr>
          <w:trHeight w:val="217"/>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(6.1 ) $</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(2.5 ) $</w:t>
            </w:r>
          </w:p>
        </w:tc>
        <w:tc>
          <w:tcPr>
            <w:tcW w:w="22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(6.2 ) $</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(14.8 )</w:t>
            </w:r>
          </w:p>
        </w:tc>
      </w:tr>
      <w:tr>
        <w:trPr>
          <w:trHeight w:val="188"/>
        </w:trPr>
        <w:tc>
          <w:tcPr>
            <w:tcW w:w="3240" w:type="dxa"/>
            <w:vAlign w:val="bottom"/>
          </w:tcPr>
          <w:p>
            <w:pPr>
              <w:ind w:left="12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22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(0.1 )</w:t>
            </w:r>
          </w:p>
        </w:tc>
        <w:tc>
          <w:tcPr>
            <w:tcW w:w="140" w:type="dxa"/>
            <w:vAlign w:val="bottom"/>
          </w:tcPr>
          <w:p>
            <w:pPr>
              <w:spacing w:after="0"/>
              <w:rPr>
                <w:sz w:val="18"/>
                <w:szCs w:val="18"/>
                <w:color w:val="auto"/>
              </w:rPr>
            </w:pPr>
          </w:p>
        </w:tc>
        <w:tc>
          <w:tcPr>
            <w:tcW w:w="22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7"/>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1.7</w:t>
            </w: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6"/>
                <w:szCs w:val="16"/>
                <w:color w:val="auto"/>
              </w:rPr>
              <w:t>0.1</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w:t>
            </w: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As of September 30,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(4.4 ) $</w:t>
            </w: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(0.1 ) $</w:t>
            </w:r>
          </w:p>
        </w:tc>
        <w:tc>
          <w:tcPr>
            <w:tcW w:w="2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(6.1 )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(10.6 )</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Derivatives Designated as Cash Flow Hedges</w:t>
            </w: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2"/>
        </w:trPr>
        <w:tc>
          <w:tcPr>
            <w:tcW w:w="3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479"/>
              <w:spacing w:after="0" w:line="182" w:lineRule="exact"/>
              <w:rPr>
                <w:sz w:val="20"/>
                <w:szCs w:val="20"/>
                <w:color w:val="auto"/>
              </w:rPr>
            </w:pPr>
            <w:r>
              <w:rPr>
                <w:rFonts w:ascii="Arial" w:cs="Arial" w:eastAsia="Arial" w:hAnsi="Arial"/>
                <w:sz w:val="16"/>
                <w:szCs w:val="16"/>
                <w:b w:val="1"/>
                <w:bCs w:val="1"/>
                <w:color w:val="auto"/>
              </w:rPr>
              <w:t>Commodity</w:t>
            </w:r>
          </w:p>
        </w:tc>
        <w:tc>
          <w:tcPr>
            <w:tcW w:w="140" w:type="dxa"/>
            <w:vAlign w:val="bottom"/>
          </w:tcPr>
          <w:p>
            <w:pPr>
              <w:spacing w:after="0"/>
              <w:rPr>
                <w:sz w:val="15"/>
                <w:szCs w:val="15"/>
                <w:color w:val="auto"/>
              </w:rPr>
            </w:pPr>
          </w:p>
        </w:tc>
        <w:tc>
          <w:tcPr>
            <w:tcW w:w="2220" w:type="dxa"/>
            <w:vAlign w:val="bottom"/>
          </w:tcPr>
          <w:p>
            <w:pPr>
              <w:jc w:val="right"/>
              <w:ind w:right="719"/>
              <w:spacing w:after="0" w:line="182" w:lineRule="exact"/>
              <w:rPr>
                <w:sz w:val="20"/>
                <w:szCs w:val="20"/>
                <w:color w:val="auto"/>
              </w:rPr>
            </w:pPr>
            <w:r>
              <w:rPr>
                <w:rFonts w:ascii="Arial" w:cs="Arial" w:eastAsia="Arial" w:hAnsi="Arial"/>
                <w:sz w:val="16"/>
                <w:szCs w:val="16"/>
                <w:b w:val="1"/>
                <w:bCs w:val="1"/>
                <w:color w:val="auto"/>
              </w:rPr>
              <w:t>Employee Benefit</w:t>
            </w:r>
          </w:p>
        </w:tc>
        <w:tc>
          <w:tcPr>
            <w:tcW w:w="1640" w:type="dxa"/>
            <w:vAlign w:val="bottom"/>
          </w:tcPr>
          <w:p>
            <w:pPr>
              <w:spacing w:after="0"/>
              <w:rPr>
                <w:sz w:val="15"/>
                <w:szCs w:val="15"/>
                <w:color w:val="auto"/>
              </w:rPr>
            </w:pPr>
          </w:p>
        </w:tc>
      </w:tr>
      <w:tr>
        <w:trPr>
          <w:trHeight w:val="217"/>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Interest Rate Swaps</w:t>
            </w:r>
          </w:p>
        </w:tc>
        <w:tc>
          <w:tcPr>
            <w:tcW w:w="17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Derivatives</w:t>
            </w:r>
          </w:p>
        </w:tc>
        <w:tc>
          <w:tcPr>
            <w:tcW w:w="22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Plans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Total</w:t>
            </w:r>
          </w:p>
        </w:tc>
      </w:tr>
      <w:tr>
        <w:trPr>
          <w:trHeight w:val="209"/>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60" w:type="dxa"/>
            <w:vAlign w:val="bottom"/>
            <w:gridSpan w:val="3"/>
          </w:tcPr>
          <w:p>
            <w:pPr>
              <w:jc w:val="right"/>
              <w:ind w:right="1919"/>
              <w:spacing w:after="0"/>
              <w:rPr>
                <w:sz w:val="20"/>
                <w:szCs w:val="20"/>
                <w:color w:val="auto"/>
              </w:rPr>
            </w:pPr>
            <w:r>
              <w:rPr>
                <w:rFonts w:ascii="Arial" w:cs="Arial" w:eastAsia="Arial" w:hAnsi="Arial"/>
                <w:sz w:val="16"/>
                <w:szCs w:val="16"/>
                <w:color w:val="auto"/>
              </w:rPr>
              <w:t>(in millions)</w:t>
            </w:r>
          </w:p>
        </w:tc>
        <w:tc>
          <w:tcPr>
            <w:tcW w:w="1640" w:type="dxa"/>
            <w:vAlign w:val="bottom"/>
          </w:tcPr>
          <w:p>
            <w:pPr>
              <w:spacing w:after="0"/>
              <w:rPr>
                <w:sz w:val="18"/>
                <w:szCs w:val="18"/>
                <w:color w:val="auto"/>
              </w:rPr>
            </w:pPr>
          </w:p>
        </w:tc>
      </w:tr>
      <w:tr>
        <w:trPr>
          <w:trHeight w:val="217"/>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2022</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(8.3 ) $</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(1.2 ) $</w:t>
            </w:r>
          </w:p>
        </w:tc>
        <w:tc>
          <w:tcPr>
            <w:tcW w:w="22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(6.1 ) $</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(15.6 )</w:t>
            </w:r>
          </w:p>
        </w:tc>
      </w:tr>
      <w:tr>
        <w:trPr>
          <w:trHeight w:val="188"/>
        </w:trPr>
        <w:tc>
          <w:tcPr>
            <w:tcW w:w="3240" w:type="dxa"/>
            <w:vAlign w:val="bottom"/>
          </w:tcPr>
          <w:p>
            <w:pPr>
              <w:ind w:left="12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22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(0.9 )</w:t>
            </w:r>
          </w:p>
        </w:tc>
        <w:tc>
          <w:tcPr>
            <w:tcW w:w="140" w:type="dxa"/>
            <w:vAlign w:val="bottom"/>
          </w:tcPr>
          <w:p>
            <w:pPr>
              <w:spacing w:after="0"/>
              <w:rPr>
                <w:sz w:val="18"/>
                <w:szCs w:val="18"/>
                <w:color w:val="auto"/>
              </w:rPr>
            </w:pPr>
          </w:p>
        </w:tc>
        <w:tc>
          <w:tcPr>
            <w:tcW w:w="22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1.7</w:t>
            </w: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6"/>
                <w:szCs w:val="16"/>
                <w:color w:val="auto"/>
              </w:rPr>
              <w:t>0.1</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w:t>
            </w: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As of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(6.6 ) $</w:t>
            </w: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(0.3 ) $</w:t>
            </w:r>
          </w:p>
        </w:tc>
        <w:tc>
          <w:tcPr>
            <w:tcW w:w="2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(6.0 )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(12.9 )</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Supplemental Non-qualified</w:t>
            </w:r>
          </w:p>
        </w:tc>
        <w:tc>
          <w:tcPr>
            <w:tcW w:w="180" w:type="dxa"/>
            <w:vAlign w:val="bottom"/>
          </w:tcPr>
          <w:p>
            <w:pPr>
              <w:spacing w:after="0"/>
              <w:rPr>
                <w:sz w:val="16"/>
                <w:szCs w:val="16"/>
                <w:color w:val="auto"/>
              </w:rPr>
            </w:pPr>
          </w:p>
        </w:tc>
        <w:tc>
          <w:tcPr>
            <w:tcW w:w="26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Non-pension Defined Benefit</w:t>
            </w:r>
          </w:p>
        </w:tc>
      </w:tr>
      <w:tr>
        <w:trPr>
          <w:trHeight w:val="217"/>
        </w:trPr>
        <w:tc>
          <w:tcPr>
            <w:tcW w:w="3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Defined Benefit Pension Plan</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Defined Benefit Plans</w:t>
            </w: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Postretirement Healthcare Plan</w:t>
            </w:r>
          </w:p>
        </w:tc>
      </w:tr>
      <w:tr>
        <w:trPr>
          <w:trHeight w:val="21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right"/>
              <w:ind w:right="719"/>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(0.1 ) $</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0.6</w:t>
            </w:r>
          </w:p>
        </w:tc>
      </w:tr>
      <w:tr>
        <w:trPr>
          <w:trHeight w:val="217"/>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(4.7 )</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w:t>
            </w: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Net periodic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Supplemental Non-qualified</w:t>
            </w:r>
          </w:p>
        </w:tc>
        <w:tc>
          <w:tcPr>
            <w:tcW w:w="180" w:type="dxa"/>
            <w:vAlign w:val="bottom"/>
          </w:tcPr>
          <w:p>
            <w:pPr>
              <w:spacing w:after="0"/>
              <w:rPr>
                <w:sz w:val="16"/>
                <w:szCs w:val="16"/>
                <w:color w:val="auto"/>
              </w:rPr>
            </w:pPr>
          </w:p>
        </w:tc>
        <w:tc>
          <w:tcPr>
            <w:tcW w:w="26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Non-pension Defined Benefit</w:t>
            </w:r>
          </w:p>
        </w:tc>
      </w:tr>
      <w:tr>
        <w:trPr>
          <w:trHeight w:val="217"/>
        </w:trPr>
        <w:tc>
          <w:tcPr>
            <w:tcW w:w="3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Defined Benefit Pension Plan</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Defined Benefit Plans</w:t>
            </w: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Postretirement Healthcare Plan</w:t>
            </w:r>
          </w:p>
        </w:tc>
      </w:tr>
      <w:tr>
        <w:trPr>
          <w:trHeight w:val="21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right"/>
              <w:ind w:right="719"/>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217"/>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(13.4 )</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(14.0 )</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(0.1 )</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w:t>
            </w: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Net periodic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7"/>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51"/>
        </w:trPr>
        <w:tc>
          <w:tcPr>
            <w:tcW w:w="3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primarily made in the form of benefit payments. Contributions made in the first nine months of 2024 and anticipated contributions for 2024 and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Additional</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Contributions Made</w:t>
            </w:r>
          </w:p>
        </w:tc>
        <w:tc>
          <w:tcPr>
            <w:tcW w:w="280" w:type="dxa"/>
            <w:vAlign w:val="bottom"/>
          </w:tcPr>
          <w:p>
            <w:pPr>
              <w:spacing w:after="0"/>
              <w:rPr>
                <w:sz w:val="18"/>
                <w:szCs w:val="18"/>
                <w:color w:val="auto"/>
              </w:rPr>
            </w:pPr>
          </w:p>
        </w:tc>
        <w:tc>
          <w:tcPr>
            <w:tcW w:w="1640" w:type="dxa"/>
            <w:vAlign w:val="bottom"/>
          </w:tcPr>
          <w:p>
            <w:pPr>
              <w:jc w:val="center"/>
              <w:ind w:right="179"/>
              <w:spacing w:after="0"/>
              <w:rPr>
                <w:sz w:val="20"/>
                <w:szCs w:val="20"/>
                <w:color w:val="auto"/>
              </w:rPr>
            </w:pPr>
            <w:r>
              <w:rPr>
                <w:rFonts w:ascii="Arial" w:cs="Arial" w:eastAsia="Arial" w:hAnsi="Arial"/>
                <w:sz w:val="16"/>
                <w:szCs w:val="16"/>
                <w:b w:val="1"/>
                <w:bCs w:val="1"/>
                <w:color w:val="auto"/>
              </w:rPr>
              <w:t>Contributions</w:t>
            </w:r>
          </w:p>
        </w:tc>
        <w:tc>
          <w:tcPr>
            <w:tcW w:w="280" w:type="dxa"/>
            <w:vAlign w:val="bottom"/>
          </w:tcPr>
          <w:p>
            <w:pPr>
              <w:spacing w:after="0"/>
              <w:rPr>
                <w:sz w:val="18"/>
                <w:szCs w:val="18"/>
                <w:color w:val="auto"/>
              </w:rPr>
            </w:pPr>
          </w:p>
        </w:tc>
        <w:tc>
          <w:tcPr>
            <w:tcW w:w="1700" w:type="dxa"/>
            <w:vAlign w:val="bottom"/>
          </w:tcPr>
          <w:p>
            <w:pPr>
              <w:jc w:val="center"/>
              <w:ind w:right="239"/>
              <w:spacing w:after="0"/>
              <w:rPr>
                <w:sz w:val="20"/>
                <w:szCs w:val="20"/>
                <w:color w:val="auto"/>
              </w:rPr>
            </w:pPr>
            <w:r>
              <w:rPr>
                <w:rFonts w:ascii="Arial" w:cs="Arial" w:eastAsia="Arial" w:hAnsi="Arial"/>
                <w:sz w:val="16"/>
                <w:szCs w:val="16"/>
                <w:b w:val="1"/>
                <w:bCs w:val="1"/>
                <w:color w:val="auto"/>
              </w:rPr>
              <w:t>Contributions</w:t>
            </w:r>
          </w:p>
        </w:tc>
      </w:tr>
      <w:tr>
        <w:trPr>
          <w:trHeight w:val="189"/>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6"/>
                <w:szCs w:val="16"/>
                <w:b w:val="1"/>
                <w:bCs w:val="1"/>
                <w:color w:val="auto"/>
              </w:rPr>
              <w:t>Nine Months Ended</w:t>
            </w:r>
          </w:p>
        </w:tc>
        <w:tc>
          <w:tcPr>
            <w:tcW w:w="280" w:type="dxa"/>
            <w:vAlign w:val="bottom"/>
          </w:tcPr>
          <w:p>
            <w:pPr>
              <w:spacing w:after="0"/>
              <w:rPr>
                <w:sz w:val="16"/>
                <w:szCs w:val="16"/>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rPr>
              <w:t>Anticipated for</w:t>
            </w:r>
          </w:p>
        </w:tc>
        <w:tc>
          <w:tcPr>
            <w:tcW w:w="28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Anticipated for</w:t>
            </w:r>
          </w:p>
        </w:tc>
      </w:tr>
      <w:tr>
        <w:trPr>
          <w:trHeight w:val="217"/>
        </w:trPr>
        <w:tc>
          <w:tcPr>
            <w:tcW w:w="5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September 30, 2024</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2025</w:t>
            </w:r>
          </w:p>
        </w:tc>
      </w:tr>
      <w:tr>
        <w:trPr>
          <w:trHeight w:val="209"/>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Defined Benefit Pension Plan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4.4</w:t>
            </w:r>
          </w:p>
        </w:tc>
      </w:tr>
      <w:tr>
        <w:trPr>
          <w:trHeight w:val="18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Non-qualified Defined Benefit and Defined Contribution</w:t>
            </w:r>
          </w:p>
        </w:tc>
        <w:tc>
          <w:tcPr>
            <w:tcW w:w="14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bl>
    <w:p>
      <w:pPr>
        <w:spacing w:after="0" w:line="364"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color w:val="auto"/>
        </w:rPr>
        <w:t>(11)</w:t>
        <w:tab/>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Transfers of Production Tax Credits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In August 2022, President Biden signed H.R. 5376 into law, commonly known as the Inflation Reduction Act of 2022, or IRA. The IRA contains a tax credit transferability provision that allows us to transfer (e.g. sell) PTCs produced after December 31, 2022, to third parties. In June 2024, under this transferability provision, we entered into an agreement with a third party to sell $16.9 million of our 2023 generated PTCs. We elected to account for the net proceeds from the transfer of PTCs as a reduction to income taxes payable under the scope of ASC 740 </w:t>
      </w:r>
      <w:r>
        <w:rPr>
          <w:rFonts w:ascii="Arial" w:cs="Arial" w:eastAsia="Arial" w:hAnsi="Arial"/>
          <w:sz w:val="16"/>
          <w:szCs w:val="16"/>
          <w:i w:val="1"/>
          <w:iCs w:val="1"/>
          <w:color w:val="auto"/>
        </w:rPr>
        <w:t>Income Taxes</w:t>
      </w:r>
      <w:r>
        <w:rPr>
          <w:rFonts w:ascii="Arial" w:cs="Arial" w:eastAsia="Arial" w:hAnsi="Arial"/>
          <w:sz w:val="16"/>
          <w:szCs w:val="16"/>
          <w:color w:val="auto"/>
        </w:rPr>
        <w:t>. We included the discount from the sale of our tax credits as a component of income tax expense. This sale of tax credits is presented within operating activities in the Consolidated Statement of Cash Flows consistent with the presentation of cash taxes paid.</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expect to continue to explore the ability to efficiently monetize our tax credits through third party transferability agreements. We will also include any expected proceeds from the sale of tax credits in the evaluation of the realizability of deferred tax assets related to PTCs.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IRS Revenue Procedure 2023-15</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On April 14, 2023, the IRS released Revenue Procedure 2023-15 </w:t>
      </w:r>
      <w:r>
        <w:rPr>
          <w:rFonts w:ascii="Arial" w:cs="Arial" w:eastAsia="Arial" w:hAnsi="Arial"/>
          <w:sz w:val="16"/>
          <w:szCs w:val="16"/>
          <w:i w:val="1"/>
          <w:iCs w:val="1"/>
          <w:color w:val="auto"/>
        </w:rPr>
        <w:t>Amounts paid to improve tangible property</w:t>
      </w:r>
      <w:r>
        <w:rPr>
          <w:rFonts w:ascii="Arial" w:cs="Arial" w:eastAsia="Arial" w:hAnsi="Arial"/>
          <w:sz w:val="16"/>
          <w:szCs w:val="16"/>
          <w:color w:val="auto"/>
        </w:rPr>
        <w:t xml:space="preserve"> . The Revenue Procedure provides a safe harbor method of accounting that taxpayers may use to determine whether costs to repair, maintain, replace, or improve natural gas transmission and distribution property must be capitalized. The Revenue Procedure may be adopted in tax years ending after May 1, 2023. We intend to elect the safe harbor for tax year 2024. We do not expect the Revenue Procedure to have a material impact on our tax repairs deduction.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Benefit (Expense) and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2024, Compared to the Three Months Ended September 30, 2023</w:t>
      </w:r>
    </w:p>
    <w:p>
      <w:pPr>
        <w:spacing w:after="0" w:line="194"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Income tax (expense) for the three months ended September 30, 2024, was $(2.9) million compared to $(7.4) million reported for the same period in 2023. For the three months ended September 30, 2024, the effective tax rate was 10.0% compared to 13.1% for the same period in 2023. The lower effective tax rate was primarily driven by favorable return-to-accrual adjustments.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2024, Compared to the Nine Months Ended September 30, 2023</w:t>
      </w:r>
    </w:p>
    <w:p>
      <w:pPr>
        <w:spacing w:after="0" w:line="194"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Income tax (expense) for the nine months ended September 30, 2024, was $(23.6) million compared to $(16.0) million reported for the same period in 2023. For the nine months ended September 30, 2024, the effective tax rate was 11.4% which compared to 7.6% for the same period in 2023. The higher effective tax rate was primarily driven by a prior year $8.2 million tax benefit from a Nebraska income tax rate decrease.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Corporate and Other also includes business development activities that are not part of our operating segments and inter-segment eliminations. Our operating segments are equivalent to our reportable segments.</w:t>
      </w:r>
    </w:p>
    <w:p>
      <w:pPr>
        <w:spacing w:after="0" w:line="14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based on operating income. Our CODM reviews capital expenditures by operating segment rather than any individual or total asset amount.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20"/>
                <w:szCs w:val="20"/>
                <w:color w:val="auto"/>
              </w:rPr>
            </w:pPr>
            <w:r>
              <w:rPr>
                <w:rFonts w:ascii="Arial" w:cs="Arial" w:eastAsia="Arial" w:hAnsi="Arial"/>
                <w:sz w:val="16"/>
                <w:szCs w:val="16"/>
                <w:color w:val="252525"/>
              </w:rPr>
              <w:t>Segment information was as follows:</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94"/>
        </w:trPr>
        <w:tc>
          <w:tcPr>
            <w:tcW w:w="3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Gas Utilities</w:t>
            </w:r>
          </w:p>
        </w:tc>
        <w:tc>
          <w:tcPr>
            <w:tcW w:w="1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209"/>
        </w:trPr>
        <w:tc>
          <w:tcPr>
            <w:tcW w:w="3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2"/>
          </w:tcPr>
          <w:p>
            <w:pPr>
              <w:jc w:val="right"/>
              <w:ind w:right="399"/>
              <w:spacing w:after="0"/>
              <w:rPr>
                <w:sz w:val="20"/>
                <w:szCs w:val="20"/>
                <w:color w:val="auto"/>
              </w:rPr>
            </w:pPr>
            <w:r>
              <w:rPr>
                <w:rFonts w:ascii="Arial" w:cs="Arial" w:eastAsia="Arial" w:hAnsi="Arial"/>
                <w:sz w:val="16"/>
                <w:szCs w:val="16"/>
                <w:color w:val="auto"/>
              </w:rPr>
              <w:t>(in millions)</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Three Months Ended September 30, 2024</w:t>
            </w:r>
          </w:p>
        </w:tc>
        <w:tc>
          <w:tcPr>
            <w:tcW w:w="6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External revenues</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229.6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172.0</w:t>
            </w:r>
          </w:p>
        </w:tc>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401.6</w:t>
            </w:r>
          </w:p>
        </w:tc>
      </w:tr>
      <w:tr>
        <w:trPr>
          <w:trHeight w:val="217"/>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Inter-segment revenues</w:t>
            </w:r>
          </w:p>
        </w:tc>
        <w:tc>
          <w:tcPr>
            <w:tcW w:w="6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6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65.1</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w:t>
            </w:r>
          </w:p>
        </w:tc>
        <w:tc>
          <w:tcPr>
            <w:tcW w:w="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75.8</w:t>
            </w:r>
          </w:p>
        </w:tc>
      </w:tr>
      <w:tr>
        <w:trPr>
          <w:trHeight w:val="217"/>
        </w:trPr>
        <w:tc>
          <w:tcPr>
            <w:tcW w:w="3640" w:type="dxa"/>
            <w:vAlign w:val="bottom"/>
            <w:tcBorders>
              <w:bottom w:val="single" w:sz="8" w:color="auto"/>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6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8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185.0</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2023</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revenues</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234.5</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172.6</w:t>
            </w:r>
          </w:p>
        </w:tc>
        <w:tc>
          <w:tcPr>
            <w:tcW w:w="86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407.1</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Inter-segment revenues</w:t>
            </w:r>
          </w:p>
        </w:tc>
        <w:tc>
          <w:tcPr>
            <w:tcW w:w="6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c>
          <w:tcPr>
            <w:tcW w:w="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6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97.8</w:t>
            </w:r>
          </w:p>
        </w:tc>
      </w:tr>
      <w:tr>
        <w:trPr>
          <w:trHeight w:val="216"/>
        </w:trPr>
        <w:tc>
          <w:tcPr>
            <w:tcW w:w="364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165.1</w:t>
            </w:r>
          </w:p>
        </w:tc>
      </w:tr>
      <w:tr>
        <w:trPr>
          <w:trHeight w:val="210"/>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Nine Months Ended September 30, 2024</w:t>
            </w:r>
          </w:p>
        </w:tc>
        <w:tc>
          <w:tcPr>
            <w:tcW w:w="6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External revenues</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651.0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879.6</w:t>
            </w:r>
          </w:p>
        </w:tc>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1,530.6</w:t>
            </w:r>
          </w:p>
        </w:tc>
      </w:tr>
      <w:tr>
        <w:trPr>
          <w:trHeight w:val="217"/>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Inter-segment revenues</w:t>
            </w:r>
          </w:p>
        </w:tc>
        <w:tc>
          <w:tcPr>
            <w:tcW w:w="6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6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176.0</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164.6</w:t>
            </w:r>
          </w:p>
        </w:tc>
        <w:tc>
          <w:tcPr>
            <w:tcW w:w="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339.8</w:t>
            </w:r>
          </w:p>
        </w:tc>
      </w:tr>
      <w:tr>
        <w:trPr>
          <w:trHeight w:val="217"/>
        </w:trPr>
        <w:tc>
          <w:tcPr>
            <w:tcW w:w="3640" w:type="dxa"/>
            <w:vAlign w:val="bottom"/>
            <w:tcBorders>
              <w:bottom w:val="single" w:sz="8" w:color="auto"/>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6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246.8</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308.2</w:t>
            </w:r>
          </w:p>
        </w:tc>
        <w:tc>
          <w:tcPr>
            <w:tcW w:w="8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10.8</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565.8</w:t>
            </w: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 2023</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revenues</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640.6</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1,099.0</w:t>
            </w:r>
          </w:p>
        </w:tc>
        <w:tc>
          <w:tcPr>
            <w:tcW w:w="86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1,739.6</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Inter-segment revenues</w:t>
            </w:r>
          </w:p>
        </w:tc>
        <w:tc>
          <w:tcPr>
            <w:tcW w:w="6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c>
          <w:tcPr>
            <w:tcW w:w="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6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190.7</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336.2</w:t>
            </w:r>
          </w:p>
        </w:tc>
      </w:tr>
      <w:tr>
        <w:trPr>
          <w:trHeight w:val="290"/>
        </w:trPr>
        <w:tc>
          <w:tcPr>
            <w:tcW w:w="3640" w:type="dxa"/>
            <w:vAlign w:val="bottom"/>
          </w:tcPr>
          <w:p>
            <w:pPr>
              <w:ind w:left="2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6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155.6</w:t>
            </w: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260.9</w:t>
            </w:r>
          </w:p>
        </w:tc>
        <w:tc>
          <w:tcPr>
            <w:tcW w:w="86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045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6" w:lineRule="exact"/>
        <w:rPr>
          <w:sz w:val="20"/>
          <w:szCs w:val="20"/>
          <w:color w:val="auto"/>
        </w:rPr>
      </w:pPr>
    </w:p>
    <w:p>
      <w:pPr>
        <w:ind w:left="520" w:right="760" w:hanging="512"/>
        <w:spacing w:after="0" w:line="285"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4775200</wp:posOffset>
            </wp:positionH>
            <wp:positionV relativeFrom="paragraph">
              <wp:posOffset>-142240</wp:posOffset>
            </wp:positionV>
            <wp:extent cx="16249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2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September 30, 2024</w:t>
            </w: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5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(in millions)</w:t>
            </w:r>
          </w:p>
        </w:tc>
        <w:tc>
          <w:tcPr>
            <w:tcW w:w="2380" w:type="dxa"/>
            <w:vAlign w:val="bottom"/>
          </w:tcPr>
          <w:p>
            <w:pPr>
              <w:spacing w:after="0"/>
              <w:rPr>
                <w:sz w:val="18"/>
                <w:szCs w:val="18"/>
                <w:color w:val="auto"/>
              </w:rPr>
            </w:pPr>
          </w:p>
        </w:tc>
      </w:tr>
      <w:tr>
        <w:trPr>
          <w:trHeight w:val="217"/>
        </w:trPr>
        <w:tc>
          <w:tcPr>
            <w:tcW w:w="5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Billed Accounts Receivable</w:t>
            </w:r>
          </w:p>
        </w:tc>
        <w:tc>
          <w:tcPr>
            <w:tcW w:w="2260" w:type="dxa"/>
            <w:vAlign w:val="bottom"/>
            <w:shd w:val="clear" w:color="auto" w:fill="CFF0FC"/>
          </w:tcPr>
          <w:p>
            <w:pPr>
              <w:jc w:val="right"/>
              <w:ind w:right="20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136.9</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198.5</w:t>
            </w: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22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69.9</w:t>
            </w:r>
          </w:p>
        </w:tc>
        <w:tc>
          <w:tcPr>
            <w:tcW w:w="500" w:type="dxa"/>
            <w:vAlign w:val="bottom"/>
          </w:tcPr>
          <w:p>
            <w:pPr>
              <w:spacing w:after="0"/>
              <w:rPr>
                <w:sz w:val="18"/>
                <w:szCs w:val="18"/>
                <w:color w:val="auto"/>
              </w:rPr>
            </w:pPr>
          </w:p>
        </w:tc>
        <w:tc>
          <w:tcPr>
            <w:tcW w:w="2380" w:type="dxa"/>
            <w:vAlign w:val="bottom"/>
          </w:tcPr>
          <w:p>
            <w:pPr>
              <w:jc w:val="right"/>
              <w:ind w:right="39"/>
              <w:spacing w:after="0"/>
              <w:rPr>
                <w:sz w:val="20"/>
                <w:szCs w:val="20"/>
                <w:color w:val="auto"/>
              </w:rPr>
            </w:pPr>
            <w:r>
              <w:rPr>
                <w:rFonts w:ascii="Arial" w:cs="Arial" w:eastAsia="Arial" w:hAnsi="Arial"/>
                <w:sz w:val="16"/>
                <w:szCs w:val="16"/>
                <w:color w:val="auto"/>
              </w:rPr>
              <w:t>154.0</w:t>
            </w:r>
          </w:p>
        </w:tc>
      </w:tr>
      <w:tr>
        <w:trPr>
          <w:trHeight w:val="217"/>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(1.4 )</w:t>
            </w:r>
          </w:p>
        </w:tc>
        <w:tc>
          <w:tcPr>
            <w:tcW w:w="500" w:type="dxa"/>
            <w:vAlign w:val="bottom"/>
            <w:tcBorders>
              <w:bottom w:val="single" w:sz="8" w:color="auto"/>
            </w:tcBorders>
            <w:shd w:val="clear" w:color="auto" w:fill="CFF0FC"/>
          </w:tcPr>
          <w:p>
            <w:pPr>
              <w:spacing w:after="0"/>
              <w:rPr>
                <w:sz w:val="18"/>
                <w:szCs w:val="18"/>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(2.2 )</w:t>
            </w:r>
          </w:p>
        </w:tc>
      </w:tr>
      <w:tr>
        <w:trPr>
          <w:trHeight w:val="210"/>
        </w:trPr>
        <w:tc>
          <w:tcPr>
            <w:tcW w:w="5460" w:type="dxa"/>
            <w:vAlign w:val="bottom"/>
          </w:tcPr>
          <w:p>
            <w:pPr>
              <w:ind w:left="20"/>
              <w:spacing w:after="0"/>
              <w:rPr>
                <w:sz w:val="20"/>
                <w:szCs w:val="20"/>
                <w:color w:val="auto"/>
              </w:rPr>
            </w:pPr>
            <w:r>
              <w:rPr>
                <w:rFonts w:ascii="Arial" w:cs="Arial" w:eastAsia="Arial" w:hAnsi="Arial"/>
                <w:sz w:val="16"/>
                <w:szCs w:val="16"/>
                <w:color w:val="auto"/>
              </w:rPr>
              <w:t>Account Receivable, net</w:t>
            </w:r>
          </w:p>
        </w:tc>
        <w:tc>
          <w:tcPr>
            <w:tcW w:w="2260" w:type="dxa"/>
            <w:vAlign w:val="bottom"/>
            <w:tcBorders>
              <w:bottom w:val="single" w:sz="8" w:color="auto"/>
            </w:tcBorders>
          </w:tcPr>
          <w:p>
            <w:pPr>
              <w:jc w:val="right"/>
              <w:ind w:right="20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205.4</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350.3</w:t>
            </w:r>
          </w:p>
        </w:tc>
      </w:tr>
      <w:tr>
        <w:trPr>
          <w:trHeight w:val="20"/>
        </w:trPr>
        <w:tc>
          <w:tcPr>
            <w:tcW w:w="54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nine months ended September 30, 2024 and 2023, respectively,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Beginning</w:t>
            </w: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Additions Charged to</w:t>
            </w: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Recoveries and Other</w:t>
            </w:r>
          </w:p>
        </w:tc>
        <w:tc>
          <w:tcPr>
            <w:tcW w:w="20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Write-offs and Other</w:t>
            </w: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Balance at</w:t>
            </w:r>
          </w:p>
        </w:tc>
      </w:tr>
      <w:tr>
        <w:trPr>
          <w:trHeight w:val="217"/>
        </w:trPr>
        <w:tc>
          <w:tcPr>
            <w:tcW w:w="2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of Year</w:t>
            </w:r>
          </w:p>
        </w:tc>
        <w:tc>
          <w:tcPr>
            <w:tcW w:w="18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Deductions</w:t>
            </w: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ind w:right="459"/>
              <w:spacing w:after="0"/>
              <w:rPr>
                <w:sz w:val="20"/>
                <w:szCs w:val="20"/>
                <w:color w:val="auto"/>
              </w:rPr>
            </w:pPr>
            <w:r>
              <w:rPr>
                <w:rFonts w:ascii="Arial" w:cs="Arial" w:eastAsia="Arial" w:hAnsi="Arial"/>
                <w:sz w:val="16"/>
                <w:szCs w:val="16"/>
                <w:color w:val="auto"/>
              </w:rPr>
              <w:t>(in millions)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7"/>
        </w:trPr>
        <w:tc>
          <w:tcPr>
            <w:tcW w:w="2040" w:type="dxa"/>
            <w:vAlign w:val="bottom"/>
            <w:shd w:val="clear" w:color="auto" w:fill="CFF0FC"/>
          </w:tcPr>
          <w:p>
            <w:pPr>
              <w:jc w:val="right"/>
              <w:ind w:right="1579"/>
              <w:spacing w:after="0"/>
              <w:rPr>
                <w:sz w:val="20"/>
                <w:szCs w:val="20"/>
                <w:color w:val="auto"/>
              </w:rPr>
            </w:pPr>
            <w:r>
              <w:rPr>
                <w:rFonts w:ascii="Arial" w:cs="Arial" w:eastAsia="Arial" w:hAnsi="Arial"/>
                <w:sz w:val="16"/>
                <w:szCs w:val="16"/>
                <w:color w:val="auto"/>
              </w:rPr>
              <w:t>2024</w:t>
            </w: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86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(7.6 ) $</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r>
      <w:tr>
        <w:trPr>
          <w:trHeight w:val="215"/>
        </w:trPr>
        <w:tc>
          <w:tcPr>
            <w:tcW w:w="2040" w:type="dxa"/>
            <w:vAlign w:val="bottom"/>
          </w:tcPr>
          <w:p>
            <w:pPr>
              <w:jc w:val="right"/>
              <w:ind w:right="1579"/>
              <w:spacing w:after="0"/>
              <w:rPr>
                <w:sz w:val="20"/>
                <w:szCs w:val="20"/>
                <w:color w:val="auto"/>
              </w:rPr>
            </w:pPr>
            <w:r>
              <w:rPr>
                <w:rFonts w:ascii="Arial" w:cs="Arial" w:eastAsia="Arial" w:hAnsi="Arial"/>
                <w:sz w:val="16"/>
                <w:szCs w:val="16"/>
                <w:color w:val="auto"/>
              </w:rPr>
              <w:t>2023</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w:t>
            </w:r>
          </w:p>
        </w:tc>
        <w:tc>
          <w:tcPr>
            <w:tcW w:w="860" w:type="dxa"/>
            <w:vAlign w:val="bottom"/>
          </w:tcPr>
          <w:p>
            <w:pPr>
              <w:ind w:lef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(10.8 ) $</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Materials and supplies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 Electric Utilities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Natural gas in storage</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materials, supplies, and fuel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September 30, 2024</w:t>
            </w:r>
          </w:p>
        </w:tc>
        <w:tc>
          <w:tcPr>
            <w:tcW w:w="5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December 31, 2023</w:t>
            </w:r>
          </w:p>
        </w:tc>
      </w:tr>
      <w:tr>
        <w:trPr>
          <w:trHeight w:val="208"/>
        </w:trPr>
        <w:tc>
          <w:tcPr>
            <w:tcW w:w="340" w:type="dxa"/>
            <w:vAlign w:val="bottom"/>
          </w:tcPr>
          <w:p>
            <w:pPr>
              <w:spacing w:after="0"/>
              <w:rPr>
                <w:sz w:val="18"/>
                <w:szCs w:val="18"/>
                <w:color w:val="auto"/>
              </w:rPr>
            </w:pPr>
          </w:p>
        </w:tc>
        <w:tc>
          <w:tcPr>
            <w:tcW w:w="2880" w:type="dxa"/>
            <w:vAlign w:val="bottom"/>
            <w:gridSpan w:val="2"/>
          </w:tcPr>
          <w:p>
            <w:pPr>
              <w:jc w:val="right"/>
              <w:ind w:right="39"/>
              <w:spacing w:after="0"/>
              <w:rPr>
                <w:sz w:val="20"/>
                <w:szCs w:val="20"/>
                <w:color w:val="auto"/>
              </w:rPr>
            </w:pPr>
            <w:r>
              <w:rPr>
                <w:rFonts w:ascii="Arial" w:cs="Arial" w:eastAsia="Arial" w:hAnsi="Arial"/>
                <w:sz w:val="16"/>
                <w:szCs w:val="16"/>
                <w:color w:val="auto"/>
              </w:rPr>
              <w:t>(in millions)</w:t>
            </w:r>
          </w:p>
        </w:tc>
        <w:tc>
          <w:tcPr>
            <w:tcW w:w="2280" w:type="dxa"/>
            <w:vAlign w:val="bottom"/>
          </w:tcPr>
          <w:p>
            <w:pPr>
              <w:spacing w:after="0"/>
              <w:rPr>
                <w:sz w:val="18"/>
                <w:szCs w:val="18"/>
                <w:color w:val="auto"/>
              </w:rPr>
            </w:pPr>
          </w:p>
        </w:tc>
      </w:tr>
      <w:tr>
        <w:trPr>
          <w:trHeight w:val="215"/>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2360" w:type="dxa"/>
            <w:vAlign w:val="bottom"/>
          </w:tcPr>
          <w:p>
            <w:pPr>
              <w:jc w:val="right"/>
              <w:spacing w:after="0"/>
              <w:rPr>
                <w:sz w:val="20"/>
                <w:szCs w:val="20"/>
                <w:color w:val="auto"/>
              </w:rPr>
            </w:pPr>
            <w:r>
              <w:rPr>
                <w:rFonts w:ascii="Arial" w:cs="Arial" w:eastAsia="Arial" w:hAnsi="Arial"/>
                <w:sz w:val="16"/>
                <w:szCs w:val="16"/>
                <w:color w:val="auto"/>
              </w:rPr>
              <w:t>103.9</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105.9</w:t>
            </w:r>
          </w:p>
        </w:tc>
      </w:tr>
      <w:tr>
        <w:trPr>
          <w:trHeight w:val="216"/>
        </w:trPr>
        <w:tc>
          <w:tcPr>
            <w:tcW w:w="3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7.6</w:t>
            </w:r>
          </w:p>
        </w:tc>
        <w:tc>
          <w:tcPr>
            <w:tcW w:w="520" w:type="dxa"/>
            <w:vAlign w:val="bottom"/>
          </w:tcPr>
          <w:p>
            <w:pPr>
              <w:spacing w:after="0"/>
              <w:rPr>
                <w:sz w:val="18"/>
                <w:szCs w:val="18"/>
                <w:color w:val="auto"/>
              </w:rPr>
            </w:pP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217"/>
        </w:trPr>
        <w:tc>
          <w:tcPr>
            <w:tcW w:w="3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5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47.3</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-582295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-307975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020" w:space="720"/>
            <w:col w:w="5500"/>
          </w:cols>
          <w:pgMar w:left="320" w:top="773" w:right="339" w:bottom="1440" w:gutter="0" w:footer="0" w:header="0"/>
          <w:type w:val="continuous"/>
        </w:sect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September 30, 2024</w:t>
            </w: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56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color w:val="auto"/>
              </w:rPr>
              <w:t>(in millions)</w:t>
            </w:r>
          </w:p>
        </w:tc>
        <w:tc>
          <w:tcPr>
            <w:tcW w:w="2320" w:type="dxa"/>
            <w:vAlign w:val="bottom"/>
          </w:tcPr>
          <w:p>
            <w:pPr>
              <w:spacing w:after="0"/>
              <w:rPr>
                <w:sz w:val="18"/>
                <w:szCs w:val="18"/>
                <w:color w:val="auto"/>
              </w:rPr>
            </w:pPr>
          </w:p>
        </w:tc>
      </w:tr>
      <w:tr>
        <w:trPr>
          <w:trHeight w:val="217"/>
        </w:trPr>
        <w:tc>
          <w:tcPr>
            <w:tcW w:w="5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2200" w:type="dxa"/>
            <w:vAlign w:val="bottom"/>
            <w:shd w:val="clear" w:color="auto" w:fill="CFF0FC"/>
          </w:tcPr>
          <w:p>
            <w:pPr>
              <w:jc w:val="right"/>
              <w:ind w:right="20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w:t>
            </w:r>
          </w:p>
        </w:tc>
        <w:tc>
          <w:tcPr>
            <w:tcW w:w="5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2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74.8</w:t>
            </w: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2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47.7</w:t>
            </w:r>
          </w:p>
        </w:tc>
        <w:tc>
          <w:tcPr>
            <w:tcW w:w="520" w:type="dxa"/>
            <w:vAlign w:val="bottom"/>
          </w:tcPr>
          <w:p>
            <w:pPr>
              <w:spacing w:after="0"/>
              <w:rPr>
                <w:sz w:val="18"/>
                <w:szCs w:val="18"/>
                <w:color w:val="auto"/>
              </w:rPr>
            </w:pPr>
          </w:p>
        </w:tc>
        <w:tc>
          <w:tcPr>
            <w:tcW w:w="2320" w:type="dxa"/>
            <w:vAlign w:val="bottom"/>
          </w:tcPr>
          <w:p>
            <w:pPr>
              <w:jc w:val="right"/>
              <w:ind w:right="39"/>
              <w:spacing w:after="0"/>
              <w:rPr>
                <w:sz w:val="20"/>
                <w:szCs w:val="20"/>
                <w:color w:val="auto"/>
              </w:rPr>
            </w:pPr>
            <w:r>
              <w:rPr>
                <w:rFonts w:ascii="Arial" w:cs="Arial" w:eastAsia="Arial" w:hAnsi="Arial"/>
                <w:sz w:val="16"/>
                <w:szCs w:val="16"/>
                <w:color w:val="auto"/>
              </w:rPr>
              <w:t>52.7</w:t>
            </w:r>
          </w:p>
        </w:tc>
      </w:tr>
      <w:tr>
        <w:trPr>
          <w:trHeight w:val="217"/>
        </w:trPr>
        <w:tc>
          <w:tcPr>
            <w:tcW w:w="5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deposits and prepayments</w:t>
            </w:r>
          </w:p>
        </w:tc>
        <w:tc>
          <w:tcPr>
            <w:tcW w:w="2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520" w:type="dxa"/>
            <w:vAlign w:val="bottom"/>
            <w:shd w:val="clear" w:color="auto" w:fill="CFF0FC"/>
          </w:tcPr>
          <w:p>
            <w:pPr>
              <w:spacing w:after="0"/>
              <w:rPr>
                <w:sz w:val="18"/>
                <w:szCs w:val="18"/>
                <w:color w:val="auto"/>
              </w:rPr>
            </w:pPr>
          </w:p>
        </w:tc>
        <w:tc>
          <w:tcPr>
            <w:tcW w:w="2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76.0</w:t>
            </w: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60.4</w:t>
            </w:r>
          </w:p>
        </w:tc>
        <w:tc>
          <w:tcPr>
            <w:tcW w:w="520" w:type="dxa"/>
            <w:vAlign w:val="bottom"/>
          </w:tcPr>
          <w:p>
            <w:pPr>
              <w:spacing w:after="0"/>
              <w:rPr>
                <w:sz w:val="18"/>
                <w:szCs w:val="18"/>
                <w:color w:val="auto"/>
              </w:rPr>
            </w:pPr>
          </w:p>
        </w:tc>
        <w:tc>
          <w:tcPr>
            <w:tcW w:w="2320" w:type="dxa"/>
            <w:vAlign w:val="bottom"/>
          </w:tcPr>
          <w:p>
            <w:pPr>
              <w:jc w:val="right"/>
              <w:ind w:right="39"/>
              <w:spacing w:after="0"/>
              <w:rPr>
                <w:sz w:val="20"/>
                <w:szCs w:val="20"/>
                <w:color w:val="auto"/>
              </w:rPr>
            </w:pPr>
            <w:r>
              <w:rPr>
                <w:rFonts w:ascii="Arial" w:cs="Arial" w:eastAsia="Arial" w:hAnsi="Arial"/>
                <w:sz w:val="16"/>
                <w:szCs w:val="16"/>
                <w:color w:val="auto"/>
              </w:rPr>
              <w:t>46.3</w:t>
            </w:r>
          </w:p>
        </w:tc>
      </w:tr>
      <w:tr>
        <w:trPr>
          <w:trHeight w:val="21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22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520" w:type="dxa"/>
            <w:vAlign w:val="bottom"/>
            <w:tcBorders>
              <w:bottom w:val="single" w:sz="8" w:color="auto"/>
            </w:tcBorders>
            <w:shd w:val="clear" w:color="auto" w:fill="CFF0FC"/>
          </w:tcPr>
          <w:p>
            <w:pPr>
              <w:spacing w:after="0"/>
              <w:rPr>
                <w:sz w:val="18"/>
                <w:szCs w:val="18"/>
                <w:color w:val="auto"/>
              </w:rPr>
            </w:pPr>
          </w:p>
        </w:tc>
        <w:tc>
          <w:tcPr>
            <w:tcW w:w="2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43.5</w:t>
            </w:r>
          </w:p>
        </w:tc>
      </w:tr>
      <w:tr>
        <w:trPr>
          <w:trHeight w:val="209"/>
        </w:trPr>
        <w:tc>
          <w:tcPr>
            <w:tcW w:w="5640" w:type="dxa"/>
            <w:vAlign w:val="bottom"/>
          </w:tcPr>
          <w:p>
            <w:pPr>
              <w:ind w:left="200"/>
              <w:spacing w:after="0"/>
              <w:rPr>
                <w:sz w:val="20"/>
                <w:szCs w:val="20"/>
                <w:color w:val="auto"/>
              </w:rPr>
            </w:pPr>
            <w:r>
              <w:rPr>
                <w:rFonts w:ascii="Arial" w:cs="Arial" w:eastAsia="Arial" w:hAnsi="Arial"/>
                <w:sz w:val="16"/>
                <w:szCs w:val="16"/>
                <w:color w:val="auto"/>
              </w:rPr>
              <w:t>Total accrued liabilities</w:t>
            </w:r>
          </w:p>
        </w:tc>
        <w:tc>
          <w:tcPr>
            <w:tcW w:w="2200" w:type="dxa"/>
            <w:vAlign w:val="bottom"/>
            <w:tcBorders>
              <w:bottom w:val="single" w:sz="8" w:color="auto"/>
            </w:tcBorders>
          </w:tcPr>
          <w:p>
            <w:pPr>
              <w:jc w:val="right"/>
              <w:ind w:right="20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293.3</w:t>
            </w:r>
          </w:p>
        </w:tc>
      </w:tr>
      <w:tr>
        <w:trPr>
          <w:trHeight w:val="20"/>
        </w:trPr>
        <w:tc>
          <w:tcPr>
            <w:tcW w:w="56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 xml:space="preserve">Except as described in Notes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2</w:t>
      </w:r>
      <w:r>
        <w:rPr>
          <w:rFonts w:ascii="Arial" w:cs="Arial" w:eastAsia="Arial" w:hAnsi="Arial"/>
          <w:sz w:val="16"/>
          <w:szCs w:val="16"/>
          <w:color w:val="auto"/>
        </w:rPr>
        <w:t>, there have been no events subsequent to September 30, 2024,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-136525</wp:posOffset>
            </wp:positionV>
            <wp:extent cx="571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-136525</wp:posOffset>
            </wp:positionV>
            <wp:extent cx="571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2023 Form 10-K.</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Executive Summary</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 million customers and 800+ communities we serve. Our aspiration is to be the trusted energy partner across our growing eight-state footprint, including Arkansas, Colorado, Iowa, Kansas, Montana, Nebraska, South Dakota, and Wyoming. Our strategy is centered on four critical priorities: </w:t>
      </w:r>
      <w:r>
        <w:rPr>
          <w:rFonts w:ascii="Arial" w:cs="Arial" w:eastAsia="Arial" w:hAnsi="Arial"/>
          <w:sz w:val="16"/>
          <w:szCs w:val="16"/>
          <w:i w:val="1"/>
          <w:iCs w:val="1"/>
          <w:color w:val="auto"/>
        </w:rPr>
        <w:t>Growth</w:t>
      </w:r>
      <w:r>
        <w:rPr>
          <w:rFonts w:ascii="Arial" w:cs="Arial" w:eastAsia="Arial" w:hAnsi="Arial"/>
          <w:sz w:val="16"/>
          <w:szCs w:val="16"/>
          <w:color w:val="auto"/>
        </w:rPr>
        <w:t xml:space="preserve">—to grow strategically and achieve strong financial performance, </w:t>
      </w:r>
      <w:r>
        <w:rPr>
          <w:rFonts w:ascii="Arial" w:cs="Arial" w:eastAsia="Arial" w:hAnsi="Arial"/>
          <w:sz w:val="16"/>
          <w:szCs w:val="16"/>
          <w:i w:val="1"/>
          <w:iCs w:val="1"/>
          <w:color w:val="auto"/>
        </w:rPr>
        <w:t>Operational Excellence</w:t>
      </w:r>
      <w:r>
        <w:rPr>
          <w:rFonts w:ascii="Arial" w:cs="Arial" w:eastAsia="Arial" w:hAnsi="Arial"/>
          <w:sz w:val="16"/>
          <w:szCs w:val="16"/>
          <w:color w:val="auto"/>
        </w:rPr>
        <w:t xml:space="preserve">—delivering safe, reliable and cost-effective energy to meet our customers’ needs, </w:t>
      </w:r>
      <w:r>
        <w:rPr>
          <w:rFonts w:ascii="Arial" w:cs="Arial" w:eastAsia="Arial" w:hAnsi="Arial"/>
          <w:sz w:val="16"/>
          <w:szCs w:val="16"/>
          <w:i w:val="1"/>
          <w:iCs w:val="1"/>
          <w:color w:val="auto"/>
        </w:rPr>
        <w:t>Transformation</w:t>
      </w:r>
      <w:r>
        <w:rPr>
          <w:rFonts w:ascii="Arial" w:cs="Arial" w:eastAsia="Arial" w:hAnsi="Arial"/>
          <w:sz w:val="16"/>
          <w:szCs w:val="16"/>
          <w:color w:val="auto"/>
        </w:rPr>
        <w:t xml:space="preserve">—be a simple and connected company positioned for growth, and </w:t>
      </w:r>
      <w:r>
        <w:rPr>
          <w:rFonts w:ascii="Arial" w:cs="Arial" w:eastAsia="Arial" w:hAnsi="Arial"/>
          <w:sz w:val="16"/>
          <w:szCs w:val="16"/>
          <w:i w:val="1"/>
          <w:iCs w:val="1"/>
          <w:color w:val="auto"/>
        </w:rPr>
        <w:t>People &amp; Culture</w:t>
      </w:r>
      <w:r>
        <w:rPr>
          <w:rFonts w:ascii="Arial" w:cs="Arial" w:eastAsia="Arial" w:hAnsi="Arial"/>
          <w:sz w:val="16"/>
          <w:szCs w:val="16"/>
          <w:color w:val="auto"/>
        </w:rPr>
        <w:t>—retain and attract a talented, engaged and thriving team.</w:t>
      </w:r>
    </w:p>
    <w:p>
      <w:pPr>
        <w:spacing w:after="0" w:line="15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4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have provided energy and served customers for 140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4"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 - Power Plant Greenhouse Gas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April 2024, the EPA published final rules addressing control of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emissions from the power sector. The rules regulate new natural gas generating units</w:t>
      </w:r>
    </w:p>
    <w:p>
      <w:pPr>
        <w:spacing w:after="0" w:line="43" w:lineRule="exact"/>
        <w:rPr>
          <w:sz w:val="20"/>
          <w:szCs w:val="20"/>
          <w:color w:val="auto"/>
        </w:rPr>
      </w:pPr>
    </w:p>
    <w:p>
      <w:pPr>
        <w:ind w:right="120"/>
        <w:spacing w:after="0" w:line="228" w:lineRule="auto"/>
        <w:rPr>
          <w:sz w:val="20"/>
          <w:szCs w:val="20"/>
          <w:color w:val="auto"/>
        </w:rPr>
      </w:pPr>
      <w:r>
        <w:rPr>
          <w:rFonts w:ascii="Arial" w:cs="Arial" w:eastAsia="Arial" w:hAnsi="Arial"/>
          <w:sz w:val="16"/>
          <w:szCs w:val="16"/>
          <w:color w:val="auto"/>
        </w:rPr>
        <w:t>and provide emission guidelines for existing coal and certain natural gas generation. The rules create subcategories of coal units based on planned retirement date and subcategories of natural gas combustion turbines and combined cycle units based on utilization. The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control requirements vary by</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subcategory. We are currently evaluating the impact of these rules through our integrated resource plans and believe that costs incurred as a result of the new rules will be recoverable through our regulatory mechanisms.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Colorado Electric.</w:t>
      </w:r>
    </w:p>
    <w:p>
      <w:pPr>
        <w:spacing w:after="0" w:line="206" w:lineRule="exact"/>
        <w:rPr>
          <w:rFonts w:ascii="Times New Roman" w:cs="Times New Roman" w:eastAsia="Times New Roman" w:hAnsi="Times New Roman"/>
          <w:sz w:val="16"/>
          <w:szCs w:val="16"/>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South Dakota Electric continues to pursue adding 100 MW of utility-owned, dispatchable natural gas generation by the second half of 2026. During the first quarter of 2025, South Dakota Electric expects to file for a permit to construct the project in South Dakota and request a CPCN in Wyoming.</w:t>
      </w:r>
    </w:p>
    <w:p>
      <w:pPr>
        <w:spacing w:after="0" w:line="143"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Wyoming Electric continues construction on Ready Wyoming, which is on schedule and expected to be completed in multiple segments in 2024 and 2025.</w:t>
      </w:r>
    </w:p>
    <w:p>
      <w:pPr>
        <w:spacing w:after="0" w:line="129" w:lineRule="exact"/>
        <w:rPr>
          <w:rFonts w:ascii="Times New Roman" w:cs="Times New Roman" w:eastAsia="Times New Roman" w:hAnsi="Times New Roman"/>
          <w:sz w:val="16"/>
          <w:szCs w:val="16"/>
          <w:color w:val="auto"/>
        </w:rPr>
      </w:pPr>
    </w:p>
    <w:p>
      <w:pPr>
        <w:ind w:left="1020" w:right="220" w:hanging="503"/>
        <w:spacing w:after="0" w:line="266"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July 11, 2024, Wyoming Electric announced its partnership with Meta to provide power for its newest AI data center to be constructed in Cheyenne, Wyoming. Wyoming Electric will </w:t>
      </w:r>
      <w:r>
        <w:rPr>
          <w:rFonts w:ascii="Arial" w:cs="Arial" w:eastAsia="Arial" w:hAnsi="Arial"/>
          <w:sz w:val="16"/>
          <w:szCs w:val="16"/>
          <w:color w:val="333333"/>
        </w:rPr>
        <w:t>serve Meta</w:t>
      </w:r>
      <w:r>
        <w:rPr>
          <w:rFonts w:ascii="Arial" w:cs="Arial" w:eastAsia="Arial" w:hAnsi="Arial"/>
          <w:sz w:val="16"/>
          <w:szCs w:val="16"/>
          <w:color w:val="auto"/>
        </w:rPr>
        <w:t xml:space="preserve"> under its Large Power Contract Service tariff and </w:t>
      </w:r>
      <w:r>
        <w:rPr>
          <w:rFonts w:ascii="Arial" w:cs="Arial" w:eastAsia="Arial" w:hAnsi="Arial"/>
          <w:sz w:val="16"/>
          <w:szCs w:val="16"/>
          <w:color w:val="333333"/>
        </w:rPr>
        <w:t>will procure</w:t>
      </w:r>
      <w:r>
        <w:rPr>
          <w:rFonts w:ascii="Arial" w:cs="Arial" w:eastAsia="Arial" w:hAnsi="Arial"/>
          <w:sz w:val="16"/>
          <w:szCs w:val="16"/>
          <w:color w:val="auto"/>
        </w:rPr>
        <w:t xml:space="preserve"> customized energy resources essential to Meta's operations and sustainability objectives.</w:t>
      </w:r>
    </w:p>
    <w:p>
      <w:pPr>
        <w:spacing w:after="0" w:line="143" w:lineRule="exact"/>
        <w:rPr>
          <w:rFonts w:ascii="Times New Roman" w:cs="Times New Roman" w:eastAsia="Times New Roman" w:hAnsi="Times New Roman"/>
          <w:sz w:val="16"/>
          <w:szCs w:val="16"/>
          <w:color w:val="auto"/>
        </w:rPr>
      </w:pPr>
    </w:p>
    <w:p>
      <w:pPr>
        <w:ind w:left="1020" w:right="360" w:hanging="503"/>
        <w:spacing w:after="0" w:line="266"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April 17, 2024, Colorado Electric filed its 120-Day report with the CPUC recommending the addition of renewable energy resources to advance its Clean Energy Plan. The final composition of resources and timing is subject to review and approval by the CPUC, which is expected later this year.</w:t>
      </w:r>
    </w:p>
    <w:p>
      <w:pPr>
        <w:spacing w:after="0" w:line="143"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11, 2024, Wyoming Electric set a new all-time and winter peak load of 314 MW, surpassing the previous winter peak of 301 MW set on December 26, 2023, and all-time peak of 312 MW set on July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-2214245</wp:posOffset>
            </wp:positionV>
            <wp:extent cx="302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32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Arkansas Gas, Colorado Gas, Iowa Gas, and Wyoming Gas.</w:t>
      </w:r>
    </w:p>
    <w:p>
      <w:pPr>
        <w:spacing w:after="0" w:line="129" w:lineRule="exact"/>
        <w:rPr>
          <w:rFonts w:ascii="Times New Roman" w:cs="Times New Roman" w:eastAsia="Times New Roman" w:hAnsi="Times New Roman"/>
          <w:sz w:val="16"/>
          <w:szCs w:val="16"/>
          <w:color w:val="auto"/>
        </w:rPr>
      </w:pPr>
    </w:p>
    <w:p>
      <w:pPr>
        <w:ind w:left="1020" w:right="20" w:hanging="503"/>
        <w:spacing w:after="0" w:line="254"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2024, Black Hills Energy Renewable Resources acquired a RNG production facility at a landfill in Dubuque, Iowa. The facility currently injects RNG into the natural gas distribution system serving Dubuque, which is owned and operated by Iowa Gas. This acquisition represents our entry into the production of RNG as a non-regulated business while leveraging our expertise in owning and operating regulated natural gas pipeline systems, including RNG interconnections. The RNG produced from the landfill facility captures methane that would otherwise vent into the atmosphere. It is delivered under long-term contracts to a third party that purchases the RNG and its related environmental attributes, in conformity with the EPA's Renewable Fuel Standard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-989965</wp:posOffset>
            </wp:positionV>
            <wp:extent cx="302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information regarding our ATM program activity and our May 16, 2024, debt offering.</w:t>
      </w:r>
    </w:p>
    <w:p>
      <w:pPr>
        <w:spacing w:after="0" w:line="129"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May 31, 2024, we amended and restated our corporate Revolving Credit Facility.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Notes to Condensed Consolidated Financial Statements for further information.</w:t>
      </w:r>
    </w:p>
    <w:p>
      <w:pPr>
        <w:spacing w:after="0" w:line="129" w:lineRule="exact"/>
        <w:rPr>
          <w:rFonts w:ascii="Times New Roman" w:cs="Times New Roman" w:eastAsia="Times New Roman" w:hAnsi="Times New Roman"/>
          <w:sz w:val="16"/>
          <w:szCs w:val="16"/>
          <w:color w:val="auto"/>
        </w:rPr>
      </w:pPr>
    </w:p>
    <w:p>
      <w:pPr>
        <w:ind w:left="1020" w:right="180" w:hanging="503"/>
        <w:spacing w:after="0" w:line="25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2024, we published our 2023 Corporate Sustainability Report, highlighting our environmental, social and governance impacts and our progress on major projects and climate goals. We reported a 27% reduction in greenhouse gas emissions from our natural gas distribution system since 2022 and are on track to achieve our goal of net zero emissions by 2035. Additionally, we have reduced our electric utility greenhouse gas emissions by nearly one-third since 2005 and are on track to achieve our goals to reduce electric emissions intensity by 40% by 2030 and 70% by 2040 compared to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-1231265</wp:posOffset>
            </wp:positionV>
            <wp:extent cx="302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-871220</wp:posOffset>
            </wp:positionV>
            <wp:extent cx="302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nine months ended September 30, 2024, and 2023, and our financial condition as of September 30, 2024, and December 31, 2023, are not necessarily indicative of the results of operations and financial condition to be expected as of or for any other period or for the entire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39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93"/>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5"/>
        </w:trPr>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980" w:type="dxa"/>
            <w:vAlign w:val="bottom"/>
            <w:gridSpan w:val="6"/>
          </w:tcPr>
          <w:p>
            <w:pPr>
              <w:jc w:val="right"/>
              <w:ind w:right="679"/>
              <w:spacing w:after="0"/>
              <w:rPr>
                <w:sz w:val="20"/>
                <w:szCs w:val="20"/>
                <w:color w:val="auto"/>
              </w:rPr>
            </w:pPr>
            <w:r>
              <w:rPr>
                <w:rFonts w:ascii="Arial" w:cs="Arial" w:eastAsia="Arial" w:hAnsi="Arial"/>
                <w:sz w:val="16"/>
                <w:szCs w:val="16"/>
                <w:b w:val="1"/>
                <w:bCs w:val="1"/>
                <w:color w:val="auto"/>
              </w:rPr>
              <w:t>Three Months Ended September 30,</w:t>
            </w:r>
          </w:p>
        </w:tc>
        <w:tc>
          <w:tcPr>
            <w:tcW w:w="332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1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2024 vs 2023</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1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Variance</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1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color w:val="auto"/>
              </w:rPr>
              <w:t>(in millions, except per share amounts)</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3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940" w:type="dxa"/>
            <w:vAlign w:val="bottom"/>
            <w:gridSpan w:val="2"/>
          </w:tcPr>
          <w:p>
            <w:pPr>
              <w:ind w:left="120"/>
              <w:spacing w:after="0"/>
              <w:rPr>
                <w:sz w:val="20"/>
                <w:szCs w:val="20"/>
                <w:color w:val="auto"/>
              </w:rPr>
            </w:pPr>
            <w:r>
              <w:rPr>
                <w:rFonts w:ascii="Arial" w:cs="Arial" w:eastAsia="Arial" w:hAnsi="Arial"/>
                <w:sz w:val="16"/>
                <w:szCs w:val="16"/>
                <w:color w:val="auto"/>
              </w:rPr>
              <w:t>Electric Utilities</w:t>
            </w: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(17.9 )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176.0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(14.7 )</w:t>
            </w:r>
          </w:p>
        </w:tc>
      </w:tr>
      <w:tr>
        <w:trPr>
          <w:trHeight w:val="217"/>
        </w:trPr>
        <w:tc>
          <w:tcPr>
            <w:tcW w:w="39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Gas Utilities</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(4.5 )</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164.6</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147.7</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w:t>
            </w:r>
          </w:p>
        </w:tc>
      </w:tr>
      <w:tr>
        <w:trPr>
          <w:trHeight w:val="216"/>
        </w:trPr>
        <w:tc>
          <w:tcPr>
            <w:tcW w:w="394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0.4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r>
      <w:tr>
        <w:trPr>
          <w:trHeight w:val="209"/>
        </w:trPr>
        <w:tc>
          <w:tcPr>
            <w:tcW w:w="3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7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75.8</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97.8</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(22.0 )</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339.8</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336.2</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w:t>
            </w:r>
          </w:p>
        </w:tc>
      </w:tr>
      <w:tr>
        <w:trPr>
          <w:trHeight w:val="210"/>
        </w:trPr>
        <w:tc>
          <w:tcPr>
            <w:tcW w:w="394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(45.2 )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(41.0 )</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(4.2 )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(131.9 )</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(5.9 )</w:t>
            </w:r>
          </w:p>
        </w:tc>
      </w:tr>
      <w:tr>
        <w:trPr>
          <w:trHeight w:val="215"/>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(1.3 )</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(0.6 )</w:t>
            </w:r>
          </w:p>
        </w:tc>
        <w:tc>
          <w:tcPr>
            <w:tcW w:w="20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(0.7 )</w:t>
            </w:r>
          </w:p>
        </w:tc>
        <w:tc>
          <w:tcPr>
            <w:tcW w:w="880" w:type="dxa"/>
            <w:vAlign w:val="bottom"/>
          </w:tcPr>
          <w:p>
            <w:pPr>
              <w:jc w:val="right"/>
              <w:spacing w:after="0"/>
              <w:rPr>
                <w:sz w:val="20"/>
                <w:szCs w:val="20"/>
                <w:color w:val="auto"/>
              </w:rPr>
            </w:pPr>
            <w:r>
              <w:rPr>
                <w:rFonts w:ascii="Arial" w:cs="Arial" w:eastAsia="Arial" w:hAnsi="Arial"/>
                <w:sz w:val="16"/>
                <w:szCs w:val="16"/>
                <w:color w:val="auto"/>
              </w:rPr>
              <w:t>(1.7 )</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(1.5 )</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7"/>
        </w:trPr>
        <w:tc>
          <w:tcPr>
            <w:tcW w:w="3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7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(2.9 )</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(7.4 )</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4.5</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(23.6 )</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(16.0 )</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(7.6 )</w:t>
            </w: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20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(22.4 )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192.7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17"/>
        </w:trPr>
        <w:tc>
          <w:tcPr>
            <w:tcW w:w="3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7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(3.4 )</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1.4</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(7.6 )</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(10.2 )</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(21.0 ) $</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(7.5 )</w:t>
            </w:r>
          </w:p>
        </w:tc>
      </w:tr>
      <w:tr>
        <w:trPr>
          <w:trHeight w:val="20"/>
        </w:trPr>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3940" w:type="dxa"/>
            <w:vAlign w:val="bottom"/>
            <w:gridSpan w:val="2"/>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(0.32 ) $</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(0.22 )</w:t>
            </w:r>
          </w:p>
        </w:tc>
      </w:tr>
      <w:tr>
        <w:trPr>
          <w:trHeight w:val="20"/>
        </w:trPr>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2024, Compared to the Three Months Ended September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200" w:hanging="503"/>
        <w:spacing w:after="0" w:line="266"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decreased $17.9 million primarily due to higher operating expenses and unfavorable impacts from current year unplanned generation outages partially offset by new rates and rider recovery; and prior-year one-time benefits from a gain on sale of land to support data center growth and a recovery from our business interruption insurance;</w:t>
      </w:r>
    </w:p>
    <w:p>
      <w:pPr>
        <w:spacing w:after="0" w:line="143" w:lineRule="exact"/>
        <w:rPr>
          <w:rFonts w:ascii="Times New Roman" w:cs="Times New Roman" w:eastAsia="Times New Roman" w:hAnsi="Times New Roman"/>
          <w:sz w:val="16"/>
          <w:szCs w:val="16"/>
          <w:color w:val="auto"/>
        </w:rPr>
      </w:pPr>
    </w:p>
    <w:p>
      <w:pPr>
        <w:ind w:left="1020" w:right="56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decreased $4.5 million primarily due to higher operating expenses partially offset by new rates and rider recovery driven by the Colorado Gas, Iowa Gas, RMNG and Wyoming Gas rate reviews;</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Net interest expense increased $4.2 million primarily due to higher interest rates partially offset by increased interest income; and</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decreased $4.5 million primarily driven by lower pre-tax income.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2024, Compared to the Nine Months Ended September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60" w:hanging="503"/>
        <w:spacing w:after="0" w:line="259"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decreased $14.7 million primarily due to higher operating expenses and unfavorable impacts from current year unplanned generation outages partially offset by new rates and rider recovery; and prior-year one-time benefits from a gain on the sale of Northern Iowa Windpower assets, a gain on sale of land to support data center growth, and a recovery from our business interruption insurance;</w:t>
      </w:r>
    </w:p>
    <w:p>
      <w:pPr>
        <w:spacing w:after="0" w:line="150" w:lineRule="exact"/>
        <w:rPr>
          <w:rFonts w:ascii="Times New Roman" w:cs="Times New Roman" w:eastAsia="Times New Roman" w:hAnsi="Times New Roman"/>
          <w:sz w:val="16"/>
          <w:szCs w:val="16"/>
          <w:color w:val="auto"/>
        </w:rPr>
      </w:pPr>
    </w:p>
    <w:p>
      <w:pPr>
        <w:jc w:val="both"/>
        <w:ind w:left="1020" w:right="240" w:hanging="503"/>
        <w:spacing w:after="0" w:line="266"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$16.9 million primarily due to new rates and rider recovery driven by the Colorado Gas, Iowa Gas, RMNG and Wyoming Gas rate reviews and retail customer growth and usage partially offset by higher operating expenses and unfavorable weather;</w:t>
      </w:r>
    </w:p>
    <w:p>
      <w:pPr>
        <w:spacing w:after="0" w:line="14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Net interest expense increased $5.9 million primarily due to higher interest rates partially offset by increased interest income;</w:t>
      </w:r>
    </w:p>
    <w:p>
      <w:pPr>
        <w:spacing w:after="0" w:line="206" w:lineRule="exact"/>
        <w:rPr>
          <w:rFonts w:ascii="Times New Roman" w:cs="Times New Roman" w:eastAsia="Times New Roman" w:hAnsi="Times New Roman"/>
          <w:sz w:val="16"/>
          <w:szCs w:val="16"/>
          <w:color w:val="auto"/>
        </w:rPr>
      </w:pPr>
    </w:p>
    <w:p>
      <w:pPr>
        <w:ind w:left="1020" w:right="400" w:hanging="503"/>
        <w:spacing w:after="0" w:line="285"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increased $7.6 million driven by a higher effective tax rate primarily due to a prior-year $8.2 million tax benefit from a Nebraska income tax rate decrease; and</w:t>
      </w:r>
    </w:p>
    <w:p>
      <w:pPr>
        <w:spacing w:after="0" w:line="129" w:lineRule="exact"/>
        <w:rPr>
          <w:rFonts w:ascii="Times New Roman" w:cs="Times New Roman" w:eastAsia="Times New Roman" w:hAnsi="Times New Roman"/>
          <w:sz w:val="16"/>
          <w:szCs w:val="16"/>
          <w:color w:val="auto"/>
        </w:rPr>
      </w:pPr>
    </w:p>
    <w:p>
      <w:pPr>
        <w:ind w:left="1020" w:right="300" w:hanging="503"/>
        <w:spacing w:after="0" w:line="256"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attributable to non-controlling interest decreased $2.6 million due to lower net income from Colorado IPP primarily driven by an unplanned generation outage.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 discussion of operating results from our business segments follows. Unless otherwise indicated, segment information does not include inter-segment eliminations.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9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15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Electric Utilities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5"/>
          </w:tcPr>
          <w:p>
            <w:pPr>
              <w:jc w:val="right"/>
              <w:ind w:right="659"/>
              <w:spacing w:after="0"/>
              <w:rPr>
                <w:sz w:val="20"/>
                <w:szCs w:val="20"/>
                <w:color w:val="auto"/>
              </w:rPr>
            </w:pPr>
            <w:r>
              <w:rPr>
                <w:rFonts w:ascii="Arial" w:cs="Arial" w:eastAsia="Arial" w:hAnsi="Arial"/>
                <w:sz w:val="16"/>
                <w:szCs w:val="16"/>
                <w:b w:val="1"/>
                <w:bCs w:val="1"/>
                <w:color w:val="auto"/>
              </w:rPr>
              <w:t>Three Months Ended September 30,</w:t>
            </w:r>
          </w:p>
        </w:tc>
        <w:tc>
          <w:tcPr>
            <w:tcW w:w="35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2024 vs 2023</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3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Variance</w:t>
            </w: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3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820" w:type="dxa"/>
            <w:vAlign w:val="bottom"/>
          </w:tcPr>
          <w:p>
            <w:pPr>
              <w:ind w:left="120"/>
              <w:spacing w:after="0"/>
              <w:rPr>
                <w:sz w:val="20"/>
                <w:szCs w:val="20"/>
                <w:color w:val="auto"/>
              </w:rPr>
            </w:pPr>
            <w:r>
              <w:rPr>
                <w:rFonts w:ascii="Arial" w:cs="Arial" w:eastAsia="Arial" w:hAnsi="Arial"/>
                <w:sz w:val="16"/>
                <w:szCs w:val="16"/>
                <w:color w:val="auto"/>
              </w:rPr>
              <w:t>Electric - regulated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220.6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(1.1 ) $</w:t>
            </w:r>
          </w:p>
        </w:tc>
        <w:tc>
          <w:tcPr>
            <w:tcW w:w="920" w:type="dxa"/>
            <w:vAlign w:val="bottom"/>
          </w:tcPr>
          <w:p>
            <w:pPr>
              <w:jc w:val="right"/>
              <w:spacing w:after="0"/>
              <w:rPr>
                <w:sz w:val="20"/>
                <w:szCs w:val="20"/>
                <w:color w:val="auto"/>
              </w:rPr>
            </w:pPr>
            <w:r>
              <w:rPr>
                <w:rFonts w:ascii="Arial" w:cs="Arial" w:eastAsia="Arial" w:hAnsi="Arial"/>
                <w:sz w:val="16"/>
                <w:szCs w:val="16"/>
                <w:color w:val="auto"/>
              </w:rPr>
              <w:t>626.4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611.2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15.2</w:t>
            </w:r>
          </w:p>
        </w:tc>
      </w:tr>
      <w:tr>
        <w:trPr>
          <w:trHeight w:val="217"/>
        </w:trPr>
        <w:tc>
          <w:tcPr>
            <w:tcW w:w="3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(3.7 )</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(4.5 )</w:t>
            </w:r>
          </w:p>
        </w:tc>
      </w:tr>
      <w:tr>
        <w:trPr>
          <w:trHeight w:val="209"/>
        </w:trPr>
        <w:tc>
          <w:tcPr>
            <w:tcW w:w="3820" w:type="dxa"/>
            <w:vAlign w:val="bottom"/>
          </w:tcPr>
          <w:p>
            <w:pPr>
              <w:ind w:left="20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(4.8 )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r>
      <w:tr>
        <w:trPr>
          <w:trHeight w:val="210"/>
        </w:trPr>
        <w:tc>
          <w:tcPr>
            <w:tcW w:w="3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Cost of fuel and purchased power: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3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Electric - regulated</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(0.7 )</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w:t>
            </w: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Other - non-regulated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210"/>
        </w:trPr>
        <w:tc>
          <w:tcPr>
            <w:tcW w:w="3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cost of fuel and purchased power</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(0.5 )</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155.7</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147.2</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w:t>
            </w:r>
          </w:p>
        </w:tc>
      </w:tr>
      <w:tr>
        <w:trPr>
          <w:trHeight w:val="210"/>
        </w:trPr>
        <w:tc>
          <w:tcPr>
            <w:tcW w:w="3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Electric Utility margin (non-GAAP)</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177.6</w:t>
            </w: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181.9</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(4.3 )</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504.1</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501.9</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r>
      <w:tr>
        <w:trPr>
          <w:trHeight w:val="209"/>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11.2</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190.5</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18"/>
                <w:szCs w:val="18"/>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2.2</w:t>
            </w:r>
          </w:p>
        </w:tc>
        <w:tc>
          <w:tcPr>
            <w:tcW w:w="920" w:type="dxa"/>
            <w:vAlign w:val="bottom"/>
          </w:tcPr>
          <w:p>
            <w:pPr>
              <w:jc w:val="right"/>
              <w:spacing w:after="0"/>
              <w:rPr>
                <w:sz w:val="20"/>
                <w:szCs w:val="20"/>
                <w:color w:val="auto"/>
              </w:rPr>
            </w:pPr>
            <w:r>
              <w:rPr>
                <w:rFonts w:ascii="Arial" w:cs="Arial" w:eastAsia="Arial" w:hAnsi="Arial"/>
                <w:sz w:val="16"/>
                <w:szCs w:val="16"/>
                <w:color w:val="auto"/>
              </w:rPr>
              <w:t>108.9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106.7</w:t>
            </w:r>
          </w:p>
        </w:tc>
        <w:tc>
          <w:tcPr>
            <w:tcW w:w="2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w:t>
            </w:r>
          </w:p>
        </w:tc>
      </w:tr>
      <w:tr>
        <w:trPr>
          <w:trHeight w:val="217"/>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0.2</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r>
      <w:tr>
        <w:trPr>
          <w:trHeight w:val="209"/>
        </w:trPr>
        <w:tc>
          <w:tcPr>
            <w:tcW w:w="3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r>
      <w:tr>
        <w:trPr>
          <w:trHeight w:val="210"/>
        </w:trPr>
        <w:tc>
          <w:tcPr>
            <w:tcW w:w="3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(17.9 )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(14.7 )</w:t>
            </w: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7"/>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51"/>
        </w:trPr>
        <w:tc>
          <w:tcPr>
            <w:tcW w:w="3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946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736"/>
        </w:trPr>
        <w:tc>
          <w:tcPr>
            <w:tcW w:w="9460" w:type="dxa"/>
            <w:vAlign w:val="bottom"/>
            <w:gridSpan w:val="4"/>
          </w:tcPr>
          <w:p>
            <w:pPr>
              <w:spacing w:after="0"/>
              <w:rPr>
                <w:sz w:val="20"/>
                <w:szCs w:val="20"/>
                <w:color w:val="auto"/>
              </w:rPr>
            </w:pPr>
            <w:r>
              <w:rPr>
                <w:rFonts w:ascii="Arial" w:cs="Arial" w:eastAsia="Arial" w:hAnsi="Arial"/>
                <w:sz w:val="16"/>
                <w:szCs w:val="16"/>
                <w:color w:val="auto"/>
              </w:rPr>
              <w:t>Three Months Ended September 30, 2024, Compared to the Three Months Ended September 30, 2023:</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744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Electric Utility margin decreased as a result of the following:</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1"/>
        </w:trPr>
        <w:tc>
          <w:tcPr>
            <w:tcW w:w="1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r>
      <w:tr>
        <w:trPr>
          <w:trHeight w:val="211"/>
        </w:trPr>
        <w:tc>
          <w:tcPr>
            <w:tcW w:w="94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w:t>
            </w:r>
          </w:p>
        </w:tc>
      </w:tr>
      <w:tr>
        <w:trPr>
          <w:trHeight w:val="215"/>
        </w:trPr>
        <w:tc>
          <w:tcPr>
            <w:tcW w:w="9460" w:type="dxa"/>
            <w:vAlign w:val="bottom"/>
            <w:gridSpan w:val="4"/>
          </w:tcPr>
          <w:p>
            <w:pPr>
              <w:ind w:left="20"/>
              <w:spacing w:after="0"/>
              <w:rPr>
                <w:sz w:val="20"/>
                <w:szCs w:val="20"/>
                <w:color w:val="auto"/>
              </w:rPr>
            </w:pPr>
            <w:r>
              <w:rPr>
                <w:rFonts w:ascii="Arial" w:cs="Arial" w:eastAsia="Arial" w:hAnsi="Arial"/>
                <w:sz w:val="16"/>
                <w:szCs w:val="16"/>
                <w:color w:val="auto"/>
              </w:rPr>
              <w:t>Weather</w:t>
            </w: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w:t>
            </w:r>
          </w:p>
        </w:tc>
      </w:tr>
      <w:tr>
        <w:trPr>
          <w:trHeight w:val="217"/>
        </w:trPr>
        <w:tc>
          <w:tcPr>
            <w:tcW w:w="94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Retail customer growth and usage</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216"/>
        </w:trPr>
        <w:tc>
          <w:tcPr>
            <w:tcW w:w="9460" w:type="dxa"/>
            <w:vAlign w:val="bottom"/>
            <w:gridSpan w:val="4"/>
          </w:tcPr>
          <w:p>
            <w:pPr>
              <w:ind w:left="20"/>
              <w:spacing w:after="0" w:line="216" w:lineRule="exact"/>
              <w:rPr>
                <w:sz w:val="20"/>
                <w:szCs w:val="20"/>
                <w:color w:val="auto"/>
              </w:rPr>
            </w:pPr>
            <w:r>
              <w:rPr>
                <w:rFonts w:ascii="Arial" w:cs="Arial" w:eastAsia="Arial" w:hAnsi="Arial"/>
                <w:sz w:val="16"/>
                <w:szCs w:val="16"/>
                <w:color w:val="auto"/>
              </w:rPr>
              <w:t xml:space="preserve">Prior Year Wygen I revenue recovery under business interruption insurance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16"/>
        </w:trPr>
        <w:tc>
          <w:tcPr>
            <w:tcW w:w="94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Off-system excess energy sales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(2.8 )</w:t>
            </w:r>
          </w:p>
        </w:tc>
      </w:tr>
      <w:tr>
        <w:trPr>
          <w:trHeight w:val="215"/>
        </w:trPr>
        <w:tc>
          <w:tcPr>
            <w:tcW w:w="9460" w:type="dxa"/>
            <w:vAlign w:val="bottom"/>
            <w:gridSpan w:val="4"/>
          </w:tcPr>
          <w:p>
            <w:pPr>
              <w:ind w:left="20"/>
              <w:spacing w:after="0"/>
              <w:rPr>
                <w:sz w:val="20"/>
                <w:szCs w:val="20"/>
                <w:color w:val="auto"/>
              </w:rPr>
            </w:pPr>
            <w:r>
              <w:rPr>
                <w:rFonts w:ascii="Arial" w:cs="Arial" w:eastAsia="Arial" w:hAnsi="Arial"/>
                <w:sz w:val="16"/>
                <w:szCs w:val="16"/>
                <w:color w:val="auto"/>
              </w:rPr>
              <w:t>Unplanned generation outages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7"/>
        </w:trPr>
        <w:tc>
          <w:tcPr>
            <w:tcW w:w="94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(1.1 )</w:t>
            </w:r>
          </w:p>
        </w:tc>
      </w:tr>
      <w:tr>
        <w:trPr>
          <w:trHeight w:val="209"/>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240" w:hanging="512"/>
        <w:spacing w:after="0" w:line="285"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2021, Wygen I experienced an unplanned outage which resulted in lost revenue. A claim for these losses was submitted under our business interruption insurance policy. During the third quarter of 2023, we recovered $5.0 million from our business interruption insurance which was recognized as Revenue.</w:t>
      </w:r>
    </w:p>
    <w:p>
      <w:pPr>
        <w:spacing w:after="0" w:line="126"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a prior-year $3.9 million gain on sale of land, $3.2 million of costs related to unplanned generation outages, $1.6 million of higher office, facility and IT-related expenses, $1.4 million of higher insurance expense and $1.1 million of higher employee costs.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40" w:type="dxa"/>
            <w:vAlign w:val="bottom"/>
            <w:gridSpan w:val="4"/>
          </w:tcPr>
          <w:p>
            <w:pPr>
              <w:spacing w:after="0"/>
              <w:rPr>
                <w:sz w:val="20"/>
                <w:szCs w:val="20"/>
                <w:color w:val="auto"/>
              </w:rPr>
            </w:pPr>
            <w:r>
              <w:rPr>
                <w:rFonts w:ascii="Arial" w:cs="Arial" w:eastAsia="Arial" w:hAnsi="Arial"/>
                <w:sz w:val="16"/>
                <w:szCs w:val="16"/>
                <w:color w:val="auto"/>
              </w:rPr>
              <w:t>Taxes - property and production was comparable to the same period in the prior year.</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58"/>
        </w:trPr>
        <w:tc>
          <w:tcPr>
            <w:tcW w:w="9640" w:type="dxa"/>
            <w:vAlign w:val="bottom"/>
            <w:gridSpan w:val="4"/>
          </w:tcPr>
          <w:p>
            <w:pPr>
              <w:spacing w:after="0"/>
              <w:rPr>
                <w:sz w:val="20"/>
                <w:szCs w:val="20"/>
                <w:color w:val="auto"/>
              </w:rPr>
            </w:pPr>
            <w:r>
              <w:rPr>
                <w:rFonts w:ascii="Arial" w:cs="Arial" w:eastAsia="Arial" w:hAnsi="Arial"/>
                <w:sz w:val="16"/>
                <w:szCs w:val="16"/>
                <w:color w:val="auto"/>
              </w:rPr>
              <w:t>Nine Months Ended September 30, 2024, Compared to the Nine Months Ended September 30, 2023:</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8"/>
        </w:trPr>
        <w:tc>
          <w:tcPr>
            <w:tcW w:w="72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1"/>
        </w:trPr>
        <w:tc>
          <w:tcPr>
            <w:tcW w:w="15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(in millions)</w:t>
            </w:r>
          </w:p>
        </w:tc>
      </w:tr>
      <w:tr>
        <w:trPr>
          <w:trHeight w:val="210"/>
        </w:trPr>
        <w:tc>
          <w:tcPr>
            <w:tcW w:w="96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w:t>
            </w:r>
          </w:p>
        </w:tc>
      </w:tr>
      <w:tr>
        <w:trPr>
          <w:trHeight w:val="215"/>
        </w:trPr>
        <w:tc>
          <w:tcPr>
            <w:tcW w:w="9640" w:type="dxa"/>
            <w:vAlign w:val="bottom"/>
            <w:gridSpan w:val="4"/>
          </w:tcPr>
          <w:p>
            <w:pPr>
              <w:ind w:left="20"/>
              <w:spacing w:after="0"/>
              <w:rPr>
                <w:sz w:val="20"/>
                <w:szCs w:val="20"/>
                <w:color w:val="auto"/>
              </w:rPr>
            </w:pPr>
            <w:r>
              <w:rPr>
                <w:rFonts w:ascii="Arial" w:cs="Arial" w:eastAsia="Arial" w:hAnsi="Arial"/>
                <w:sz w:val="16"/>
                <w:szCs w:val="16"/>
                <w:color w:val="auto"/>
              </w:rPr>
              <w:t>Weather</w:t>
            </w:r>
          </w:p>
        </w:tc>
        <w:tc>
          <w:tcPr>
            <w:tcW w:w="2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w:t>
            </w:r>
          </w:p>
        </w:tc>
      </w:tr>
      <w:tr>
        <w:trPr>
          <w:trHeight w:val="217"/>
        </w:trPr>
        <w:tc>
          <w:tcPr>
            <w:tcW w:w="96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Off-system excess energy sales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(5.6 )</w:t>
            </w:r>
          </w:p>
        </w:tc>
      </w:tr>
      <w:tr>
        <w:trPr>
          <w:trHeight w:val="216"/>
        </w:trPr>
        <w:tc>
          <w:tcPr>
            <w:tcW w:w="9640" w:type="dxa"/>
            <w:vAlign w:val="bottom"/>
            <w:gridSpan w:val="4"/>
          </w:tcPr>
          <w:p>
            <w:pPr>
              <w:ind w:left="20"/>
              <w:spacing w:after="0" w:line="216" w:lineRule="exact"/>
              <w:rPr>
                <w:sz w:val="20"/>
                <w:szCs w:val="20"/>
                <w:color w:val="auto"/>
              </w:rPr>
            </w:pPr>
            <w:r>
              <w:rPr>
                <w:rFonts w:ascii="Arial" w:cs="Arial" w:eastAsia="Arial" w:hAnsi="Arial"/>
                <w:sz w:val="16"/>
                <w:szCs w:val="16"/>
                <w:color w:val="auto"/>
              </w:rPr>
              <w:t xml:space="preserve">Prior Year Wygen I revenue recovery under business interruption insurance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15"/>
        </w:trPr>
        <w:tc>
          <w:tcPr>
            <w:tcW w:w="96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Unplanned generation outages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(4.7 )</w:t>
            </w:r>
          </w:p>
        </w:tc>
      </w:tr>
      <w:tr>
        <w:trPr>
          <w:trHeight w:val="209"/>
        </w:trPr>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r>
      <w:tr>
        <w:trPr>
          <w:trHeight w:val="20"/>
        </w:trPr>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240" w:hanging="512"/>
        <w:spacing w:after="0" w:line="285"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2021, Wygen I experienced an unplanned outage which resulted in lost revenue. A claim for these losses was submitted under our business interruption insurance policy. During the third quarter of 2023, we recovered $5.0 million from our business interruption insurance which was recognized as Revenue.</w:t>
      </w:r>
    </w:p>
    <w:p>
      <w:pPr>
        <w:spacing w:after="0" w:line="126"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a prior-year one-time $7.7 million gain on the sale of Northern Iowa Windpower assets, a prior-year $3.9 million gain on sale of land, $4.2 million of costs related to unplanned generation outages and $3.0 million of higher insurance expense, partially offset by $2.1 million of lower employee-related expenses driven by lower headcount. Other favorable variances, none of which were individually significant, comprised the remainder of the difference when compared to the same period in the prior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was comparable to the same period in the prior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85"/>
        </w:trPr>
        <w:tc>
          <w:tcPr>
            <w:tcW w:w="380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4"/>
        </w:trPr>
        <w:tc>
          <w:tcPr>
            <w:tcW w:w="1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Revenue (in millions)</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Quantities Sold (GWh)</w:t>
            </w:r>
          </w:p>
        </w:tc>
        <w:tc>
          <w:tcPr>
            <w:tcW w:w="860" w:type="dxa"/>
            <w:vAlign w:val="bottom"/>
            <w:tcBorders>
              <w:bottom w:val="single" w:sz="8" w:color="auto"/>
            </w:tcBorders>
          </w:tcPr>
          <w:p>
            <w:pPr>
              <w:spacing w:after="0"/>
              <w:rPr>
                <w:sz w:val="24"/>
                <w:szCs w:val="24"/>
                <w:color w:val="auto"/>
              </w:rPr>
            </w:pPr>
          </w:p>
        </w:tc>
      </w:tr>
      <w:tr>
        <w:trPr>
          <w:trHeight w:val="182"/>
        </w:trPr>
        <w:tc>
          <w:tcPr>
            <w:tcW w:w="13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780" w:type="dxa"/>
            <w:vAlign w:val="bottom"/>
            <w:gridSpan w:val="4"/>
          </w:tcPr>
          <w:p>
            <w:pPr>
              <w:ind w:left="40"/>
              <w:spacing w:after="0" w:line="182" w:lineRule="exact"/>
              <w:rPr>
                <w:sz w:val="20"/>
                <w:szCs w:val="20"/>
                <w:color w:val="auto"/>
              </w:rPr>
            </w:pPr>
            <w:r>
              <w:rPr>
                <w:rFonts w:ascii="Arial" w:cs="Arial" w:eastAsia="Arial" w:hAnsi="Arial"/>
                <w:sz w:val="16"/>
                <w:szCs w:val="16"/>
                <w:b w:val="1"/>
                <w:bCs w:val="1"/>
                <w:color w:val="auto"/>
              </w:rPr>
              <w:t>Three Months Ended</w:t>
            </w:r>
          </w:p>
        </w:tc>
        <w:tc>
          <w:tcPr>
            <w:tcW w:w="1820" w:type="dxa"/>
            <w:vAlign w:val="bottom"/>
            <w:gridSpan w:val="4"/>
          </w:tcPr>
          <w:p>
            <w:pPr>
              <w:jc w:val="right"/>
              <w:ind w:right="119"/>
              <w:spacing w:after="0" w:line="182" w:lineRule="exact"/>
              <w:rPr>
                <w:sz w:val="20"/>
                <w:szCs w:val="20"/>
                <w:color w:val="auto"/>
              </w:rPr>
            </w:pPr>
            <w:r>
              <w:rPr>
                <w:rFonts w:ascii="Arial" w:cs="Arial" w:eastAsia="Arial" w:hAnsi="Arial"/>
                <w:sz w:val="16"/>
                <w:szCs w:val="16"/>
                <w:b w:val="1"/>
                <w:bCs w:val="1"/>
                <w:color w:val="auto"/>
              </w:rPr>
              <w:t>Nine Months Ended</w:t>
            </w:r>
          </w:p>
        </w:tc>
        <w:tc>
          <w:tcPr>
            <w:tcW w:w="1940" w:type="dxa"/>
            <w:vAlign w:val="bottom"/>
            <w:gridSpan w:val="2"/>
          </w:tcPr>
          <w:p>
            <w:pPr>
              <w:jc w:val="right"/>
              <w:ind w:right="159"/>
              <w:spacing w:after="0" w:line="182" w:lineRule="exact"/>
              <w:rPr>
                <w:sz w:val="20"/>
                <w:szCs w:val="20"/>
                <w:color w:val="auto"/>
              </w:rPr>
            </w:pPr>
            <w:r>
              <w:rPr>
                <w:rFonts w:ascii="Arial" w:cs="Arial" w:eastAsia="Arial" w:hAnsi="Arial"/>
                <w:sz w:val="16"/>
                <w:szCs w:val="16"/>
                <w:b w:val="1"/>
                <w:bCs w:val="1"/>
                <w:color w:val="auto"/>
              </w:rPr>
              <w:t>Three Months Ended</w:t>
            </w:r>
          </w:p>
        </w:tc>
        <w:tc>
          <w:tcPr>
            <w:tcW w:w="1900" w:type="dxa"/>
            <w:vAlign w:val="bottom"/>
            <w:gridSpan w:val="2"/>
          </w:tcPr>
          <w:p>
            <w:pPr>
              <w:jc w:val="right"/>
              <w:ind w:right="179"/>
              <w:spacing w:after="0" w:line="182" w:lineRule="exact"/>
              <w:rPr>
                <w:sz w:val="20"/>
                <w:szCs w:val="20"/>
                <w:color w:val="auto"/>
              </w:rPr>
            </w:pPr>
            <w:r>
              <w:rPr>
                <w:rFonts w:ascii="Arial" w:cs="Arial" w:eastAsia="Arial" w:hAnsi="Arial"/>
                <w:sz w:val="16"/>
                <w:szCs w:val="16"/>
                <w:b w:val="1"/>
                <w:bCs w:val="1"/>
                <w:color w:val="auto"/>
              </w:rPr>
              <w:t>Nine Months Ended</w:t>
            </w:r>
          </w:p>
        </w:tc>
      </w:tr>
      <w:tr>
        <w:trPr>
          <w:trHeight w:val="216"/>
        </w:trPr>
        <w:tc>
          <w:tcPr>
            <w:tcW w:w="1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60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19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9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3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By customer class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r>
      <w:tr>
        <w:trPr>
          <w:trHeight w:val="209"/>
        </w:trPr>
        <w:tc>
          <w:tcPr>
            <w:tcW w:w="38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w:t>
            </w:r>
          </w:p>
        </w:tc>
        <w:tc>
          <w:tcPr>
            <w:tcW w:w="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179.4</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170.3</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411.1</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393.9</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1,123.4</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1,090.6</w:t>
            </w: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195.1</w:t>
            </w:r>
          </w:p>
        </w:tc>
        <w:tc>
          <w:tcPr>
            <w:tcW w:w="940" w:type="dxa"/>
            <w:vAlign w:val="bottom"/>
          </w:tcPr>
          <w:p>
            <w:pPr>
              <w:jc w:val="right"/>
              <w:spacing w:after="0"/>
              <w:rPr>
                <w:sz w:val="20"/>
                <w:szCs w:val="20"/>
                <w:color w:val="auto"/>
              </w:rPr>
            </w:pPr>
            <w:r>
              <w:rPr>
                <w:rFonts w:ascii="Arial" w:cs="Arial" w:eastAsia="Arial" w:hAnsi="Arial"/>
                <w:sz w:val="16"/>
                <w:szCs w:val="16"/>
                <w:color w:val="auto"/>
              </w:rPr>
              <w:t>571.9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567.1</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1,590.6</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1,576.1</w:t>
            </w:r>
          </w:p>
        </w:tc>
      </w:tr>
      <w:tr>
        <w:trPr>
          <w:trHeight w:val="217"/>
        </w:trPr>
        <w:tc>
          <w:tcPr>
            <w:tcW w:w="38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116.4</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531.5</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553.5</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1,643.4</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1,511.6</w:t>
            </w: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Municipal</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42.7</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111.7</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116.1</w:t>
            </w:r>
          </w:p>
        </w:tc>
      </w:tr>
      <w:tr>
        <w:trPr>
          <w:trHeight w:val="209"/>
        </w:trPr>
        <w:tc>
          <w:tcPr>
            <w:tcW w:w="38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Subtotal Retail Revenue - Electric</w:t>
            </w: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183.8</w:t>
            </w: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180.3</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523.2</w:t>
            </w: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495.0</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1,555.9</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1,557.2</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4,469.1</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4,294.4</w:t>
            </w:r>
          </w:p>
        </w:tc>
      </w:tr>
      <w:tr>
        <w:trPr>
          <w:trHeight w:val="209"/>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Contract Wholesale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940" w:type="dxa"/>
            <w:vAlign w:val="bottom"/>
          </w:tcPr>
          <w:p>
            <w:pPr>
              <w:jc w:val="right"/>
              <w:spacing w:after="0"/>
              <w:rPr>
                <w:sz w:val="20"/>
                <w:szCs w:val="20"/>
                <w:color w:val="auto"/>
              </w:rPr>
            </w:pPr>
            <w:r>
              <w:rPr>
                <w:rFonts w:ascii="Arial" w:cs="Arial" w:eastAsia="Arial" w:hAnsi="Arial"/>
                <w:sz w:val="16"/>
                <w:szCs w:val="16"/>
                <w:color w:val="auto"/>
              </w:rPr>
              <w:t>99.4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140.6</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385.0</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403.7</w:t>
            </w:r>
          </w:p>
        </w:tc>
      </w:tr>
      <w:tr>
        <w:trPr>
          <w:trHeight w:val="217"/>
        </w:trPr>
        <w:tc>
          <w:tcPr>
            <w:tcW w:w="3800" w:type="dxa"/>
            <w:vAlign w:val="bottom"/>
            <w:gridSpan w:val="2"/>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Off-system/Power Marketing Wholesale </w:t>
            </w:r>
            <w:r>
              <w:rPr>
                <w:rFonts w:ascii="Arial" w:cs="Arial" w:eastAsia="Arial" w:hAnsi="Arial"/>
                <w:sz w:val="21"/>
                <w:szCs w:val="21"/>
                <w:color w:val="auto"/>
                <w:vertAlign w:val="superscript"/>
              </w:rPr>
              <w:t>(a)</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138.4</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506.8</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518.5</w:t>
            </w:r>
          </w:p>
        </w:tc>
      </w:tr>
      <w:tr>
        <w:trPr>
          <w:trHeight w:val="216"/>
        </w:trPr>
        <w:tc>
          <w:tcPr>
            <w:tcW w:w="38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8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Total Regulated</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611.2</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1,882.3</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1,836.2</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5,360.9</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5,216.6</w:t>
            </w:r>
          </w:p>
        </w:tc>
      </w:tr>
      <w:tr>
        <w:trPr>
          <w:trHeight w:val="216"/>
        </w:trPr>
        <w:tc>
          <w:tcPr>
            <w:tcW w:w="38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Non-Regulated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25.4</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74.2</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102.6</w:t>
            </w:r>
          </w:p>
        </w:tc>
      </w:tr>
      <w:tr>
        <w:trPr>
          <w:trHeight w:val="249"/>
        </w:trPr>
        <w:tc>
          <w:tcPr>
            <w:tcW w:w="38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232.5</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659.8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649.1</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1,907.3</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1,861.6</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5,435.1</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5,319.2</w:t>
            </w:r>
          </w:p>
        </w:tc>
      </w:tr>
      <w:tr>
        <w:trPr>
          <w:trHeight w:val="197"/>
        </w:trPr>
        <w:tc>
          <w:tcPr>
            <w:tcW w:w="3800" w:type="dxa"/>
            <w:vAlign w:val="bottom"/>
            <w:gridSpan w:val="2"/>
          </w:tcPr>
          <w:p>
            <w:pPr>
              <w:ind w:left="20"/>
              <w:spacing w:after="0" w:line="197" w:lineRule="exact"/>
              <w:rPr>
                <w:sz w:val="20"/>
                <w:szCs w:val="20"/>
                <w:color w:val="auto"/>
              </w:rPr>
            </w:pPr>
            <w:r>
              <w:rPr>
                <w:rFonts w:ascii="Arial" w:cs="Arial" w:eastAsia="Arial" w:hAnsi="Arial"/>
                <w:sz w:val="16"/>
                <w:szCs w:val="16"/>
                <w:color w:val="auto"/>
              </w:rPr>
              <w:t xml:space="preserve">Other Uses, Losses, or Generation, net </w:t>
            </w:r>
            <w:r>
              <w:rPr>
                <w:rFonts w:ascii="Arial" w:cs="Arial" w:eastAsia="Arial" w:hAnsi="Arial"/>
                <w:sz w:val="21"/>
                <w:szCs w:val="21"/>
                <w:color w:val="auto"/>
                <w:vertAlign w:val="superscript"/>
              </w:rPr>
              <w:t>(d)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97.7</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237.5</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345.6</w:t>
            </w:r>
          </w:p>
        </w:tc>
      </w:tr>
      <w:tr>
        <w:trPr>
          <w:trHeight w:val="249"/>
        </w:trPr>
        <w:tc>
          <w:tcPr>
            <w:tcW w:w="38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 Energy</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2,018.0</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1,959.3</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5,672.6</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220" w:hanging="512"/>
        <w:spacing w:after="0" w:line="25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Off-system/Power Marketing Wholesale revenues decreased for the nine months ended September 30, 2024, compared to the same period in the prior year primarily due to lower excess capacity and lower commodity prices.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Revenue (in millions)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Quantities Sold (GWh)</w:t>
            </w:r>
          </w:p>
        </w:tc>
        <w:tc>
          <w:tcPr>
            <w:tcW w:w="1060" w:type="dxa"/>
            <w:vAlign w:val="bottom"/>
            <w:tcBorders>
              <w:bottom w:val="single" w:sz="8" w:color="auto"/>
            </w:tcBorders>
          </w:tcPr>
          <w:p>
            <w:pPr>
              <w:spacing w:after="0"/>
              <w:rPr>
                <w:sz w:val="18"/>
                <w:szCs w:val="18"/>
                <w:color w:val="auto"/>
              </w:rPr>
            </w:pPr>
          </w:p>
        </w:tc>
      </w:tr>
      <w:tr>
        <w:trPr>
          <w:trHeight w:val="182"/>
        </w:trPr>
        <w:tc>
          <w:tcPr>
            <w:tcW w:w="3620" w:type="dxa"/>
            <w:vAlign w:val="bottom"/>
          </w:tcPr>
          <w:p>
            <w:pPr>
              <w:spacing w:after="0"/>
              <w:rPr>
                <w:sz w:val="15"/>
                <w:szCs w:val="15"/>
                <w:color w:val="auto"/>
              </w:rPr>
            </w:pPr>
          </w:p>
        </w:tc>
        <w:tc>
          <w:tcPr>
            <w:tcW w:w="1880" w:type="dxa"/>
            <w:vAlign w:val="bottom"/>
            <w:gridSpan w:val="5"/>
          </w:tcPr>
          <w:p>
            <w:pPr>
              <w:jc w:val="right"/>
              <w:ind w:right="119"/>
              <w:spacing w:after="0" w:line="182" w:lineRule="exact"/>
              <w:rPr>
                <w:sz w:val="20"/>
                <w:szCs w:val="20"/>
                <w:color w:val="auto"/>
              </w:rPr>
            </w:pPr>
            <w:r>
              <w:rPr>
                <w:rFonts w:ascii="Arial" w:cs="Arial" w:eastAsia="Arial" w:hAnsi="Arial"/>
                <w:sz w:val="16"/>
                <w:szCs w:val="16"/>
                <w:b w:val="1"/>
                <w:bCs w:val="1"/>
                <w:color w:val="auto"/>
              </w:rPr>
              <w:t>Three Months Ended</w:t>
            </w:r>
          </w:p>
        </w:tc>
        <w:tc>
          <w:tcPr>
            <w:tcW w:w="1860" w:type="dxa"/>
            <w:vAlign w:val="bottom"/>
            <w:gridSpan w:val="4"/>
          </w:tcPr>
          <w:p>
            <w:pPr>
              <w:jc w:val="right"/>
              <w:ind w:right="119"/>
              <w:spacing w:after="0" w:line="182" w:lineRule="exact"/>
              <w:rPr>
                <w:sz w:val="20"/>
                <w:szCs w:val="20"/>
                <w:color w:val="auto"/>
              </w:rPr>
            </w:pPr>
            <w:r>
              <w:rPr>
                <w:rFonts w:ascii="Arial" w:cs="Arial" w:eastAsia="Arial" w:hAnsi="Arial"/>
                <w:sz w:val="16"/>
                <w:szCs w:val="16"/>
                <w:b w:val="1"/>
                <w:bCs w:val="1"/>
                <w:color w:val="auto"/>
              </w:rPr>
              <w:t>Nine Months Ended</w:t>
            </w:r>
          </w:p>
        </w:tc>
        <w:tc>
          <w:tcPr>
            <w:tcW w:w="2140" w:type="dxa"/>
            <w:vAlign w:val="bottom"/>
            <w:gridSpan w:val="3"/>
          </w:tcPr>
          <w:p>
            <w:pPr>
              <w:jc w:val="right"/>
              <w:ind w:right="299"/>
              <w:spacing w:after="0" w:line="182" w:lineRule="exact"/>
              <w:rPr>
                <w:sz w:val="20"/>
                <w:szCs w:val="20"/>
                <w:color w:val="auto"/>
              </w:rPr>
            </w:pPr>
            <w:r>
              <w:rPr>
                <w:rFonts w:ascii="Arial" w:cs="Arial" w:eastAsia="Arial" w:hAnsi="Arial"/>
                <w:sz w:val="16"/>
                <w:szCs w:val="16"/>
                <w:b w:val="1"/>
                <w:bCs w:val="1"/>
                <w:color w:val="auto"/>
              </w:rPr>
              <w:t>Three Months Ended</w:t>
            </w:r>
          </w:p>
        </w:tc>
        <w:tc>
          <w:tcPr>
            <w:tcW w:w="1740" w:type="dxa"/>
            <w:vAlign w:val="bottom"/>
            <w:gridSpan w:val="2"/>
          </w:tcPr>
          <w:p>
            <w:pPr>
              <w:jc w:val="right"/>
              <w:ind w:right="159"/>
              <w:spacing w:after="0" w:line="182" w:lineRule="exact"/>
              <w:rPr>
                <w:sz w:val="20"/>
                <w:szCs w:val="20"/>
                <w:color w:val="auto"/>
              </w:rPr>
            </w:pPr>
            <w:r>
              <w:rPr>
                <w:rFonts w:ascii="Arial" w:cs="Arial" w:eastAsia="Arial" w:hAnsi="Arial"/>
                <w:sz w:val="16"/>
                <w:szCs w:val="16"/>
                <w:b w:val="1"/>
                <w:bCs w:val="1"/>
                <w:color w:val="auto"/>
                <w:w w:val="99"/>
              </w:rPr>
              <w:t>Nine Months Ended</w:t>
            </w:r>
          </w:p>
        </w:tc>
      </w:tr>
      <w:tr>
        <w:trPr>
          <w:trHeight w:val="216"/>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60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21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17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business unit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9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r>
      <w:tr>
        <w:trPr>
          <w:trHeight w:val="209"/>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216.9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675.4</w:t>
            </w:r>
          </w:p>
        </w:tc>
        <w:tc>
          <w:tcPr>
            <w:tcW w:w="11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653.2</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1,816.8</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1,794.5</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86.0</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83.0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242.5</w:t>
            </w:r>
          </w:p>
        </w:tc>
        <w:tc>
          <w:tcPr>
            <w:tcW w:w="22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669.8</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622.7</w:t>
            </w:r>
          </w:p>
        </w:tc>
        <w:tc>
          <w:tcPr>
            <w:tcW w:w="680" w:type="dxa"/>
            <w:vAlign w:val="bottom"/>
          </w:tcPr>
          <w:p>
            <w:pPr>
              <w:jc w:val="right"/>
              <w:spacing w:after="0"/>
              <w:rPr>
                <w:sz w:val="20"/>
                <w:szCs w:val="20"/>
                <w:color w:val="auto"/>
              </w:rPr>
            </w:pPr>
            <w:r>
              <w:rPr>
                <w:rFonts w:ascii="Arial" w:cs="Arial" w:eastAsia="Arial" w:hAnsi="Arial"/>
                <w:sz w:val="16"/>
                <w:szCs w:val="16"/>
                <w:color w:val="auto"/>
              </w:rPr>
              <w:t>1,882.3</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1,876.7</w:t>
            </w:r>
          </w:p>
        </w:tc>
      </w:tr>
      <w:tr>
        <w:trPr>
          <w:trHeight w:val="217"/>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155.0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537.1</w:t>
            </w:r>
          </w:p>
        </w:tc>
        <w:tc>
          <w:tcPr>
            <w:tcW w:w="11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560.3</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1,661.8</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1,545.4</w:t>
            </w:r>
          </w:p>
        </w:tc>
      </w:tr>
      <w:tr>
        <w:trPr>
          <w:trHeight w:val="216"/>
        </w:trPr>
        <w:tc>
          <w:tcPr>
            <w:tcW w:w="3620" w:type="dxa"/>
            <w:vAlign w:val="bottom"/>
          </w:tcPr>
          <w:p>
            <w:pPr>
              <w:ind w:left="20"/>
              <w:spacing w:after="0"/>
              <w:rPr>
                <w:sz w:val="20"/>
                <w:szCs w:val="20"/>
                <w:color w:val="auto"/>
              </w:rPr>
            </w:pPr>
            <w:r>
              <w:rPr>
                <w:rFonts w:ascii="Arial" w:cs="Arial" w:eastAsia="Arial" w:hAnsi="Arial"/>
                <w:sz w:val="16"/>
                <w:szCs w:val="16"/>
                <w:color w:val="auto"/>
              </w:rPr>
              <w:t>Integrated Generation</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15.1</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102.6</w:t>
            </w:r>
          </w:p>
        </w:tc>
      </w:tr>
      <w:tr>
        <w:trPr>
          <w:trHeight w:val="250"/>
        </w:trPr>
        <w:tc>
          <w:tcPr>
            <w:tcW w:w="3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 and Quantities Sold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237.3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659.8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649.1</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1,907.3</w:t>
            </w:r>
          </w:p>
        </w:tc>
        <w:tc>
          <w:tcPr>
            <w:tcW w:w="11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1,861.6</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5,435.1</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5,319.2</w:t>
            </w:r>
          </w:p>
        </w:tc>
      </w:tr>
      <w:tr>
        <w:trPr>
          <w:trHeight w:val="385"/>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Three Months Ended September 30,</w:t>
            </w:r>
          </w:p>
        </w:tc>
        <w:tc>
          <w:tcPr>
            <w:tcW w:w="33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r>
      <w:tr>
        <w:trPr>
          <w:trHeight w:val="217"/>
        </w:trPr>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Quantities Generated and Purchased by Fuel Type (GWh)</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95"/>
              </w:rPr>
              <w:t>2023</w:t>
            </w:r>
          </w:p>
        </w:tc>
      </w:tr>
      <w:tr>
        <w:trPr>
          <w:trHeight w:val="209"/>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3620" w:type="dxa"/>
            <w:vAlign w:val="bottom"/>
          </w:tcPr>
          <w:p>
            <w:pPr>
              <w:ind w:left="120"/>
              <w:spacing w:after="0"/>
              <w:rPr>
                <w:sz w:val="20"/>
                <w:szCs w:val="20"/>
                <w:color w:val="auto"/>
              </w:rPr>
            </w:pPr>
            <w:r>
              <w:rPr>
                <w:rFonts w:ascii="Arial" w:cs="Arial" w:eastAsia="Arial" w:hAnsi="Arial"/>
                <w:sz w:val="16"/>
                <w:szCs w:val="16"/>
                <w:color w:val="auto"/>
              </w:rPr>
              <w:t>Coal</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645.7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704.2</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1,804.5</w:t>
            </w:r>
          </w:p>
        </w:tc>
        <w:tc>
          <w:tcPr>
            <w:tcW w:w="6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2,000.1</w:t>
            </w:r>
          </w:p>
        </w:tc>
      </w:tr>
      <w:tr>
        <w:trPr>
          <w:trHeight w:val="217"/>
        </w:trPr>
        <w:tc>
          <w:tcPr>
            <w:tcW w:w="3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Natural Gas and Oil</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714.4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540.9</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1,689.3</w:t>
            </w: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1,493.2</w:t>
            </w:r>
          </w:p>
        </w:tc>
      </w:tr>
      <w:tr>
        <w:trPr>
          <w:trHeight w:val="216"/>
        </w:trPr>
        <w:tc>
          <w:tcPr>
            <w:tcW w:w="3620" w:type="dxa"/>
            <w:vAlign w:val="bottom"/>
          </w:tcPr>
          <w:p>
            <w:pPr>
              <w:ind w:left="120"/>
              <w:spacing w:after="0"/>
              <w:rPr>
                <w:sz w:val="20"/>
                <w:szCs w:val="20"/>
                <w:color w:val="auto"/>
              </w:rPr>
            </w:pPr>
            <w:r>
              <w:rPr>
                <w:rFonts w:ascii="Arial" w:cs="Arial" w:eastAsia="Arial" w:hAnsi="Arial"/>
                <w:sz w:val="16"/>
                <w:szCs w:val="16"/>
                <w:color w:val="auto"/>
              </w:rPr>
              <w:t>Wind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141.8</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477.5</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519.9</w:t>
            </w:r>
          </w:p>
        </w:tc>
      </w:tr>
      <w:tr>
        <w:trPr>
          <w:trHeight w:val="210"/>
        </w:trPr>
        <w:tc>
          <w:tcPr>
            <w:tcW w:w="3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Generated</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7"/>
              </w:rPr>
              <w:t>1,501.9</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1,383.7</w:t>
            </w: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3,971.3</w:t>
            </w: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4,013.2</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448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Coal, Natural Gas, Oil, and Other Market Purchases</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223.5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459.1</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863.0</w:t>
            </w: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1,370.0</w:t>
            </w:r>
          </w:p>
        </w:tc>
      </w:tr>
      <w:tr>
        <w:trPr>
          <w:trHeight w:val="216"/>
        </w:trPr>
        <w:tc>
          <w:tcPr>
            <w:tcW w:w="36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Wind and Solar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292.6</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838.3</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281.6</w:t>
            </w:r>
          </w:p>
        </w:tc>
      </w:tr>
      <w:tr>
        <w:trPr>
          <w:trHeight w:val="209"/>
        </w:trPr>
        <w:tc>
          <w:tcPr>
            <w:tcW w:w="3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Purchased</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516.1</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575.6</w:t>
            </w: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1,701.3</w:t>
            </w: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1,651.6</w:t>
            </w:r>
          </w:p>
        </w:tc>
      </w:tr>
      <w:tr>
        <w:trPr>
          <w:trHeight w:val="210"/>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Generated and Purchased</w:t>
            </w:r>
          </w:p>
        </w:tc>
        <w:tc>
          <w:tcPr>
            <w:tcW w:w="1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7"/>
              </w:rPr>
              <w:t>2,018.0</w:t>
            </w:r>
          </w:p>
        </w:tc>
        <w:tc>
          <w:tcPr>
            <w:tcW w:w="22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1,959.3</w:t>
            </w:r>
          </w:p>
        </w:tc>
        <w:tc>
          <w:tcPr>
            <w:tcW w:w="4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5,672.6</w:t>
            </w:r>
          </w:p>
        </w:tc>
        <w:tc>
          <w:tcPr>
            <w:tcW w:w="68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120" w:hanging="512"/>
        <w:spacing w:after="0" w:line="256"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Renewable energy purchases increased for the three and nine months ended September 30, 2024, compared to the same period in the prior year primarily due to new wind and solar energy PPAs. In 2022, Wyoming Electric entered into two new PPAs with third parties to purchase up to 106 MW of wind energy and up to 150 MW of solar energy, upon construction of new renewable generation facilities (owned by third parties). The new wind generation facility was placed in service in December 2023 and the solar facility was placed in service in March 2024. The renewable energy from these PPAs is used to serve our expanding partnerships with data centers.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27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00"/>
        </w:trPr>
        <w:tc>
          <w:tcPr>
            <w:tcW w:w="13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20" w:type="dxa"/>
            <w:vAlign w:val="bottom"/>
            <w:gridSpan w:val="6"/>
          </w:tcPr>
          <w:p>
            <w:pPr>
              <w:jc w:val="right"/>
              <w:ind w:right="339"/>
              <w:spacing w:after="0"/>
              <w:rPr>
                <w:sz w:val="20"/>
                <w:szCs w:val="20"/>
                <w:color w:val="auto"/>
              </w:rPr>
            </w:pPr>
            <w:r>
              <w:rPr>
                <w:rFonts w:ascii="Arial" w:cs="Arial" w:eastAsia="Arial" w:hAnsi="Arial"/>
                <w:sz w:val="16"/>
                <w:szCs w:val="16"/>
                <w:b w:val="1"/>
                <w:bCs w:val="1"/>
                <w:color w:val="auto"/>
              </w:rPr>
              <w:t>Three Months Ended September 30,</w:t>
            </w:r>
          </w:p>
        </w:tc>
        <w:tc>
          <w:tcPr>
            <w:tcW w:w="334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rPr>
              <w:t>Nine Months Ended September 30,</w:t>
            </w:r>
          </w:p>
        </w:tc>
      </w:tr>
      <w:tr>
        <w:trPr>
          <w:trHeight w:val="217"/>
        </w:trPr>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Quantities Generated and Purchased (GWh)</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5"/>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859"/>
              <w:spacing w:after="0"/>
              <w:rPr>
                <w:sz w:val="20"/>
                <w:szCs w:val="20"/>
                <w:color w:val="auto"/>
              </w:rPr>
            </w:pPr>
            <w:r>
              <w:rPr>
                <w:rFonts w:ascii="Arial" w:cs="Arial" w:eastAsia="Arial" w:hAnsi="Arial"/>
                <w:sz w:val="16"/>
                <w:szCs w:val="16"/>
                <w:color w:val="auto"/>
              </w:rPr>
              <w:t>275.3</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211.4</w:t>
            </w:r>
          </w:p>
        </w:tc>
        <w:tc>
          <w:tcPr>
            <w:tcW w:w="1020" w:type="dxa"/>
            <w:vAlign w:val="bottom"/>
          </w:tcPr>
          <w:p>
            <w:pPr>
              <w:spacing w:after="0"/>
              <w:rPr>
                <w:sz w:val="18"/>
                <w:szCs w:val="18"/>
                <w:color w:val="auto"/>
              </w:rPr>
            </w:pPr>
          </w:p>
        </w:tc>
        <w:tc>
          <w:tcPr>
            <w:tcW w:w="980" w:type="dxa"/>
            <w:vAlign w:val="bottom"/>
            <w:gridSpan w:val="2"/>
          </w:tcPr>
          <w:p>
            <w:pPr>
              <w:jc w:val="right"/>
              <w:ind w:right="339"/>
              <w:spacing w:after="0"/>
              <w:rPr>
                <w:sz w:val="20"/>
                <w:szCs w:val="20"/>
                <w:color w:val="auto"/>
              </w:rPr>
            </w:pPr>
            <w:r>
              <w:rPr>
                <w:rFonts w:ascii="Arial" w:cs="Arial" w:eastAsia="Arial" w:hAnsi="Arial"/>
                <w:sz w:val="16"/>
                <w:szCs w:val="16"/>
                <w:color w:val="auto"/>
              </w:rPr>
              <w:t>659.9</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492.0</w:t>
            </w:r>
          </w:p>
        </w:tc>
      </w:tr>
      <w:tr>
        <w:trPr>
          <w:trHeight w:val="217"/>
        </w:trPr>
        <w:tc>
          <w:tcPr>
            <w:tcW w:w="27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549.1</w:t>
            </w: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489.2</w:t>
            </w:r>
          </w:p>
        </w:tc>
        <w:tc>
          <w:tcPr>
            <w:tcW w:w="10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1,503.5</w:t>
            </w:r>
          </w:p>
        </w:tc>
        <w:tc>
          <w:tcPr>
            <w:tcW w:w="13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1,500.7</w:t>
            </w:r>
          </w:p>
        </w:tc>
      </w:tr>
      <w:tr>
        <w:trPr>
          <w:trHeight w:val="215"/>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859"/>
              <w:spacing w:after="0"/>
              <w:rPr>
                <w:sz w:val="20"/>
                <w:szCs w:val="20"/>
                <w:color w:val="auto"/>
              </w:rPr>
            </w:pPr>
            <w:r>
              <w:rPr>
                <w:rFonts w:ascii="Arial" w:cs="Arial" w:eastAsia="Arial" w:hAnsi="Arial"/>
                <w:sz w:val="16"/>
                <w:szCs w:val="16"/>
                <w:color w:val="auto"/>
              </w:rPr>
              <w:t>227.9</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222.0</w:t>
            </w:r>
          </w:p>
        </w:tc>
        <w:tc>
          <w:tcPr>
            <w:tcW w:w="1020" w:type="dxa"/>
            <w:vAlign w:val="bottom"/>
          </w:tcPr>
          <w:p>
            <w:pPr>
              <w:spacing w:after="0"/>
              <w:rPr>
                <w:sz w:val="18"/>
                <w:szCs w:val="18"/>
                <w:color w:val="auto"/>
              </w:rPr>
            </w:pPr>
          </w:p>
        </w:tc>
        <w:tc>
          <w:tcPr>
            <w:tcW w:w="980" w:type="dxa"/>
            <w:vAlign w:val="bottom"/>
            <w:gridSpan w:val="2"/>
          </w:tcPr>
          <w:p>
            <w:pPr>
              <w:jc w:val="right"/>
              <w:ind w:right="339"/>
              <w:spacing w:after="0"/>
              <w:rPr>
                <w:sz w:val="20"/>
                <w:szCs w:val="20"/>
                <w:color w:val="auto"/>
              </w:rPr>
            </w:pPr>
            <w:r>
              <w:rPr>
                <w:rFonts w:ascii="Arial" w:cs="Arial" w:eastAsia="Arial" w:hAnsi="Arial"/>
                <w:sz w:val="16"/>
                <w:szCs w:val="16"/>
                <w:color w:val="auto"/>
              </w:rPr>
              <w:t>630.9</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667.7</w:t>
            </w:r>
          </w:p>
        </w:tc>
      </w:tr>
      <w:tr>
        <w:trPr>
          <w:trHeight w:val="217"/>
        </w:trPr>
        <w:tc>
          <w:tcPr>
            <w:tcW w:w="27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449.6</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right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461.1</w:t>
            </w:r>
          </w:p>
        </w:tc>
        <w:tc>
          <w:tcPr>
            <w:tcW w:w="10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1,177.0</w:t>
            </w:r>
          </w:p>
        </w:tc>
        <w:tc>
          <w:tcPr>
            <w:tcW w:w="134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1,352.8</w:t>
            </w:r>
          </w:p>
        </w:tc>
      </w:tr>
      <w:tr>
        <w:trPr>
          <w:trHeight w:val="209"/>
        </w:trPr>
        <w:tc>
          <w:tcPr>
            <w:tcW w:w="2740" w:type="dxa"/>
            <w:vAlign w:val="bottom"/>
            <w:gridSpan w:val="2"/>
          </w:tcPr>
          <w:p>
            <w:pPr>
              <w:ind w:left="200"/>
              <w:spacing w:after="0"/>
              <w:rPr>
                <w:sz w:val="20"/>
                <w:szCs w:val="20"/>
                <w:color w:val="auto"/>
              </w:rPr>
            </w:pPr>
            <w:r>
              <w:rPr>
                <w:rFonts w:ascii="Arial" w:cs="Arial" w:eastAsia="Arial" w:hAnsi="Arial"/>
                <w:sz w:val="16"/>
                <w:szCs w:val="16"/>
                <w:color w:val="auto"/>
              </w:rPr>
              <w:t>Total Generated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color w:val="auto"/>
              </w:rPr>
              <w:t>1,501.9</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1,383.7</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3,971.3</w:t>
            </w: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4,013.2</w:t>
            </w:r>
          </w:p>
        </w:tc>
      </w:tr>
      <w:tr>
        <w:trPr>
          <w:trHeight w:val="209"/>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Purchased:</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5"/>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859"/>
              <w:spacing w:after="0"/>
              <w:rPr>
                <w:sz w:val="20"/>
                <w:szCs w:val="20"/>
                <w:color w:val="auto"/>
              </w:rPr>
            </w:pPr>
            <w:r>
              <w:rPr>
                <w:rFonts w:ascii="Arial" w:cs="Arial" w:eastAsia="Arial" w:hAnsi="Arial"/>
                <w:sz w:val="16"/>
                <w:szCs w:val="16"/>
                <w:color w:val="auto"/>
              </w:rPr>
              <w:t>67.2</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116.2</w:t>
            </w:r>
          </w:p>
        </w:tc>
        <w:tc>
          <w:tcPr>
            <w:tcW w:w="1020" w:type="dxa"/>
            <w:vAlign w:val="bottom"/>
          </w:tcPr>
          <w:p>
            <w:pPr>
              <w:spacing w:after="0"/>
              <w:rPr>
                <w:sz w:val="18"/>
                <w:szCs w:val="18"/>
                <w:color w:val="auto"/>
              </w:rPr>
            </w:pPr>
          </w:p>
        </w:tc>
        <w:tc>
          <w:tcPr>
            <w:tcW w:w="980" w:type="dxa"/>
            <w:vAlign w:val="bottom"/>
            <w:gridSpan w:val="2"/>
          </w:tcPr>
          <w:p>
            <w:pPr>
              <w:jc w:val="right"/>
              <w:ind w:right="339"/>
              <w:spacing w:after="0"/>
              <w:rPr>
                <w:sz w:val="20"/>
                <w:szCs w:val="20"/>
                <w:color w:val="auto"/>
              </w:rPr>
            </w:pPr>
            <w:r>
              <w:rPr>
                <w:rFonts w:ascii="Arial" w:cs="Arial" w:eastAsia="Arial" w:hAnsi="Arial"/>
                <w:sz w:val="16"/>
                <w:szCs w:val="16"/>
                <w:color w:val="auto"/>
              </w:rPr>
              <w:t>330.1</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442.2</w:t>
            </w:r>
          </w:p>
        </w:tc>
      </w:tr>
      <w:tr>
        <w:trPr>
          <w:trHeight w:val="217"/>
        </w:trPr>
        <w:tc>
          <w:tcPr>
            <w:tcW w:w="27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161.8</w:t>
            </w: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177.4</w:t>
            </w:r>
          </w:p>
        </w:tc>
        <w:tc>
          <w:tcPr>
            <w:tcW w:w="10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425.4</w:t>
            </w:r>
          </w:p>
        </w:tc>
        <w:tc>
          <w:tcPr>
            <w:tcW w:w="13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438.7</w:t>
            </w:r>
          </w:p>
        </w:tc>
      </w:tr>
      <w:tr>
        <w:trPr>
          <w:trHeight w:val="215"/>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859"/>
              <w:spacing w:after="0"/>
              <w:rPr>
                <w:sz w:val="20"/>
                <w:szCs w:val="20"/>
                <w:color w:val="auto"/>
              </w:rPr>
            </w:pPr>
            <w:r>
              <w:rPr>
                <w:rFonts w:ascii="Arial" w:cs="Arial" w:eastAsia="Arial" w:hAnsi="Arial"/>
                <w:sz w:val="16"/>
                <w:szCs w:val="16"/>
                <w:color w:val="auto"/>
              </w:rPr>
              <w:t>269.0</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267.6</w:t>
            </w:r>
          </w:p>
        </w:tc>
        <w:tc>
          <w:tcPr>
            <w:tcW w:w="1020" w:type="dxa"/>
            <w:vAlign w:val="bottom"/>
          </w:tcPr>
          <w:p>
            <w:pPr>
              <w:spacing w:after="0"/>
              <w:rPr>
                <w:sz w:val="18"/>
                <w:szCs w:val="18"/>
                <w:color w:val="auto"/>
              </w:rPr>
            </w:pPr>
          </w:p>
        </w:tc>
        <w:tc>
          <w:tcPr>
            <w:tcW w:w="980" w:type="dxa"/>
            <w:vAlign w:val="bottom"/>
            <w:gridSpan w:val="2"/>
          </w:tcPr>
          <w:p>
            <w:pPr>
              <w:jc w:val="right"/>
              <w:ind w:right="339"/>
              <w:spacing w:after="0"/>
              <w:rPr>
                <w:sz w:val="20"/>
                <w:szCs w:val="20"/>
                <w:color w:val="auto"/>
              </w:rPr>
            </w:pPr>
            <w:r>
              <w:rPr>
                <w:rFonts w:ascii="Arial" w:cs="Arial" w:eastAsia="Arial" w:hAnsi="Arial"/>
                <w:sz w:val="16"/>
                <w:szCs w:val="16"/>
                <w:color w:val="auto"/>
              </w:rPr>
              <w:t>894.5</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723.5</w:t>
            </w:r>
          </w:p>
        </w:tc>
      </w:tr>
      <w:tr>
        <w:trPr>
          <w:trHeight w:val="217"/>
        </w:trPr>
        <w:tc>
          <w:tcPr>
            <w:tcW w:w="27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18.1</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right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14.4</w:t>
            </w:r>
          </w:p>
        </w:tc>
        <w:tc>
          <w:tcPr>
            <w:tcW w:w="10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51.3</w:t>
            </w:r>
          </w:p>
        </w:tc>
        <w:tc>
          <w:tcPr>
            <w:tcW w:w="134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47.2</w:t>
            </w:r>
          </w:p>
        </w:tc>
      </w:tr>
      <w:tr>
        <w:trPr>
          <w:trHeight w:val="209"/>
        </w:trPr>
        <w:tc>
          <w:tcPr>
            <w:tcW w:w="2740" w:type="dxa"/>
            <w:vAlign w:val="bottom"/>
            <w:gridSpan w:val="2"/>
          </w:tcPr>
          <w:p>
            <w:pPr>
              <w:ind w:left="200"/>
              <w:spacing w:after="0"/>
              <w:rPr>
                <w:sz w:val="20"/>
                <w:szCs w:val="20"/>
                <w:color w:val="auto"/>
              </w:rPr>
            </w:pPr>
            <w:r>
              <w:rPr>
                <w:rFonts w:ascii="Arial" w:cs="Arial" w:eastAsia="Arial" w:hAnsi="Arial"/>
                <w:sz w:val="16"/>
                <w:szCs w:val="16"/>
                <w:color w:val="auto"/>
              </w:rPr>
              <w:t>Total Purchased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color w:val="auto"/>
              </w:rPr>
              <w:t>516.1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575.6</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1,701.3</w:t>
            </w: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1,651.6</w:t>
            </w:r>
          </w:p>
        </w:tc>
      </w:tr>
      <w:tr>
        <w:trPr>
          <w:trHeight w:val="210"/>
        </w:trPr>
        <w:tc>
          <w:tcPr>
            <w:tcW w:w="2740" w:type="dxa"/>
            <w:vAlign w:val="bottom"/>
            <w:gridSpan w:val="2"/>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Total Generated and Purchased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color w:val="auto"/>
              </w:rPr>
              <w:t>2,018.0</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1,959.3</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5,672.6</w:t>
            </w: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5,664.8</w:t>
            </w:r>
          </w:p>
        </w:tc>
      </w:tr>
      <w:tr>
        <w:trPr>
          <w:trHeight w:val="20"/>
        </w:trPr>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85"/>
        </w:trPr>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4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Three Months Ended September 30,</w:t>
            </w:r>
          </w:p>
        </w:tc>
        <w:tc>
          <w:tcPr>
            <w:tcW w:w="4040" w:type="dxa"/>
            <w:vAlign w:val="bottom"/>
            <w:gridSpan w:val="6"/>
          </w:tcPr>
          <w:p>
            <w:pPr>
              <w:jc w:val="right"/>
              <w:ind w:right="699"/>
              <w:spacing w:after="0"/>
              <w:rPr>
                <w:sz w:val="20"/>
                <w:szCs w:val="20"/>
                <w:color w:val="auto"/>
              </w:rPr>
            </w:pPr>
            <w:r>
              <w:rPr>
                <w:rFonts w:ascii="Arial" w:cs="Arial" w:eastAsia="Arial" w:hAnsi="Arial"/>
                <w:sz w:val="16"/>
                <w:szCs w:val="16"/>
                <w:b w:val="1"/>
                <w:bCs w:val="1"/>
                <w:color w:val="auto"/>
              </w:rPr>
              <w:t>Nine Months Ended September 30,</w:t>
            </w:r>
          </w:p>
        </w:tc>
      </w:tr>
      <w:tr>
        <w:trPr>
          <w:trHeight w:val="217"/>
        </w:trPr>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2024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2023</w:t>
            </w:r>
          </w:p>
        </w:tc>
      </w:tr>
      <w:tr>
        <w:trPr>
          <w:trHeight w:val="182"/>
        </w:trPr>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rPr>
              <w:t>Variance from</w:t>
            </w:r>
          </w:p>
        </w:tc>
        <w:tc>
          <w:tcPr>
            <w:tcW w:w="700" w:type="dxa"/>
            <w:vAlign w:val="bottom"/>
          </w:tcPr>
          <w:p>
            <w:pPr>
              <w:spacing w:after="0"/>
              <w:rPr>
                <w:sz w:val="15"/>
                <w:szCs w:val="15"/>
                <w:color w:val="auto"/>
              </w:rPr>
            </w:pPr>
          </w:p>
        </w:tc>
        <w:tc>
          <w:tcPr>
            <w:tcW w:w="2000" w:type="dxa"/>
            <w:vAlign w:val="bottom"/>
            <w:gridSpan w:val="3"/>
          </w:tcPr>
          <w:p>
            <w:pPr>
              <w:jc w:val="center"/>
              <w:ind w:right="759"/>
              <w:spacing w:after="0" w:line="182" w:lineRule="exact"/>
              <w:rPr>
                <w:sz w:val="20"/>
                <w:szCs w:val="20"/>
                <w:color w:val="auto"/>
              </w:rPr>
            </w:pPr>
            <w:r>
              <w:rPr>
                <w:rFonts w:ascii="Arial" w:cs="Arial" w:eastAsia="Arial" w:hAnsi="Arial"/>
                <w:sz w:val="16"/>
                <w:szCs w:val="16"/>
                <w:b w:val="1"/>
                <w:bCs w:val="1"/>
                <w:color w:val="auto"/>
              </w:rPr>
              <w:t>Variance from</w:t>
            </w:r>
          </w:p>
        </w:tc>
        <w:tc>
          <w:tcPr>
            <w:tcW w:w="120" w:type="dxa"/>
            <w:vAlign w:val="bottom"/>
          </w:tcPr>
          <w:p>
            <w:pPr>
              <w:spacing w:after="0"/>
              <w:rPr>
                <w:sz w:val="15"/>
                <w:szCs w:val="15"/>
                <w:color w:val="auto"/>
              </w:rPr>
            </w:pPr>
          </w:p>
        </w:tc>
        <w:tc>
          <w:tcPr>
            <w:tcW w:w="1220" w:type="dxa"/>
            <w:vAlign w:val="bottom"/>
          </w:tcPr>
          <w:p>
            <w:pPr>
              <w:jc w:val="right"/>
              <w:ind w:right="19"/>
              <w:spacing w:after="0" w:line="182" w:lineRule="exact"/>
              <w:rPr>
                <w:sz w:val="20"/>
                <w:szCs w:val="20"/>
                <w:color w:val="auto"/>
              </w:rPr>
            </w:pPr>
            <w:r>
              <w:rPr>
                <w:rFonts w:ascii="Arial" w:cs="Arial" w:eastAsia="Arial" w:hAnsi="Arial"/>
                <w:sz w:val="16"/>
                <w:szCs w:val="16"/>
                <w:b w:val="1"/>
                <w:bCs w:val="1"/>
                <w:color w:val="auto"/>
              </w:rPr>
              <w:t>Variance from</w:t>
            </w:r>
          </w:p>
        </w:tc>
      </w:tr>
      <w:tr>
        <w:trPr>
          <w:trHeight w:val="217"/>
        </w:trPr>
        <w:tc>
          <w:tcPr>
            <w:tcW w:w="274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b w:val="1"/>
                <w:bCs w:val="1"/>
                <w:color w:val="auto"/>
              </w:rPr>
              <w:t>Degree Days</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Actual</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Normal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Normal</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Actual</w:t>
            </w:r>
          </w:p>
        </w:tc>
        <w:tc>
          <w:tcPr>
            <w:tcW w:w="10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Normal</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Normal</w:t>
            </w:r>
          </w:p>
        </w:tc>
      </w:tr>
      <w:tr>
        <w:trPr>
          <w:trHeight w:val="209"/>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Heating Degree Days:</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5"/>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720" w:type="dxa"/>
            <w:vAlign w:val="bottom"/>
          </w:tcPr>
          <w:p>
            <w:pPr>
              <w:jc w:val="center"/>
              <w:ind w:left="99"/>
              <w:spacing w:after="0"/>
              <w:rPr>
                <w:sz w:val="20"/>
                <w:szCs w:val="20"/>
                <w:color w:val="auto"/>
              </w:rPr>
            </w:pPr>
            <w:r>
              <w:rPr>
                <w:rFonts w:ascii="Arial" w:cs="Arial" w:eastAsia="Arial" w:hAnsi="Arial"/>
                <w:sz w:val="16"/>
                <w:szCs w:val="16"/>
                <w:color w:val="auto"/>
              </w:rPr>
              <w:t>19</w:t>
            </w:r>
          </w:p>
        </w:tc>
        <w:tc>
          <w:tcPr>
            <w:tcW w:w="1420" w:type="dxa"/>
            <w:vAlign w:val="bottom"/>
            <w:gridSpan w:val="3"/>
          </w:tcPr>
          <w:p>
            <w:pPr>
              <w:jc w:val="center"/>
              <w:ind w:left="99"/>
              <w:spacing w:after="0"/>
              <w:rPr>
                <w:sz w:val="20"/>
                <w:szCs w:val="20"/>
                <w:color w:val="auto"/>
              </w:rPr>
            </w:pPr>
            <w:r>
              <w:rPr>
                <w:rFonts w:ascii="Arial" w:cs="Arial" w:eastAsia="Arial" w:hAnsi="Arial"/>
                <w:sz w:val="16"/>
                <w:szCs w:val="16"/>
                <w:color w:val="auto"/>
              </w:rPr>
              <w:t>(57)%</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rPr>
              <w:t>26</w:t>
            </w:r>
          </w:p>
        </w:tc>
        <w:tc>
          <w:tcPr>
            <w:tcW w:w="138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(42)%</w:t>
            </w:r>
          </w:p>
        </w:tc>
        <w:tc>
          <w:tcPr>
            <w:tcW w:w="20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Arial" w:cs="Arial" w:eastAsia="Arial" w:hAnsi="Arial"/>
                <w:sz w:val="16"/>
                <w:szCs w:val="16"/>
                <w:color w:val="auto"/>
                <w:w w:val="99"/>
              </w:rPr>
              <w:t>3,050</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(8)%</w:t>
            </w:r>
          </w:p>
        </w:tc>
        <w:tc>
          <w:tcPr>
            <w:tcW w:w="980" w:type="dxa"/>
            <w:vAlign w:val="bottom"/>
            <w:gridSpan w:val="2"/>
          </w:tcPr>
          <w:p>
            <w:pPr>
              <w:jc w:val="center"/>
              <w:ind w:left="219"/>
              <w:spacing w:after="0"/>
              <w:rPr>
                <w:sz w:val="20"/>
                <w:szCs w:val="20"/>
                <w:color w:val="auto"/>
              </w:rPr>
            </w:pPr>
            <w:r>
              <w:rPr>
                <w:rFonts w:ascii="Arial" w:cs="Arial" w:eastAsia="Arial" w:hAnsi="Arial"/>
                <w:sz w:val="16"/>
                <w:szCs w:val="16"/>
                <w:color w:val="auto"/>
                <w:w w:val="99"/>
              </w:rPr>
              <w:t>3,365</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rPr>
              <w:t>5%</w:t>
            </w:r>
          </w:p>
        </w:tc>
      </w:tr>
      <w:tr>
        <w:trPr>
          <w:trHeight w:val="217"/>
        </w:trPr>
        <w:tc>
          <w:tcPr>
            <w:tcW w:w="27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720" w:type="dxa"/>
            <w:vAlign w:val="bottom"/>
            <w:shd w:val="clear" w:color="auto" w:fill="CCF0FC"/>
          </w:tcPr>
          <w:p>
            <w:pPr>
              <w:jc w:val="center"/>
              <w:ind w:left="99"/>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CF0FC"/>
          </w:tcPr>
          <w:p>
            <w:pPr>
              <w:spacing w:after="0"/>
              <w:rPr>
                <w:sz w:val="18"/>
                <w:szCs w:val="18"/>
                <w:color w:val="auto"/>
              </w:rPr>
            </w:pP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(71)%</w:t>
            </w:r>
          </w:p>
        </w:tc>
        <w:tc>
          <w:tcPr>
            <w:tcW w:w="740" w:type="dxa"/>
            <w:vAlign w:val="bottom"/>
            <w:shd w:val="clear" w:color="auto" w:fill="CCF0FC"/>
          </w:tcPr>
          <w:p>
            <w:pPr>
              <w:jc w:val="center"/>
              <w:ind w:left="79"/>
              <w:spacing w:after="0"/>
              <w:rPr>
                <w:sz w:val="20"/>
                <w:szCs w:val="20"/>
                <w:color w:val="auto"/>
              </w:rPr>
            </w:pPr>
            <w:r>
              <w:rPr>
                <w:rFonts w:ascii="Arial" w:cs="Arial" w:eastAsia="Arial" w:hAnsi="Arial"/>
                <w:sz w:val="16"/>
                <w:szCs w:val="16"/>
                <w:color w:val="auto"/>
                <w:w w:val="97"/>
              </w:rPr>
              <w:t>140</w:t>
            </w:r>
          </w:p>
        </w:tc>
        <w:tc>
          <w:tcPr>
            <w:tcW w:w="160" w:type="dxa"/>
            <w:vAlign w:val="bottom"/>
            <w:shd w:val="clear" w:color="auto" w:fill="CCF0FC"/>
          </w:tcPr>
          <w:p>
            <w:pPr>
              <w:spacing w:after="0"/>
              <w:rPr>
                <w:sz w:val="18"/>
                <w:szCs w:val="18"/>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(15)%</w:t>
            </w:r>
          </w:p>
        </w:tc>
        <w:tc>
          <w:tcPr>
            <w:tcW w:w="200" w:type="dxa"/>
            <w:vAlign w:val="bottom"/>
            <w:shd w:val="clear" w:color="auto" w:fill="CCF0FC"/>
          </w:tcPr>
          <w:p>
            <w:pPr>
              <w:spacing w:after="0"/>
              <w:rPr>
                <w:sz w:val="18"/>
                <w:szCs w:val="18"/>
                <w:color w:val="auto"/>
              </w:rPr>
            </w:pPr>
          </w:p>
        </w:tc>
        <w:tc>
          <w:tcPr>
            <w:tcW w:w="700" w:type="dxa"/>
            <w:vAlign w:val="bottom"/>
            <w:tcBorders>
              <w:right w:val="single" w:sz="8" w:color="CCF0FC"/>
            </w:tcBorders>
            <w:shd w:val="clear" w:color="auto" w:fill="CCF0FC"/>
          </w:tcPr>
          <w:p>
            <w:pPr>
              <w:jc w:val="center"/>
              <w:ind w:right="139"/>
              <w:spacing w:after="0"/>
              <w:rPr>
                <w:sz w:val="20"/>
                <w:szCs w:val="20"/>
                <w:color w:val="auto"/>
              </w:rPr>
            </w:pPr>
            <w:r>
              <w:rPr>
                <w:rFonts w:ascii="Arial" w:cs="Arial" w:eastAsia="Arial" w:hAnsi="Arial"/>
                <w:sz w:val="16"/>
                <w:szCs w:val="16"/>
                <w:color w:val="auto"/>
                <w:w w:val="99"/>
              </w:rPr>
              <w:t>4,080</w:t>
            </w:r>
          </w:p>
        </w:tc>
        <w:tc>
          <w:tcPr>
            <w:tcW w:w="102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8"/>
              </w:rPr>
              <w:t>(12)%</w:t>
            </w:r>
          </w:p>
        </w:tc>
        <w:tc>
          <w:tcPr>
            <w:tcW w:w="200" w:type="dxa"/>
            <w:vAlign w:val="bottom"/>
            <w:shd w:val="clear" w:color="auto" w:fill="CFF0FC"/>
          </w:tcPr>
          <w:p>
            <w:pPr>
              <w:spacing w:after="0"/>
              <w:rPr>
                <w:sz w:val="18"/>
                <w:szCs w:val="18"/>
                <w:color w:val="auto"/>
              </w:rPr>
            </w:pPr>
          </w:p>
        </w:tc>
        <w:tc>
          <w:tcPr>
            <w:tcW w:w="780" w:type="dxa"/>
            <w:vAlign w:val="bottom"/>
            <w:shd w:val="clear" w:color="auto" w:fill="CCF0FC"/>
          </w:tcPr>
          <w:p>
            <w:pPr>
              <w:jc w:val="center"/>
              <w:ind w:left="19"/>
              <w:spacing w:after="0"/>
              <w:rPr>
                <w:sz w:val="20"/>
                <w:szCs w:val="20"/>
                <w:color w:val="auto"/>
              </w:rPr>
            </w:pPr>
            <w:r>
              <w:rPr>
                <w:rFonts w:ascii="Arial" w:cs="Arial" w:eastAsia="Arial" w:hAnsi="Arial"/>
                <w:sz w:val="16"/>
                <w:szCs w:val="16"/>
                <w:color w:val="auto"/>
                <w:w w:val="99"/>
              </w:rPr>
              <w:t>4,621</w:t>
            </w:r>
          </w:p>
        </w:tc>
        <w:tc>
          <w:tcPr>
            <w:tcW w:w="120" w:type="dxa"/>
            <w:vAlign w:val="bottom"/>
            <w:shd w:val="clear" w:color="auto" w:fill="CCF0FC"/>
          </w:tcPr>
          <w:p>
            <w:pPr>
              <w:spacing w:after="0"/>
              <w:rPr>
                <w:sz w:val="18"/>
                <w:szCs w:val="18"/>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w:t>
            </w:r>
          </w:p>
        </w:tc>
      </w:tr>
      <w:tr>
        <w:trPr>
          <w:trHeight w:val="215"/>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720" w:type="dxa"/>
            <w:vAlign w:val="bottom"/>
          </w:tcPr>
          <w:p>
            <w:pPr>
              <w:jc w:val="center"/>
              <w:ind w:left="99"/>
              <w:spacing w:after="0"/>
              <w:rPr>
                <w:sz w:val="20"/>
                <w:szCs w:val="20"/>
                <w:color w:val="auto"/>
              </w:rPr>
            </w:pPr>
            <w:r>
              <w:rPr>
                <w:rFonts w:ascii="Arial" w:cs="Arial" w:eastAsia="Arial" w:hAnsi="Arial"/>
                <w:sz w:val="16"/>
                <w:szCs w:val="16"/>
                <w:color w:val="auto"/>
                <w:w w:val="97"/>
              </w:rPr>
              <w:t>109</w:t>
            </w: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rPr>
              <w:t>(35)%</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w w:val="97"/>
              </w:rPr>
              <w:t>152</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20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Arial" w:cs="Arial" w:eastAsia="Arial" w:hAnsi="Arial"/>
                <w:sz w:val="16"/>
                <w:szCs w:val="16"/>
                <w:color w:val="auto"/>
                <w:w w:val="99"/>
              </w:rPr>
              <w:t>4,135</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780" w:type="dxa"/>
            <w:vAlign w:val="bottom"/>
          </w:tcPr>
          <w:p>
            <w:pPr>
              <w:jc w:val="center"/>
              <w:ind w:left="19"/>
              <w:spacing w:after="0"/>
              <w:rPr>
                <w:sz w:val="20"/>
                <w:szCs w:val="20"/>
                <w:color w:val="auto"/>
              </w:rPr>
            </w:pPr>
            <w:r>
              <w:rPr>
                <w:rFonts w:ascii="Arial" w:cs="Arial" w:eastAsia="Arial" w:hAnsi="Arial"/>
                <w:sz w:val="16"/>
                <w:szCs w:val="16"/>
                <w:color w:val="auto"/>
                <w:w w:val="99"/>
              </w:rPr>
              <w:t>4,534</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17"/>
        </w:trPr>
        <w:tc>
          <w:tcPr>
            <w:tcW w:w="2740" w:type="dxa"/>
            <w:vAlign w:val="bottom"/>
            <w:gridSpan w:val="2"/>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720" w:type="dxa"/>
            <w:vAlign w:val="bottom"/>
            <w:shd w:val="clear" w:color="auto" w:fill="CCF0FC"/>
          </w:tcPr>
          <w:p>
            <w:pPr>
              <w:jc w:val="center"/>
              <w:ind w:left="99"/>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F0FC"/>
          </w:tcPr>
          <w:p>
            <w:pPr>
              <w:spacing w:after="0"/>
              <w:rPr>
                <w:sz w:val="18"/>
                <w:szCs w:val="18"/>
                <w:color w:val="auto"/>
              </w:rPr>
            </w:pP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(58)%</w:t>
            </w:r>
          </w:p>
        </w:tc>
        <w:tc>
          <w:tcPr>
            <w:tcW w:w="740" w:type="dxa"/>
            <w:vAlign w:val="bottom"/>
            <w:shd w:val="clear" w:color="auto" w:fill="CCF0FC"/>
          </w:tcPr>
          <w:p>
            <w:pPr>
              <w:jc w:val="center"/>
              <w:ind w:left="79"/>
              <w:spacing w:after="0"/>
              <w:rPr>
                <w:sz w:val="20"/>
                <w:szCs w:val="20"/>
                <w:color w:val="auto"/>
              </w:rPr>
            </w:pPr>
            <w:r>
              <w:rPr>
                <w:rFonts w:ascii="Arial" w:cs="Arial" w:eastAsia="Arial" w:hAnsi="Arial"/>
                <w:sz w:val="16"/>
                <w:szCs w:val="16"/>
                <w:color w:val="auto"/>
              </w:rPr>
              <w:t>91</w:t>
            </w:r>
          </w:p>
        </w:tc>
        <w:tc>
          <w:tcPr>
            <w:tcW w:w="160" w:type="dxa"/>
            <w:vAlign w:val="bottom"/>
            <w:shd w:val="clear" w:color="auto" w:fill="CCF0FC"/>
          </w:tcPr>
          <w:p>
            <w:pPr>
              <w:spacing w:after="0"/>
              <w:rPr>
                <w:sz w:val="18"/>
                <w:szCs w:val="18"/>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(19)%</w:t>
            </w:r>
          </w:p>
        </w:tc>
        <w:tc>
          <w:tcPr>
            <w:tcW w:w="200" w:type="dxa"/>
            <w:vAlign w:val="bottom"/>
            <w:shd w:val="clear" w:color="auto" w:fill="CCF0FC"/>
          </w:tcPr>
          <w:p>
            <w:pPr>
              <w:spacing w:after="0"/>
              <w:rPr>
                <w:sz w:val="18"/>
                <w:szCs w:val="18"/>
                <w:color w:val="auto"/>
              </w:rPr>
            </w:pPr>
          </w:p>
        </w:tc>
        <w:tc>
          <w:tcPr>
            <w:tcW w:w="700" w:type="dxa"/>
            <w:vAlign w:val="bottom"/>
            <w:tcBorders>
              <w:right w:val="single" w:sz="8" w:color="CCF0FC"/>
            </w:tcBorders>
            <w:shd w:val="clear" w:color="auto" w:fill="CCF0FC"/>
          </w:tcPr>
          <w:p>
            <w:pPr>
              <w:jc w:val="center"/>
              <w:ind w:right="139"/>
              <w:spacing w:after="0"/>
              <w:rPr>
                <w:sz w:val="20"/>
                <w:szCs w:val="20"/>
                <w:color w:val="auto"/>
              </w:rPr>
            </w:pPr>
            <w:r>
              <w:rPr>
                <w:rFonts w:ascii="Arial" w:cs="Arial" w:eastAsia="Arial" w:hAnsi="Arial"/>
                <w:sz w:val="16"/>
                <w:szCs w:val="16"/>
                <w:color w:val="auto"/>
                <w:w w:val="99"/>
              </w:rPr>
              <w:t>3,624</w:t>
            </w:r>
          </w:p>
        </w:tc>
        <w:tc>
          <w:tcPr>
            <w:tcW w:w="102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8"/>
              </w:rPr>
              <w:t>(10)%</w:t>
            </w:r>
          </w:p>
        </w:tc>
        <w:tc>
          <w:tcPr>
            <w:tcW w:w="200" w:type="dxa"/>
            <w:vAlign w:val="bottom"/>
            <w:shd w:val="clear" w:color="auto" w:fill="CFF0FC"/>
          </w:tcPr>
          <w:p>
            <w:pPr>
              <w:spacing w:after="0"/>
              <w:rPr>
                <w:sz w:val="18"/>
                <w:szCs w:val="18"/>
                <w:color w:val="auto"/>
              </w:rPr>
            </w:pPr>
          </w:p>
        </w:tc>
        <w:tc>
          <w:tcPr>
            <w:tcW w:w="780" w:type="dxa"/>
            <w:vAlign w:val="bottom"/>
            <w:shd w:val="clear" w:color="auto" w:fill="CCF0FC"/>
          </w:tcPr>
          <w:p>
            <w:pPr>
              <w:jc w:val="center"/>
              <w:ind w:left="19"/>
              <w:spacing w:after="0"/>
              <w:rPr>
                <w:sz w:val="20"/>
                <w:szCs w:val="20"/>
                <w:color w:val="auto"/>
              </w:rPr>
            </w:pPr>
            <w:r>
              <w:rPr>
                <w:rFonts w:ascii="Arial" w:cs="Arial" w:eastAsia="Arial" w:hAnsi="Arial"/>
                <w:sz w:val="16"/>
                <w:szCs w:val="16"/>
                <w:color w:val="auto"/>
                <w:w w:val="99"/>
              </w:rPr>
              <w:t>4,031</w:t>
            </w:r>
          </w:p>
        </w:tc>
        <w:tc>
          <w:tcPr>
            <w:tcW w:w="120" w:type="dxa"/>
            <w:vAlign w:val="bottom"/>
            <w:shd w:val="clear" w:color="auto" w:fill="CCF0FC"/>
          </w:tcPr>
          <w:p>
            <w:pPr>
              <w:spacing w:after="0"/>
              <w:rPr>
                <w:sz w:val="18"/>
                <w:szCs w:val="18"/>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w:t>
            </w:r>
          </w:p>
        </w:tc>
      </w:tr>
      <w:tr>
        <w:trPr>
          <w:trHeight w:val="216"/>
        </w:trPr>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Cooling Degree Days:</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5"/>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720" w:type="dxa"/>
            <w:vAlign w:val="bottom"/>
          </w:tcPr>
          <w:p>
            <w:pPr>
              <w:jc w:val="center"/>
              <w:ind w:left="99"/>
              <w:spacing w:after="0"/>
              <w:rPr>
                <w:sz w:val="20"/>
                <w:szCs w:val="20"/>
                <w:color w:val="auto"/>
              </w:rPr>
            </w:pPr>
            <w:r>
              <w:rPr>
                <w:rFonts w:ascii="Arial" w:cs="Arial" w:eastAsia="Arial" w:hAnsi="Arial"/>
                <w:sz w:val="16"/>
                <w:szCs w:val="16"/>
                <w:color w:val="auto"/>
                <w:w w:val="97"/>
              </w:rPr>
              <w:t>904</w:t>
            </w:r>
          </w:p>
        </w:tc>
        <w:tc>
          <w:tcPr>
            <w:tcW w:w="920" w:type="dxa"/>
            <w:vAlign w:val="bottom"/>
            <w:gridSpan w:val="2"/>
          </w:tcPr>
          <w:p>
            <w:pPr>
              <w:jc w:val="center"/>
              <w:ind w:left="599"/>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8"/>
                <w:szCs w:val="18"/>
                <w:color w:val="auto"/>
              </w:rPr>
            </w:pPr>
          </w:p>
        </w:tc>
        <w:tc>
          <w:tcPr>
            <w:tcW w:w="740" w:type="dxa"/>
            <w:vAlign w:val="bottom"/>
          </w:tcPr>
          <w:p>
            <w:pPr>
              <w:jc w:val="center"/>
              <w:ind w:left="79"/>
              <w:spacing w:after="0"/>
              <w:rPr>
                <w:sz w:val="20"/>
                <w:szCs w:val="20"/>
                <w:color w:val="auto"/>
              </w:rPr>
            </w:pPr>
            <w:r>
              <w:rPr>
                <w:rFonts w:ascii="Arial" w:cs="Arial" w:eastAsia="Arial" w:hAnsi="Arial"/>
                <w:sz w:val="16"/>
                <w:szCs w:val="16"/>
                <w:color w:val="auto"/>
                <w:w w:val="97"/>
              </w:rPr>
              <w:t>909</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Arial" w:cs="Arial" w:eastAsia="Arial" w:hAnsi="Arial"/>
                <w:sz w:val="16"/>
                <w:szCs w:val="16"/>
                <w:color w:val="auto"/>
                <w:w w:val="99"/>
              </w:rPr>
              <w:t>1,247</w:t>
            </w:r>
          </w:p>
        </w:tc>
        <w:tc>
          <w:tcPr>
            <w:tcW w:w="1020" w:type="dxa"/>
            <w:vAlign w:val="bottom"/>
          </w:tcPr>
          <w:p>
            <w:pPr>
              <w:jc w:val="center"/>
              <w:ind w:left="99"/>
              <w:spacing w:after="0"/>
              <w:rPr>
                <w:sz w:val="20"/>
                <w:szCs w:val="20"/>
                <w:color w:val="auto"/>
              </w:rPr>
            </w:pPr>
            <w:r>
              <w:rPr>
                <w:rFonts w:ascii="Arial" w:cs="Arial" w:eastAsia="Arial" w:hAnsi="Arial"/>
                <w:sz w:val="16"/>
                <w:szCs w:val="16"/>
                <w:color w:val="auto"/>
                <w:w w:val="99"/>
              </w:rPr>
              <w:t>10%</w:t>
            </w:r>
          </w:p>
        </w:tc>
        <w:tc>
          <w:tcPr>
            <w:tcW w:w="980" w:type="dxa"/>
            <w:vAlign w:val="bottom"/>
            <w:gridSpan w:val="2"/>
          </w:tcPr>
          <w:p>
            <w:pPr>
              <w:jc w:val="center"/>
              <w:ind w:left="219"/>
              <w:spacing w:after="0"/>
              <w:rPr>
                <w:sz w:val="20"/>
                <w:szCs w:val="20"/>
                <w:color w:val="auto"/>
              </w:rPr>
            </w:pPr>
            <w:r>
              <w:rPr>
                <w:rFonts w:ascii="Arial" w:cs="Arial" w:eastAsia="Arial" w:hAnsi="Arial"/>
                <w:sz w:val="16"/>
                <w:szCs w:val="16"/>
                <w:color w:val="auto"/>
                <w:w w:val="99"/>
              </w:rPr>
              <w:t>1,040</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r>
      <w:tr>
        <w:trPr>
          <w:trHeight w:val="217"/>
        </w:trPr>
        <w:tc>
          <w:tcPr>
            <w:tcW w:w="27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72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7"/>
              </w:rPr>
              <w:t>789</w:t>
            </w:r>
          </w:p>
        </w:tc>
        <w:tc>
          <w:tcPr>
            <w:tcW w:w="1420" w:type="dxa"/>
            <w:vAlign w:val="bottom"/>
            <w:gridSpan w:val="3"/>
            <w:shd w:val="clear" w:color="auto" w:fill="CFF0FC"/>
          </w:tcPr>
          <w:p>
            <w:pPr>
              <w:jc w:val="center"/>
              <w:ind w:left="99"/>
              <w:spacing w:after="0"/>
              <w:rPr>
                <w:sz w:val="20"/>
                <w:szCs w:val="20"/>
                <w:color w:val="auto"/>
              </w:rPr>
            </w:pPr>
            <w:r>
              <w:rPr>
                <w:rFonts w:ascii="Arial" w:cs="Arial" w:eastAsia="Arial" w:hAnsi="Arial"/>
                <w:sz w:val="16"/>
                <w:szCs w:val="16"/>
                <w:color w:val="auto"/>
                <w:w w:val="99"/>
              </w:rPr>
              <w:t>57%</w:t>
            </w:r>
          </w:p>
        </w:tc>
        <w:tc>
          <w:tcPr>
            <w:tcW w:w="74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7"/>
              </w:rPr>
              <w:t>460</w:t>
            </w:r>
          </w:p>
        </w:tc>
        <w:tc>
          <w:tcPr>
            <w:tcW w:w="138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w w:val="98"/>
              </w:rPr>
              <w:t>(11)%</w:t>
            </w: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center"/>
              <w:ind w:right="119"/>
              <w:spacing w:after="0"/>
              <w:rPr>
                <w:sz w:val="20"/>
                <w:szCs w:val="20"/>
                <w:color w:val="auto"/>
              </w:rPr>
            </w:pPr>
            <w:r>
              <w:rPr>
                <w:rFonts w:ascii="Arial" w:cs="Arial" w:eastAsia="Arial" w:hAnsi="Arial"/>
                <w:sz w:val="16"/>
                <w:szCs w:val="16"/>
                <w:color w:val="auto"/>
                <w:w w:val="97"/>
              </w:rPr>
              <w:t>903</w:t>
            </w:r>
          </w:p>
        </w:tc>
        <w:tc>
          <w:tcPr>
            <w:tcW w:w="102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9"/>
              </w:rPr>
              <w:t>48%</w:t>
            </w:r>
          </w:p>
        </w:tc>
        <w:tc>
          <w:tcPr>
            <w:tcW w:w="98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7"/>
              </w:rPr>
              <w:t>496</w:t>
            </w:r>
          </w:p>
        </w:tc>
        <w:tc>
          <w:tcPr>
            <w:tcW w:w="134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(21)%</w:t>
            </w:r>
          </w:p>
        </w:tc>
      </w:tr>
      <w:tr>
        <w:trPr>
          <w:trHeight w:val="215"/>
        </w:trPr>
        <w:tc>
          <w:tcPr>
            <w:tcW w:w="27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720" w:type="dxa"/>
            <w:vAlign w:val="bottom"/>
          </w:tcPr>
          <w:p>
            <w:pPr>
              <w:jc w:val="center"/>
              <w:ind w:left="99"/>
              <w:spacing w:after="0"/>
              <w:rPr>
                <w:sz w:val="20"/>
                <w:szCs w:val="20"/>
                <w:color w:val="auto"/>
              </w:rPr>
            </w:pPr>
            <w:r>
              <w:rPr>
                <w:rFonts w:ascii="Arial" w:cs="Arial" w:eastAsia="Arial" w:hAnsi="Arial"/>
                <w:sz w:val="16"/>
                <w:szCs w:val="16"/>
                <w:color w:val="auto"/>
                <w:w w:val="97"/>
              </w:rPr>
              <w:t>368</w:t>
            </w:r>
          </w:p>
        </w:tc>
        <w:tc>
          <w:tcPr>
            <w:tcW w:w="1420" w:type="dxa"/>
            <w:vAlign w:val="bottom"/>
            <w:gridSpan w:val="3"/>
          </w:tcPr>
          <w:p>
            <w:pPr>
              <w:jc w:val="center"/>
              <w:ind w:left="99"/>
              <w:spacing w:after="0"/>
              <w:rPr>
                <w:sz w:val="20"/>
                <w:szCs w:val="20"/>
                <w:color w:val="auto"/>
              </w:rPr>
            </w:pPr>
            <w:r>
              <w:rPr>
                <w:rFonts w:ascii="Arial" w:cs="Arial" w:eastAsia="Arial" w:hAnsi="Arial"/>
                <w:sz w:val="16"/>
                <w:szCs w:val="16"/>
                <w:color w:val="auto"/>
              </w:rPr>
              <w:t>(6)%</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w w:val="97"/>
              </w:rPr>
              <w:t>315</w:t>
            </w:r>
          </w:p>
        </w:tc>
        <w:tc>
          <w:tcPr>
            <w:tcW w:w="138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(20)%</w:t>
            </w:r>
          </w:p>
        </w:tc>
        <w:tc>
          <w:tcPr>
            <w:tcW w:w="200" w:type="dxa"/>
            <w:vAlign w:val="bottom"/>
          </w:tcPr>
          <w:p>
            <w:pPr>
              <w:spacing w:after="0"/>
              <w:rPr>
                <w:sz w:val="18"/>
                <w:szCs w:val="18"/>
                <w:color w:val="auto"/>
              </w:rPr>
            </w:pPr>
          </w:p>
        </w:tc>
        <w:tc>
          <w:tcPr>
            <w:tcW w:w="700" w:type="dxa"/>
            <w:vAlign w:val="bottom"/>
          </w:tcPr>
          <w:p>
            <w:pPr>
              <w:jc w:val="center"/>
              <w:ind w:right="119"/>
              <w:spacing w:after="0"/>
              <w:rPr>
                <w:sz w:val="20"/>
                <w:szCs w:val="20"/>
                <w:color w:val="auto"/>
              </w:rPr>
            </w:pPr>
            <w:r>
              <w:rPr>
                <w:rFonts w:ascii="Arial" w:cs="Arial" w:eastAsia="Arial" w:hAnsi="Arial"/>
                <w:sz w:val="16"/>
                <w:szCs w:val="16"/>
                <w:color w:val="auto"/>
                <w:w w:val="97"/>
              </w:rPr>
              <w:t>486</w:t>
            </w:r>
          </w:p>
        </w:tc>
        <w:tc>
          <w:tcPr>
            <w:tcW w:w="1020" w:type="dxa"/>
            <w:vAlign w:val="bottom"/>
          </w:tcPr>
          <w:p>
            <w:pPr>
              <w:jc w:val="center"/>
              <w:ind w:left="99"/>
              <w:spacing w:after="0"/>
              <w:rPr>
                <w:sz w:val="20"/>
                <w:szCs w:val="20"/>
                <w:color w:val="auto"/>
              </w:rPr>
            </w:pPr>
            <w:r>
              <w:rPr>
                <w:rFonts w:ascii="Arial" w:cs="Arial" w:eastAsia="Arial" w:hAnsi="Arial"/>
                <w:sz w:val="16"/>
                <w:szCs w:val="16"/>
                <w:color w:val="auto"/>
              </w:rPr>
              <w:t>6%</w:t>
            </w:r>
          </w:p>
        </w:tc>
        <w:tc>
          <w:tcPr>
            <w:tcW w:w="980" w:type="dxa"/>
            <w:vAlign w:val="bottom"/>
            <w:gridSpan w:val="2"/>
          </w:tcPr>
          <w:p>
            <w:pPr>
              <w:jc w:val="center"/>
              <w:ind w:left="239"/>
              <w:spacing w:after="0"/>
              <w:rPr>
                <w:sz w:val="20"/>
                <w:szCs w:val="20"/>
                <w:color w:val="auto"/>
              </w:rPr>
            </w:pPr>
            <w:r>
              <w:rPr>
                <w:rFonts w:ascii="Arial" w:cs="Arial" w:eastAsia="Arial" w:hAnsi="Arial"/>
                <w:sz w:val="16"/>
                <w:szCs w:val="16"/>
                <w:color w:val="auto"/>
                <w:w w:val="97"/>
              </w:rPr>
              <w:t>329</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rPr>
              <w:t>(30)%</w:t>
            </w:r>
          </w:p>
        </w:tc>
      </w:tr>
      <w:tr>
        <w:trPr>
          <w:trHeight w:val="217"/>
        </w:trPr>
        <w:tc>
          <w:tcPr>
            <w:tcW w:w="2740" w:type="dxa"/>
            <w:vAlign w:val="bottom"/>
            <w:gridSpan w:val="2"/>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72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7"/>
              </w:rPr>
              <w:t>756</w:t>
            </w:r>
          </w:p>
        </w:tc>
        <w:tc>
          <w:tcPr>
            <w:tcW w:w="1420" w:type="dxa"/>
            <w:vAlign w:val="bottom"/>
            <w:gridSpan w:val="3"/>
            <w:shd w:val="clear" w:color="auto" w:fill="CFF0FC"/>
          </w:tcPr>
          <w:p>
            <w:pPr>
              <w:jc w:val="center"/>
              <w:ind w:left="99"/>
              <w:spacing w:after="0"/>
              <w:rPr>
                <w:sz w:val="20"/>
                <w:szCs w:val="20"/>
                <w:color w:val="auto"/>
              </w:rPr>
            </w:pPr>
            <w:r>
              <w:rPr>
                <w:rFonts w:ascii="Arial" w:cs="Arial" w:eastAsia="Arial" w:hAnsi="Arial"/>
                <w:sz w:val="16"/>
                <w:szCs w:val="16"/>
                <w:color w:val="auto"/>
                <w:w w:val="99"/>
              </w:rPr>
              <w:t>17%</w:t>
            </w:r>
          </w:p>
        </w:tc>
        <w:tc>
          <w:tcPr>
            <w:tcW w:w="74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7"/>
              </w:rPr>
              <w:t>635</w:t>
            </w:r>
          </w:p>
        </w:tc>
        <w:tc>
          <w:tcPr>
            <w:tcW w:w="138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center"/>
              <w:ind w:right="119"/>
              <w:spacing w:after="0"/>
              <w:rPr>
                <w:sz w:val="20"/>
                <w:szCs w:val="20"/>
                <w:color w:val="auto"/>
              </w:rPr>
            </w:pPr>
            <w:r>
              <w:rPr>
                <w:rFonts w:ascii="Arial" w:cs="Arial" w:eastAsia="Arial" w:hAnsi="Arial"/>
                <w:sz w:val="16"/>
                <w:szCs w:val="16"/>
                <w:color w:val="auto"/>
                <w:w w:val="97"/>
              </w:rPr>
              <w:t>975</w:t>
            </w:r>
          </w:p>
        </w:tc>
        <w:tc>
          <w:tcPr>
            <w:tcW w:w="102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9"/>
              </w:rPr>
              <w:t>19%</w:t>
            </w:r>
          </w:p>
        </w:tc>
        <w:tc>
          <w:tcPr>
            <w:tcW w:w="98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7"/>
              </w:rPr>
              <w:t>710</w:t>
            </w:r>
          </w:p>
        </w:tc>
        <w:tc>
          <w:tcPr>
            <w:tcW w:w="134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3220" w:type="dxa"/>
            <w:vAlign w:val="bottom"/>
            <w:gridSpan w:val="2"/>
          </w:tcPr>
          <w:p>
            <w:pPr>
              <w:jc w:val="center"/>
              <w:ind w:left="659"/>
              <w:spacing w:after="0"/>
              <w:rPr>
                <w:sz w:val="20"/>
                <w:szCs w:val="20"/>
                <w:color w:val="auto"/>
              </w:rPr>
            </w:pPr>
            <w:r>
              <w:rPr>
                <w:rFonts w:ascii="Arial" w:cs="Arial" w:eastAsia="Arial" w:hAnsi="Arial"/>
                <w:sz w:val="16"/>
                <w:szCs w:val="16"/>
                <w:b w:val="1"/>
                <w:bCs w:val="1"/>
                <w:color w:val="auto"/>
              </w:rPr>
              <w:t>Three Months Ended</w:t>
            </w: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Contracted generating facilities Availability</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by fuel type</w:t>
            </w:r>
          </w:p>
        </w:tc>
        <w:tc>
          <w:tcPr>
            <w:tcW w:w="3220" w:type="dxa"/>
            <w:vAlign w:val="bottom"/>
            <w:gridSpan w:val="2"/>
          </w:tcPr>
          <w:p>
            <w:pPr>
              <w:jc w:val="center"/>
              <w:ind w:left="719"/>
              <w:spacing w:after="0"/>
              <w:rPr>
                <w:sz w:val="20"/>
                <w:szCs w:val="20"/>
                <w:color w:val="auto"/>
              </w:rPr>
            </w:pPr>
            <w:r>
              <w:rPr>
                <w:rFonts w:ascii="Arial" w:cs="Arial" w:eastAsia="Arial" w:hAnsi="Arial"/>
                <w:sz w:val="16"/>
                <w:szCs w:val="16"/>
                <w:b w:val="1"/>
                <w:bCs w:val="1"/>
                <w:color w:val="auto"/>
              </w:rPr>
              <w:t>September 30,</w:t>
            </w: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7"/>
        </w:trPr>
        <w:tc>
          <w:tcPr>
            <w:tcW w:w="560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2000" w:type="dxa"/>
            <w:vAlign w:val="bottom"/>
            <w:shd w:val="clear" w:color="auto" w:fill="CFF0FC"/>
          </w:tcPr>
          <w:p>
            <w:pPr>
              <w:jc w:val="center"/>
              <w:ind w:left="739"/>
              <w:spacing w:after="0"/>
              <w:rPr>
                <w:sz w:val="20"/>
                <w:szCs w:val="20"/>
                <w:color w:val="auto"/>
              </w:rPr>
            </w:pPr>
            <w:r>
              <w:rPr>
                <w:rFonts w:ascii="Arial" w:cs="Arial" w:eastAsia="Arial" w:hAnsi="Arial"/>
                <w:sz w:val="16"/>
                <w:szCs w:val="16"/>
                <w:color w:val="auto"/>
              </w:rPr>
              <w:t>90.7%</w:t>
            </w: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96.3%</w:t>
            </w: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87.3%</w:t>
            </w: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w:t>
            </w:r>
          </w:p>
        </w:tc>
        <w:tc>
          <w:tcPr>
            <w:tcW w:w="2000" w:type="dxa"/>
            <w:vAlign w:val="bottom"/>
          </w:tcPr>
          <w:p>
            <w:pPr>
              <w:jc w:val="center"/>
              <w:ind w:left="739"/>
              <w:spacing w:after="0"/>
              <w:rPr>
                <w:sz w:val="20"/>
                <w:szCs w:val="20"/>
                <w:color w:val="auto"/>
              </w:rPr>
            </w:pPr>
            <w:r>
              <w:rPr>
                <w:rFonts w:ascii="Arial" w:cs="Arial" w:eastAsia="Arial" w:hAnsi="Arial"/>
                <w:sz w:val="16"/>
                <w:szCs w:val="16"/>
                <w:color w:val="auto"/>
              </w:rPr>
              <w:t>98.0%</w:t>
            </w:r>
          </w:p>
        </w:tc>
        <w:tc>
          <w:tcPr>
            <w:tcW w:w="1220" w:type="dxa"/>
            <w:vAlign w:val="bottom"/>
          </w:tcPr>
          <w:p>
            <w:pPr>
              <w:jc w:val="center"/>
              <w:spacing w:after="0"/>
              <w:rPr>
                <w:sz w:val="20"/>
                <w:szCs w:val="20"/>
                <w:color w:val="auto"/>
              </w:rPr>
            </w:pPr>
            <w:r>
              <w:rPr>
                <w:rFonts w:ascii="Arial" w:cs="Arial" w:eastAsia="Arial" w:hAnsi="Arial"/>
                <w:sz w:val="16"/>
                <w:szCs w:val="16"/>
                <w:color w:val="auto"/>
              </w:rPr>
              <w:t>94.2%</w:t>
            </w:r>
          </w:p>
        </w:tc>
        <w:tc>
          <w:tcPr>
            <w:tcW w:w="1220" w:type="dxa"/>
            <w:vAlign w:val="bottom"/>
          </w:tcPr>
          <w:p>
            <w:pPr>
              <w:jc w:val="center"/>
              <w:spacing w:after="0"/>
              <w:rPr>
                <w:sz w:val="20"/>
                <w:szCs w:val="20"/>
                <w:color w:val="auto"/>
              </w:rPr>
            </w:pPr>
            <w:r>
              <w:rPr>
                <w:rFonts w:ascii="Arial" w:cs="Arial" w:eastAsia="Arial" w:hAnsi="Arial"/>
                <w:sz w:val="16"/>
                <w:szCs w:val="16"/>
                <w:color w:val="auto"/>
              </w:rPr>
              <w:t>95.4%</w:t>
            </w:r>
          </w:p>
        </w:tc>
        <w:tc>
          <w:tcPr>
            <w:tcW w:w="1200" w:type="dxa"/>
            <w:vAlign w:val="bottom"/>
          </w:tcPr>
          <w:p>
            <w:pPr>
              <w:jc w:val="center"/>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w:t>
            </w:r>
          </w:p>
        </w:tc>
        <w:tc>
          <w:tcPr>
            <w:tcW w:w="2000" w:type="dxa"/>
            <w:vAlign w:val="bottom"/>
            <w:shd w:val="clear" w:color="auto" w:fill="CFF0FC"/>
          </w:tcPr>
          <w:p>
            <w:pPr>
              <w:jc w:val="center"/>
              <w:ind w:left="739"/>
              <w:spacing w:after="0"/>
              <w:rPr>
                <w:sz w:val="20"/>
                <w:szCs w:val="20"/>
                <w:color w:val="auto"/>
              </w:rPr>
            </w:pPr>
            <w:r>
              <w:rPr>
                <w:rFonts w:ascii="Arial" w:cs="Arial" w:eastAsia="Arial" w:hAnsi="Arial"/>
                <w:sz w:val="16"/>
                <w:szCs w:val="16"/>
                <w:color w:val="auto"/>
              </w:rPr>
              <w:t>92.3%</w:t>
            </w: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93.4%</w:t>
            </w: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91.6%</w:t>
            </w: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000" w:type="dxa"/>
            <w:vAlign w:val="bottom"/>
          </w:tcPr>
          <w:p>
            <w:pPr>
              <w:jc w:val="center"/>
              <w:ind w:left="739"/>
              <w:spacing w:after="0"/>
              <w:rPr>
                <w:sz w:val="20"/>
                <w:szCs w:val="20"/>
                <w:color w:val="auto"/>
              </w:rPr>
            </w:pPr>
            <w:r>
              <w:rPr>
                <w:rFonts w:ascii="Arial" w:cs="Arial" w:eastAsia="Arial" w:hAnsi="Arial"/>
                <w:sz w:val="16"/>
                <w:szCs w:val="16"/>
                <w:color w:val="auto"/>
              </w:rPr>
              <w:t>95.1%</w:t>
            </w:r>
          </w:p>
        </w:tc>
        <w:tc>
          <w:tcPr>
            <w:tcW w:w="1220" w:type="dxa"/>
            <w:vAlign w:val="bottom"/>
          </w:tcPr>
          <w:p>
            <w:pPr>
              <w:jc w:val="center"/>
              <w:spacing w:after="0"/>
              <w:rPr>
                <w:sz w:val="20"/>
                <w:szCs w:val="20"/>
                <w:color w:val="auto"/>
              </w:rPr>
            </w:pPr>
            <w:r>
              <w:rPr>
                <w:rFonts w:ascii="Arial" w:cs="Arial" w:eastAsia="Arial" w:hAnsi="Arial"/>
                <w:sz w:val="16"/>
                <w:szCs w:val="16"/>
                <w:color w:val="auto"/>
              </w:rPr>
              <w:t>94.7%</w:t>
            </w:r>
          </w:p>
        </w:tc>
        <w:tc>
          <w:tcPr>
            <w:tcW w:w="1220" w:type="dxa"/>
            <w:vAlign w:val="bottom"/>
          </w:tcPr>
          <w:p>
            <w:pPr>
              <w:jc w:val="center"/>
              <w:spacing w:after="0"/>
              <w:rPr>
                <w:sz w:val="20"/>
                <w:szCs w:val="20"/>
                <w:color w:val="auto"/>
              </w:rPr>
            </w:pPr>
            <w:r>
              <w:rPr>
                <w:rFonts w:ascii="Arial" w:cs="Arial" w:eastAsia="Arial" w:hAnsi="Arial"/>
                <w:sz w:val="16"/>
                <w:szCs w:val="16"/>
                <w:color w:val="auto"/>
              </w:rPr>
              <w:t>92.5%</w:t>
            </w:r>
          </w:p>
        </w:tc>
        <w:tc>
          <w:tcPr>
            <w:tcW w:w="1200" w:type="dxa"/>
            <w:vAlign w:val="bottom"/>
          </w:tcPr>
          <w:p>
            <w:pPr>
              <w:jc w:val="center"/>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7"/>
        </w:trPr>
        <w:tc>
          <w:tcPr>
            <w:tcW w:w="56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600" w:type="dxa"/>
            <w:vAlign w:val="bottom"/>
          </w:tcPr>
          <w:p>
            <w:pPr>
              <w:ind w:left="20"/>
              <w:spacing w:after="0"/>
              <w:rPr>
                <w:sz w:val="20"/>
                <w:szCs w:val="20"/>
                <w:color w:val="auto"/>
              </w:rPr>
            </w:pPr>
            <w:r>
              <w:rPr>
                <w:rFonts w:ascii="Arial" w:cs="Arial" w:eastAsia="Arial" w:hAnsi="Arial"/>
                <w:sz w:val="16"/>
                <w:szCs w:val="16"/>
                <w:color w:val="auto"/>
              </w:rPr>
              <w:t xml:space="preserve">Wind Capacity Factor </w:t>
            </w:r>
            <w:r>
              <w:rPr>
                <w:rFonts w:ascii="Arial" w:cs="Arial" w:eastAsia="Arial" w:hAnsi="Arial"/>
                <w:sz w:val="21"/>
                <w:szCs w:val="21"/>
                <w:color w:val="auto"/>
                <w:vertAlign w:val="superscript"/>
              </w:rPr>
              <w:t>(a)</w:t>
            </w:r>
          </w:p>
        </w:tc>
        <w:tc>
          <w:tcPr>
            <w:tcW w:w="2000" w:type="dxa"/>
            <w:vAlign w:val="bottom"/>
          </w:tcPr>
          <w:p>
            <w:pPr>
              <w:jc w:val="center"/>
              <w:ind w:left="739"/>
              <w:spacing w:after="0"/>
              <w:rPr>
                <w:sz w:val="20"/>
                <w:szCs w:val="20"/>
                <w:color w:val="auto"/>
              </w:rPr>
            </w:pPr>
            <w:r>
              <w:rPr>
                <w:rFonts w:ascii="Arial" w:cs="Arial" w:eastAsia="Arial" w:hAnsi="Arial"/>
                <w:sz w:val="16"/>
                <w:szCs w:val="16"/>
                <w:color w:val="auto"/>
              </w:rPr>
              <w:t>32.0%</w:t>
            </w:r>
          </w:p>
        </w:tc>
        <w:tc>
          <w:tcPr>
            <w:tcW w:w="1220" w:type="dxa"/>
            <w:vAlign w:val="bottom"/>
          </w:tcPr>
          <w:p>
            <w:pPr>
              <w:jc w:val="center"/>
              <w:spacing w:after="0"/>
              <w:rPr>
                <w:sz w:val="20"/>
                <w:szCs w:val="20"/>
                <w:color w:val="auto"/>
              </w:rPr>
            </w:pPr>
            <w:r>
              <w:rPr>
                <w:rFonts w:ascii="Arial" w:cs="Arial" w:eastAsia="Arial" w:hAnsi="Arial"/>
                <w:sz w:val="16"/>
                <w:szCs w:val="16"/>
                <w:color w:val="auto"/>
              </w:rPr>
              <w:t>31.3%</w:t>
            </w:r>
          </w:p>
        </w:tc>
        <w:tc>
          <w:tcPr>
            <w:tcW w:w="1220" w:type="dxa"/>
            <w:vAlign w:val="bottom"/>
          </w:tcPr>
          <w:p>
            <w:pPr>
              <w:jc w:val="center"/>
              <w:spacing w:after="0"/>
              <w:rPr>
                <w:sz w:val="20"/>
                <w:szCs w:val="20"/>
                <w:color w:val="auto"/>
              </w:rPr>
            </w:pPr>
            <w:r>
              <w:rPr>
                <w:rFonts w:ascii="Arial" w:cs="Arial" w:eastAsia="Arial" w:hAnsi="Arial"/>
                <w:sz w:val="16"/>
                <w:szCs w:val="16"/>
                <w:color w:val="auto"/>
              </w:rPr>
              <w:t>36.2%</w:t>
            </w:r>
          </w:p>
        </w:tc>
        <w:tc>
          <w:tcPr>
            <w:tcW w:w="1200" w:type="dxa"/>
            <w:vAlign w:val="bottom"/>
          </w:tcPr>
          <w:p>
            <w:pPr>
              <w:jc w:val="center"/>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045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9"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2024 included unplanned outages at Wygen I and Colorado IPP.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Gas Utilities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6"/>
                <w:szCs w:val="16"/>
                <w:b w:val="1"/>
                <w:bCs w:val="1"/>
                <w:color w:val="auto"/>
              </w:rPr>
              <w:t>Three Months Ended September 30,</w:t>
            </w:r>
          </w:p>
        </w:tc>
        <w:tc>
          <w:tcPr>
            <w:tcW w:w="344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rPr>
              <w:t>Nine Months Ended September 30,</w:t>
            </w:r>
          </w:p>
        </w:tc>
      </w:tr>
      <w:tr>
        <w:trPr>
          <w:trHeight w:val="182"/>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ind w:right="539"/>
              <w:spacing w:after="0" w:line="182" w:lineRule="exact"/>
              <w:rPr>
                <w:sz w:val="20"/>
                <w:szCs w:val="20"/>
                <w:color w:val="auto"/>
              </w:rPr>
            </w:pPr>
            <w:r>
              <w:rPr>
                <w:rFonts w:ascii="Arial" w:cs="Arial" w:eastAsia="Arial" w:hAnsi="Arial"/>
                <w:sz w:val="16"/>
                <w:szCs w:val="16"/>
                <w:b w:val="1"/>
                <w:bCs w:val="1"/>
                <w:color w:val="auto"/>
              </w:rPr>
              <w:t>2024 vs 2023</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219"/>
              <w:spacing w:after="0" w:line="182" w:lineRule="exact"/>
              <w:rPr>
                <w:sz w:val="20"/>
                <w:szCs w:val="20"/>
                <w:color w:val="auto"/>
              </w:rPr>
            </w:pPr>
            <w:r>
              <w:rPr>
                <w:rFonts w:ascii="Arial" w:cs="Arial" w:eastAsia="Arial" w:hAnsi="Arial"/>
                <w:sz w:val="16"/>
                <w:szCs w:val="16"/>
                <w:b w:val="1"/>
                <w:bCs w:val="1"/>
                <w:color w:val="auto"/>
              </w:rPr>
              <w:t>2024 vs 2023</w:t>
            </w:r>
          </w:p>
        </w:tc>
      </w:tr>
      <w:tr>
        <w:trPr>
          <w:trHeight w:val="217"/>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 millions)</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3620" w:type="dxa"/>
            <w:vAlign w:val="bottom"/>
          </w:tcPr>
          <w:p>
            <w:pPr>
              <w:ind w:left="120"/>
              <w:spacing w:after="0"/>
              <w:rPr>
                <w:sz w:val="20"/>
                <w:szCs w:val="20"/>
                <w:color w:val="auto"/>
              </w:rPr>
            </w:pPr>
            <w:r>
              <w:rPr>
                <w:rFonts w:ascii="Arial" w:cs="Arial" w:eastAsia="Arial" w:hAnsi="Arial"/>
                <w:sz w:val="16"/>
                <w:szCs w:val="16"/>
                <w:color w:val="auto"/>
              </w:rPr>
              <w:t>Natural gas - regulated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157.3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59"/>
              <w:spacing w:after="0"/>
              <w:rPr>
                <w:sz w:val="20"/>
                <w:szCs w:val="20"/>
                <w:color w:val="auto"/>
              </w:rPr>
            </w:pPr>
            <w:r>
              <w:rPr>
                <w:rFonts w:ascii="Arial" w:cs="Arial" w:eastAsia="Arial" w:hAnsi="Arial"/>
                <w:sz w:val="16"/>
                <w:szCs w:val="16"/>
                <w:color w:val="auto"/>
              </w:rPr>
              <w:t>(2.2 ) $</w:t>
            </w:r>
          </w:p>
        </w:tc>
        <w:tc>
          <w:tcPr>
            <w:tcW w:w="760" w:type="dxa"/>
            <w:vAlign w:val="bottom"/>
          </w:tcPr>
          <w:p>
            <w:pPr>
              <w:jc w:val="right"/>
              <w:spacing w:after="0"/>
              <w:rPr>
                <w:sz w:val="20"/>
                <w:szCs w:val="20"/>
                <w:color w:val="auto"/>
              </w:rPr>
            </w:pPr>
            <w:r>
              <w:rPr>
                <w:rFonts w:ascii="Arial" w:cs="Arial" w:eastAsia="Arial" w:hAnsi="Arial"/>
                <w:sz w:val="16"/>
                <w:szCs w:val="16"/>
                <w:color w:val="auto"/>
              </w:rPr>
              <w:t>825.6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(215.4 )</w:t>
            </w:r>
          </w:p>
        </w:tc>
      </w:tr>
      <w:tr>
        <w:trPr>
          <w:trHeight w:val="217"/>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1.5</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(4.3 )</w:t>
            </w:r>
          </w:p>
        </w:tc>
      </w:tr>
      <w:tr>
        <w:trPr>
          <w:trHeight w:val="209"/>
        </w:trPr>
        <w:tc>
          <w:tcPr>
            <w:tcW w:w="3620" w:type="dxa"/>
            <w:vAlign w:val="bottom"/>
          </w:tcPr>
          <w:p>
            <w:pPr>
              <w:ind w:left="20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(0.7 )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1,103.9</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(219.7 )</w:t>
            </w:r>
          </w:p>
        </w:tc>
      </w:tr>
      <w:tr>
        <w:trPr>
          <w:trHeight w:val="209"/>
        </w:trPr>
        <w:tc>
          <w:tcPr>
            <w:tcW w:w="3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Cost of natural gas sold: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3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Natural gas - regulated</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(8.1 )</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353.9</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578.9</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(225.0 )</w:t>
            </w:r>
          </w:p>
        </w:tc>
      </w:tr>
      <w:tr>
        <w:trPr>
          <w:trHeight w:val="216"/>
        </w:trPr>
        <w:tc>
          <w:tcPr>
            <w:tcW w:w="3620" w:type="dxa"/>
            <w:vAlign w:val="bottom"/>
          </w:tcPr>
          <w:p>
            <w:pPr>
              <w:ind w:left="120"/>
              <w:spacing w:after="0"/>
              <w:rPr>
                <w:sz w:val="20"/>
                <w:szCs w:val="20"/>
                <w:color w:val="auto"/>
              </w:rPr>
            </w:pPr>
            <w:r>
              <w:rPr>
                <w:rFonts w:ascii="Arial" w:cs="Arial" w:eastAsia="Arial" w:hAnsi="Arial"/>
                <w:sz w:val="16"/>
                <w:szCs w:val="16"/>
                <w:color w:val="auto"/>
              </w:rPr>
              <w:t>Other - non-regulated</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(15.0 )</w:t>
            </w:r>
          </w:p>
        </w:tc>
      </w:tr>
      <w:tr>
        <w:trPr>
          <w:trHeight w:val="209"/>
        </w:trPr>
        <w:tc>
          <w:tcPr>
            <w:tcW w:w="3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cost of natural gas sold</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w:t>
            </w: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(7.2 )</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362.9</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602.9</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(240.0 )</w:t>
            </w:r>
          </w:p>
        </w:tc>
      </w:tr>
      <w:tr>
        <w:trPr>
          <w:trHeight w:val="210"/>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09"/>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Gas Utility margin (non-GAAP)</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133.9</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127.4</w:t>
            </w: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6.5</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521.3</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501.0</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w:t>
            </w:r>
          </w:p>
        </w:tc>
      </w:tr>
      <w:tr>
        <w:trPr>
          <w:trHeight w:val="210"/>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9.1</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246.8</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color w:val="auto"/>
              </w:rPr>
              <w:t>2.3</w:t>
            </w:r>
          </w:p>
        </w:tc>
        <w:tc>
          <w:tcPr>
            <w:tcW w:w="760" w:type="dxa"/>
            <w:vAlign w:val="bottom"/>
          </w:tcPr>
          <w:p>
            <w:pPr>
              <w:jc w:val="right"/>
              <w:spacing w:after="0"/>
              <w:rPr>
                <w:sz w:val="20"/>
                <w:szCs w:val="20"/>
                <w:color w:val="auto"/>
              </w:rPr>
            </w:pPr>
            <w:r>
              <w:rPr>
                <w:rFonts w:ascii="Arial" w:cs="Arial" w:eastAsia="Arial" w:hAnsi="Arial"/>
                <w:sz w:val="16"/>
                <w:szCs w:val="16"/>
                <w:color w:val="auto"/>
              </w:rPr>
              <w:t>92.8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84.4</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8.4</w:t>
            </w:r>
          </w:p>
        </w:tc>
      </w:tr>
      <w:tr>
        <w:trPr>
          <w:trHeight w:val="21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(0.4 )</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(0.8 )</w:t>
            </w:r>
          </w:p>
        </w:tc>
      </w:tr>
      <w:tr>
        <w:trPr>
          <w:trHeight w:val="209"/>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11.0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r>
      <w:tr>
        <w:trPr>
          <w:trHeight w:val="210"/>
        </w:trPr>
        <w:tc>
          <w:tcPr>
            <w:tcW w:w="3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(4.5 )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60" w:type="dxa"/>
            <w:vAlign w:val="bottom"/>
            <w:gridSpan w:val="3"/>
          </w:tcPr>
          <w:p>
            <w:pPr>
              <w:spacing w:after="0"/>
              <w:rPr>
                <w:sz w:val="20"/>
                <w:szCs w:val="20"/>
                <w:color w:val="auto"/>
              </w:rPr>
            </w:pPr>
            <w:r>
              <w:rPr>
                <w:rFonts w:ascii="Arial" w:cs="Arial" w:eastAsia="Arial" w:hAnsi="Arial"/>
                <w:sz w:val="16"/>
                <w:szCs w:val="16"/>
                <w:color w:val="auto"/>
              </w:rPr>
              <w:t>Three Months Ended September 30, 2024, Compared to the Three Months Ended September 30, 2023:</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58"/>
        </w:trPr>
        <w:tc>
          <w:tcPr>
            <w:tcW w:w="74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Gas Utility margin increased as a result of the following:</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1"/>
        </w:trPr>
        <w:tc>
          <w:tcPr>
            <w:tcW w:w="1280" w:type="dxa"/>
            <w:vAlign w:val="bottom"/>
            <w:tcBorders>
              <w:top w:val="single" w:sz="8" w:color="auto"/>
            </w:tcBorders>
          </w:tcPr>
          <w:p>
            <w:pPr>
              <w:spacing w:after="0"/>
              <w:rPr>
                <w:sz w:val="24"/>
                <w:szCs w:val="24"/>
                <w:color w:val="auto"/>
              </w:rPr>
            </w:pPr>
          </w:p>
        </w:tc>
        <w:tc>
          <w:tcPr>
            <w:tcW w:w="6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r>
      <w:tr>
        <w:trPr>
          <w:trHeight w:val="210"/>
        </w:trPr>
        <w:tc>
          <w:tcPr>
            <w:tcW w:w="94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w:t>
            </w:r>
          </w:p>
        </w:tc>
      </w:tr>
      <w:tr>
        <w:trPr>
          <w:trHeight w:val="215"/>
        </w:trPr>
        <w:tc>
          <w:tcPr>
            <w:tcW w:w="9460" w:type="dxa"/>
            <w:vAlign w:val="bottom"/>
            <w:gridSpan w:val="3"/>
          </w:tcPr>
          <w:p>
            <w:pPr>
              <w:ind w:left="20"/>
              <w:spacing w:after="0"/>
              <w:rPr>
                <w:sz w:val="20"/>
                <w:szCs w:val="20"/>
                <w:color w:val="auto"/>
              </w:rPr>
            </w:pPr>
            <w:r>
              <w:rPr>
                <w:rFonts w:ascii="Arial" w:cs="Arial" w:eastAsia="Arial" w:hAnsi="Arial"/>
                <w:sz w:val="16"/>
                <w:szCs w:val="16"/>
                <w:color w:val="auto"/>
              </w:rPr>
              <w:t>Weather</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7"/>
        </w:trPr>
        <w:tc>
          <w:tcPr>
            <w:tcW w:w="94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(0.4 )</w:t>
            </w:r>
          </w:p>
        </w:tc>
      </w:tr>
      <w:tr>
        <w:trPr>
          <w:trHeight w:val="216"/>
        </w:trPr>
        <w:tc>
          <w:tcPr>
            <w:tcW w:w="946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r>
      <w:tr>
        <w:trPr>
          <w:trHeight w:val="209"/>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$3.5 million of higher insurance expense, $3.0 million of higher employee-related expenses and $2.8 million of higher outside services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60" w:type="dxa"/>
            <w:vAlign w:val="bottom"/>
            <w:gridSpan w:val="4"/>
          </w:tcPr>
          <w:p>
            <w:pPr>
              <w:spacing w:after="0"/>
              <w:rPr>
                <w:sz w:val="20"/>
                <w:szCs w:val="20"/>
                <w:color w:val="auto"/>
              </w:rPr>
            </w:pPr>
            <w:r>
              <w:rPr>
                <w:rFonts w:ascii="Arial" w:cs="Arial" w:eastAsia="Arial" w:hAnsi="Arial"/>
                <w:sz w:val="16"/>
                <w:szCs w:val="16"/>
                <w:color w:val="auto"/>
              </w:rPr>
              <w:t>Taxes - property and production was comparable to the same period in the prior year.</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58"/>
        </w:trPr>
        <w:tc>
          <w:tcPr>
            <w:tcW w:w="9460" w:type="dxa"/>
            <w:vAlign w:val="bottom"/>
            <w:gridSpan w:val="4"/>
          </w:tcPr>
          <w:p>
            <w:pPr>
              <w:spacing w:after="0"/>
              <w:rPr>
                <w:sz w:val="20"/>
                <w:szCs w:val="20"/>
                <w:color w:val="auto"/>
              </w:rPr>
            </w:pPr>
            <w:r>
              <w:rPr>
                <w:rFonts w:ascii="Arial" w:cs="Arial" w:eastAsia="Arial" w:hAnsi="Arial"/>
                <w:sz w:val="16"/>
                <w:szCs w:val="16"/>
                <w:color w:val="auto"/>
              </w:rPr>
              <w:t>Nine Months Ended September 30, 2024, Compared to the Nine Months Ended September 30, 2023:</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72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Gas Utility margin increased as a result of the following:</w:t>
            </w: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1"/>
        </w:trPr>
        <w:tc>
          <w:tcPr>
            <w:tcW w:w="12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r>
      <w:tr>
        <w:trPr>
          <w:trHeight w:val="211"/>
        </w:trPr>
        <w:tc>
          <w:tcPr>
            <w:tcW w:w="94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30.5</w:t>
            </w:r>
          </w:p>
        </w:tc>
      </w:tr>
      <w:tr>
        <w:trPr>
          <w:trHeight w:val="215"/>
        </w:trPr>
        <w:tc>
          <w:tcPr>
            <w:tcW w:w="9460" w:type="dxa"/>
            <w:vAlign w:val="bottom"/>
            <w:gridSpan w:val="4"/>
          </w:tcPr>
          <w:p>
            <w:pPr>
              <w:ind w:left="20"/>
              <w:spacing w:after="0"/>
              <w:rPr>
                <w:sz w:val="20"/>
                <w:szCs w:val="20"/>
                <w:color w:val="auto"/>
              </w:rPr>
            </w:pPr>
            <w:r>
              <w:rPr>
                <w:rFonts w:ascii="Arial" w:cs="Arial" w:eastAsia="Arial" w:hAnsi="Arial"/>
                <w:sz w:val="16"/>
                <w:szCs w:val="16"/>
                <w:color w:val="auto"/>
              </w:rPr>
              <w:t>Retail customer growth and usage</w:t>
            </w: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217"/>
        </w:trPr>
        <w:tc>
          <w:tcPr>
            <w:tcW w:w="94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r>
        <w:trPr>
          <w:trHeight w:val="215"/>
        </w:trPr>
        <w:tc>
          <w:tcPr>
            <w:tcW w:w="9460" w:type="dxa"/>
            <w:vAlign w:val="bottom"/>
            <w:gridSpan w:val="4"/>
          </w:tcPr>
          <w:p>
            <w:pPr>
              <w:ind w:left="20"/>
              <w:spacing w:after="0"/>
              <w:rPr>
                <w:sz w:val="20"/>
                <w:szCs w:val="20"/>
                <w:color w:val="auto"/>
              </w:rPr>
            </w:pPr>
            <w:r>
              <w:rPr>
                <w:rFonts w:ascii="Arial" w:cs="Arial" w:eastAsia="Arial" w:hAnsi="Arial"/>
                <w:sz w:val="16"/>
                <w:szCs w:val="16"/>
                <w:color w:val="auto"/>
              </w:rPr>
              <w:t>Weather</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(14.7 )</w:t>
            </w:r>
          </w:p>
        </w:tc>
      </w:tr>
      <w:tr>
        <w:trPr>
          <w:trHeight w:val="217"/>
        </w:trPr>
        <w:tc>
          <w:tcPr>
            <w:tcW w:w="94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(2.4 )</w:t>
            </w:r>
          </w:p>
        </w:tc>
      </w:tr>
      <w:tr>
        <w:trPr>
          <w:trHeight w:val="209"/>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$8.5 million of lower employee-related expenses driven by lower headcount and $2.8 million decreased bad debt expense attributable to lower customer billings partially offset by $3.8 million of higher insurance expense and $2.9 million of higher office, facilities and IT-related expenses.</w:t>
      </w:r>
    </w:p>
    <w:p>
      <w:pPr>
        <w:spacing w:after="0" w:line="144" w:lineRule="exact"/>
        <w:rPr>
          <w:sz w:val="20"/>
          <w:szCs w:val="20"/>
          <w:color w:val="auto"/>
        </w:rPr>
      </w:pPr>
    </w:p>
    <w:p>
      <w:pPr>
        <w:ind w:left="5540" w:right="1540" w:hanging="5525"/>
        <w:spacing w:after="0" w:line="286"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was comparable to the same period in the prior year.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66"/>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Quantities Sold and Transported</w:t>
            </w:r>
          </w:p>
        </w:tc>
        <w:tc>
          <w:tcPr>
            <w:tcW w:w="760" w:type="dxa"/>
            <w:vAlign w:val="bottom"/>
          </w:tcPr>
          <w:p>
            <w:pPr>
              <w:spacing w:after="0"/>
              <w:rPr>
                <w:sz w:val="24"/>
                <w:szCs w:val="24"/>
                <w:color w:val="auto"/>
              </w:rPr>
            </w:pPr>
          </w:p>
        </w:tc>
      </w:tr>
      <w:tr>
        <w:trPr>
          <w:trHeight w:val="217"/>
        </w:trPr>
        <w:tc>
          <w:tcPr>
            <w:tcW w:w="3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(Dth in millions)</w:t>
            </w:r>
          </w:p>
        </w:tc>
        <w:tc>
          <w:tcPr>
            <w:tcW w:w="760" w:type="dxa"/>
            <w:vAlign w:val="bottom"/>
            <w:tcBorders>
              <w:bottom w:val="single" w:sz="8" w:color="auto"/>
            </w:tcBorders>
          </w:tcPr>
          <w:p>
            <w:pPr>
              <w:spacing w:after="0"/>
              <w:rPr>
                <w:sz w:val="18"/>
                <w:szCs w:val="18"/>
                <w:color w:val="auto"/>
              </w:rPr>
            </w:pPr>
          </w:p>
        </w:tc>
      </w:tr>
      <w:tr>
        <w:trPr>
          <w:trHeight w:val="182"/>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3"/>
          </w:tcPr>
          <w:p>
            <w:pPr>
              <w:jc w:val="right"/>
              <w:ind w:right="159"/>
              <w:spacing w:after="0" w:line="182" w:lineRule="exact"/>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5"/>
                <w:szCs w:val="15"/>
                <w:color w:val="auto"/>
              </w:rPr>
            </w:pPr>
          </w:p>
        </w:tc>
        <w:tc>
          <w:tcPr>
            <w:tcW w:w="1860" w:type="dxa"/>
            <w:vAlign w:val="bottom"/>
            <w:gridSpan w:val="3"/>
          </w:tcPr>
          <w:p>
            <w:pPr>
              <w:jc w:val="right"/>
              <w:ind w:right="239"/>
              <w:spacing w:after="0" w:line="182" w:lineRule="exact"/>
              <w:rPr>
                <w:sz w:val="20"/>
                <w:szCs w:val="20"/>
                <w:color w:val="auto"/>
              </w:rPr>
            </w:pPr>
            <w:r>
              <w:rPr>
                <w:rFonts w:ascii="Arial" w:cs="Arial" w:eastAsia="Arial" w:hAnsi="Arial"/>
                <w:sz w:val="16"/>
                <w:szCs w:val="16"/>
                <w:b w:val="1"/>
                <w:bCs w:val="1"/>
                <w:color w:val="auto"/>
              </w:rPr>
              <w:t>Nine Months Ended</w:t>
            </w:r>
          </w:p>
        </w:tc>
        <w:tc>
          <w:tcPr>
            <w:tcW w:w="2020" w:type="dxa"/>
            <w:vAlign w:val="bottom"/>
            <w:gridSpan w:val="2"/>
          </w:tcPr>
          <w:p>
            <w:pPr>
              <w:jc w:val="right"/>
              <w:ind w:right="219"/>
              <w:spacing w:after="0" w:line="182" w:lineRule="exact"/>
              <w:rPr>
                <w:sz w:val="20"/>
                <w:szCs w:val="20"/>
                <w:color w:val="auto"/>
              </w:rPr>
            </w:pPr>
            <w:r>
              <w:rPr>
                <w:rFonts w:ascii="Arial" w:cs="Arial" w:eastAsia="Arial" w:hAnsi="Arial"/>
                <w:sz w:val="16"/>
                <w:szCs w:val="16"/>
                <w:b w:val="1"/>
                <w:bCs w:val="1"/>
                <w:color w:val="auto"/>
              </w:rPr>
              <w:t>Three Months Ended</w:t>
            </w:r>
          </w:p>
        </w:tc>
        <w:tc>
          <w:tcPr>
            <w:tcW w:w="1900" w:type="dxa"/>
            <w:vAlign w:val="bottom"/>
            <w:gridSpan w:val="2"/>
          </w:tcPr>
          <w:p>
            <w:pPr>
              <w:jc w:val="right"/>
              <w:ind w:right="179"/>
              <w:spacing w:after="0" w:line="182" w:lineRule="exact"/>
              <w:rPr>
                <w:sz w:val="20"/>
                <w:szCs w:val="20"/>
                <w:color w:val="auto"/>
              </w:rPr>
            </w:pPr>
            <w:r>
              <w:rPr>
                <w:rFonts w:ascii="Arial" w:cs="Arial" w:eastAsia="Arial" w:hAnsi="Arial"/>
                <w:sz w:val="16"/>
                <w:szCs w:val="16"/>
                <w:b w:val="1"/>
                <w:bCs w:val="1"/>
                <w:color w:val="auto"/>
              </w:rPr>
              <w:t>Nine Months Ended</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86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September 30,</w:t>
            </w:r>
          </w:p>
        </w:tc>
        <w:tc>
          <w:tcPr>
            <w:tcW w:w="20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9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customer class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2023</w:t>
            </w: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210"/>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481.9</w:t>
            </w:r>
          </w:p>
        </w:tc>
        <w:tc>
          <w:tcPr>
            <w:tcW w:w="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620.3</w:t>
            </w:r>
          </w:p>
        </w:tc>
        <w:tc>
          <w:tcPr>
            <w:tcW w:w="10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3.5</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w:t>
            </w:r>
          </w:p>
        </w:tc>
        <w:tc>
          <w:tcPr>
            <w:tcW w:w="11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38.2</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41.1</w:t>
            </w: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185.8</w:t>
            </w:r>
          </w:p>
        </w:tc>
        <w:tc>
          <w:tcPr>
            <w:tcW w:w="2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255.4</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19.3</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20.5</w:t>
            </w:r>
          </w:p>
        </w:tc>
      </w:tr>
      <w:tr>
        <w:trPr>
          <w:trHeight w:val="217"/>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26.2</w:t>
            </w:r>
          </w:p>
        </w:tc>
        <w:tc>
          <w:tcPr>
            <w:tcW w:w="10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2.4</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11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5.1</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w:t>
            </w:r>
          </w:p>
        </w:tc>
      </w:tr>
      <w:tr>
        <w:trPr>
          <w:trHeight w:val="216"/>
        </w:trPr>
        <w:tc>
          <w:tcPr>
            <w:tcW w:w="328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280" w:type="dxa"/>
            <w:vAlign w:val="bottom"/>
            <w:shd w:val="clear" w:color="auto" w:fill="CFF0FC"/>
          </w:tcPr>
          <w:p>
            <w:pPr>
              <w:ind w:left="120"/>
              <w:spacing w:after="0" w:line="210" w:lineRule="exact"/>
              <w:rPr>
                <w:sz w:val="20"/>
                <w:szCs w:val="20"/>
                <w:color w:val="auto"/>
              </w:rPr>
            </w:pPr>
            <w:r>
              <w:rPr>
                <w:rFonts w:ascii="Arial" w:cs="Arial" w:eastAsia="Arial" w:hAnsi="Arial"/>
                <w:sz w:val="16"/>
                <w:szCs w:val="16"/>
                <w:color w:val="auto"/>
              </w:rPr>
              <w:t xml:space="preserve">Total Distribution </w:t>
            </w:r>
            <w:r>
              <w:rPr>
                <w:rFonts w:ascii="Arial" w:cs="Arial" w:eastAsia="Arial" w:hAnsi="Arial"/>
                <w:sz w:val="21"/>
                <w:szCs w:val="21"/>
                <w:color w:val="auto"/>
                <w:vertAlign w:val="superscript"/>
              </w:rPr>
              <w:t>(a)</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694.2</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909.2</w:t>
            </w:r>
          </w:p>
        </w:tc>
        <w:tc>
          <w:tcPr>
            <w:tcW w:w="10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8.3</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w:t>
            </w:r>
          </w:p>
        </w:tc>
        <w:tc>
          <w:tcPr>
            <w:tcW w:w="11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62.6</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66.1</w:t>
            </w:r>
          </w:p>
        </w:tc>
      </w:tr>
      <w:tr>
        <w:trPr>
          <w:trHeight w:val="216"/>
        </w:trPr>
        <w:tc>
          <w:tcPr>
            <w:tcW w:w="3280" w:type="dxa"/>
            <w:vAlign w:val="bottom"/>
          </w:tcPr>
          <w:p>
            <w:pPr>
              <w:ind w:left="20"/>
              <w:spacing w:after="0"/>
              <w:rPr>
                <w:sz w:val="20"/>
                <w:szCs w:val="20"/>
                <w:color w:val="auto"/>
              </w:rPr>
            </w:pPr>
            <w:r>
              <w:rPr>
                <w:rFonts w:ascii="Arial" w:cs="Arial" w:eastAsia="Arial" w:hAnsi="Arial"/>
                <w:sz w:val="16"/>
                <w:szCs w:val="16"/>
                <w:color w:val="auto"/>
              </w:rPr>
              <w:t>Transportation and Transmission</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131.8</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35.8</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36.8</w:t>
            </w: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117.0</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118.2</w:t>
            </w:r>
          </w:p>
        </w:tc>
      </w:tr>
      <w:tr>
        <w:trPr>
          <w:trHeight w:val="209"/>
        </w:trPr>
        <w:tc>
          <w:tcPr>
            <w:tcW w:w="3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Regulated</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157.3</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825.6</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1,041.0</w:t>
            </w:r>
          </w:p>
        </w:tc>
        <w:tc>
          <w:tcPr>
            <w:tcW w:w="10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44.1</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44.8</w:t>
            </w:r>
          </w:p>
        </w:tc>
        <w:tc>
          <w:tcPr>
            <w:tcW w:w="11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179.6</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184.3</w:t>
            </w:r>
          </w:p>
        </w:tc>
      </w:tr>
      <w:tr>
        <w:trPr>
          <w:trHeight w:val="216"/>
        </w:trPr>
        <w:tc>
          <w:tcPr>
            <w:tcW w:w="3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Non-regulated Services </w:t>
            </w:r>
            <w:r>
              <w:rPr>
                <w:rFonts w:ascii="Arial" w:cs="Arial" w:eastAsia="Arial" w:hAnsi="Arial"/>
                <w:sz w:val="21"/>
                <w:szCs w:val="21"/>
                <w:color w:val="auto"/>
                <w:vertAlign w:val="superscript"/>
              </w:rPr>
              <w:t>(b)</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62.9</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3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884.2</w:t>
            </w:r>
          </w:p>
        </w:tc>
        <w:tc>
          <w:tcPr>
            <w:tcW w:w="2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1,103.9</w:t>
            </w: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44.1</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44.8</w:t>
            </w:r>
          </w:p>
        </w:tc>
        <w:tc>
          <w:tcPr>
            <w:tcW w:w="11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179.6</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045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0" w:lineRule="exact"/>
        <w:rPr>
          <w:sz w:val="20"/>
          <w:szCs w:val="20"/>
          <w:color w:val="auto"/>
        </w:rPr>
      </w:pPr>
    </w:p>
    <w:p>
      <w:pPr>
        <w:ind w:left="520" w:right="160" w:hanging="512"/>
        <w:spacing w:after="0" w:line="248"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Gas distribution revenues decreased for the three and nine months ended September 30, 2024, compared to the same period in the prior year primarily due to lower commodity prices. Our Utilities have regulatory mechanisms that allow them to pass prudently incurred costs of energy through to the customer. Customer billing rates are adjusted periodically to reflect changes in our cost of energy.</w:t>
      </w: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Black Hills Energy Services and non-regulated services under the Service Guard Comfort Plan, Tech Services, and HomeServe.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Revenue</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Quantities Sold and Transported</w:t>
            </w:r>
          </w:p>
        </w:tc>
      </w:tr>
      <w:tr>
        <w:trPr>
          <w:trHeight w:val="217"/>
        </w:trPr>
        <w:tc>
          <w:tcPr>
            <w:tcW w:w="2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(Dth in millions)</w:t>
            </w:r>
          </w:p>
        </w:tc>
        <w:tc>
          <w:tcPr>
            <w:tcW w:w="880" w:type="dxa"/>
            <w:vAlign w:val="bottom"/>
            <w:tcBorders>
              <w:bottom w:val="single" w:sz="8" w:color="auto"/>
            </w:tcBorders>
          </w:tcPr>
          <w:p>
            <w:pPr>
              <w:spacing w:after="0"/>
              <w:rPr>
                <w:sz w:val="18"/>
                <w:szCs w:val="18"/>
                <w:color w:val="auto"/>
              </w:rPr>
            </w:pPr>
          </w:p>
        </w:tc>
      </w:tr>
      <w:tr>
        <w:trPr>
          <w:trHeight w:val="182"/>
        </w:trPr>
        <w:tc>
          <w:tcPr>
            <w:tcW w:w="2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jc w:val="right"/>
              <w:ind w:right="219"/>
              <w:spacing w:after="0" w:line="182" w:lineRule="exact"/>
              <w:rPr>
                <w:sz w:val="20"/>
                <w:szCs w:val="20"/>
                <w:color w:val="auto"/>
              </w:rPr>
            </w:pPr>
            <w:r>
              <w:rPr>
                <w:rFonts w:ascii="Arial" w:cs="Arial" w:eastAsia="Arial" w:hAnsi="Arial"/>
                <w:sz w:val="16"/>
                <w:szCs w:val="16"/>
                <w:b w:val="1"/>
                <w:bCs w:val="1"/>
                <w:color w:val="auto"/>
              </w:rPr>
              <w:t>Three Months Ended</w:t>
            </w:r>
          </w:p>
        </w:tc>
        <w:tc>
          <w:tcPr>
            <w:tcW w:w="1780" w:type="dxa"/>
            <w:vAlign w:val="bottom"/>
            <w:gridSpan w:val="4"/>
          </w:tcPr>
          <w:p>
            <w:pPr>
              <w:jc w:val="right"/>
              <w:ind w:right="59"/>
              <w:spacing w:after="0" w:line="182" w:lineRule="exact"/>
              <w:rPr>
                <w:sz w:val="20"/>
                <w:szCs w:val="20"/>
                <w:color w:val="auto"/>
              </w:rPr>
            </w:pPr>
            <w:r>
              <w:rPr>
                <w:rFonts w:ascii="Arial" w:cs="Arial" w:eastAsia="Arial" w:hAnsi="Arial"/>
                <w:sz w:val="16"/>
                <w:szCs w:val="16"/>
                <w:b w:val="1"/>
                <w:bCs w:val="1"/>
                <w:color w:val="auto"/>
              </w:rPr>
              <w:t>Nine Months Ended</w:t>
            </w:r>
          </w:p>
        </w:tc>
        <w:tc>
          <w:tcPr>
            <w:tcW w:w="2080" w:type="dxa"/>
            <w:vAlign w:val="bottom"/>
            <w:gridSpan w:val="2"/>
          </w:tcPr>
          <w:p>
            <w:pPr>
              <w:jc w:val="right"/>
              <w:ind w:right="139"/>
              <w:spacing w:after="0" w:line="182" w:lineRule="exact"/>
              <w:rPr>
                <w:sz w:val="20"/>
                <w:szCs w:val="20"/>
                <w:color w:val="auto"/>
              </w:rPr>
            </w:pPr>
            <w:r>
              <w:rPr>
                <w:rFonts w:ascii="Arial" w:cs="Arial" w:eastAsia="Arial" w:hAnsi="Arial"/>
                <w:sz w:val="16"/>
                <w:szCs w:val="16"/>
                <w:b w:val="1"/>
                <w:bCs w:val="1"/>
                <w:color w:val="auto"/>
              </w:rPr>
              <w:t>Three Months Ended</w:t>
            </w:r>
          </w:p>
        </w:tc>
        <w:tc>
          <w:tcPr>
            <w:tcW w:w="1960" w:type="dxa"/>
            <w:vAlign w:val="bottom"/>
            <w:gridSpan w:val="2"/>
          </w:tcPr>
          <w:p>
            <w:pPr>
              <w:jc w:val="right"/>
              <w:ind w:right="179"/>
              <w:spacing w:after="0" w:line="182" w:lineRule="exact"/>
              <w:rPr>
                <w:sz w:val="20"/>
                <w:szCs w:val="20"/>
                <w:color w:val="auto"/>
              </w:rPr>
            </w:pPr>
            <w:r>
              <w:rPr>
                <w:rFonts w:ascii="Arial" w:cs="Arial" w:eastAsia="Arial" w:hAnsi="Arial"/>
                <w:sz w:val="16"/>
                <w:szCs w:val="16"/>
                <w:b w:val="1"/>
                <w:bCs w:val="1"/>
                <w:color w:val="auto"/>
              </w:rPr>
              <w:t>Nine Months Ended</w:t>
            </w:r>
          </w:p>
        </w:tc>
      </w:tr>
      <w:tr>
        <w:trPr>
          <w:trHeight w:val="216"/>
        </w:trPr>
        <w:tc>
          <w:tcPr>
            <w:tcW w:w="2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5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20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196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September 30,</w:t>
            </w:r>
          </w:p>
        </w:tc>
      </w:tr>
      <w:tr>
        <w:trPr>
          <w:trHeight w:val="217"/>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business unit</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r>
      <w:tr>
        <w:trPr>
          <w:trHeight w:val="209"/>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167.2</w:t>
            </w:r>
          </w:p>
        </w:tc>
        <w:tc>
          <w:tcPr>
            <w:tcW w:w="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189.0</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21.5</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21.0</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31.5</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191.5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227.9</w:t>
            </w: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23.3</w:t>
            </w:r>
          </w:p>
        </w:tc>
      </w:tr>
      <w:tr>
        <w:trPr>
          <w:trHeight w:val="217"/>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26.4</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27.2</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90.8</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118.5</w:t>
            </w: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27.4</w:t>
            </w:r>
          </w:p>
        </w:tc>
      </w:tr>
      <w:tr>
        <w:trPr>
          <w:trHeight w:val="217"/>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55.3</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277.9</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58.1</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59.8</w:t>
            </w: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25.6</w:t>
            </w:r>
          </w:p>
        </w:tc>
      </w:tr>
      <w:tr>
        <w:trPr>
          <w:trHeight w:val="250"/>
        </w:trPr>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174.3</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884.2</w:t>
            </w:r>
          </w:p>
        </w:tc>
        <w:tc>
          <w:tcPr>
            <w:tcW w:w="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1,103.9</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179.6</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184.3</w:t>
            </w:r>
          </w:p>
        </w:tc>
      </w:tr>
      <w:tr>
        <w:trPr>
          <w:trHeight w:val="385"/>
        </w:trPr>
        <w:tc>
          <w:tcPr>
            <w:tcW w:w="27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860" w:type="dxa"/>
            <w:vAlign w:val="bottom"/>
            <w:tcBorders>
              <w:top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40" w:type="dxa"/>
            <w:vAlign w:val="bottom"/>
            <w:tcBorders>
              <w:top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 September 30,</w:t>
            </w:r>
          </w:p>
        </w:tc>
      </w:tr>
      <w:tr>
        <w:trPr>
          <w:trHeight w:val="217"/>
        </w:trPr>
        <w:tc>
          <w:tcPr>
            <w:tcW w:w="27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80" w:type="dxa"/>
            <w:vAlign w:val="bottom"/>
            <w:tcBorders>
              <w:bottom w:val="single" w:sz="8" w:color="auto"/>
            </w:tcBorders>
          </w:tcPr>
          <w:p>
            <w:pPr>
              <w:spacing w:after="0"/>
              <w:rPr>
                <w:sz w:val="18"/>
                <w:szCs w:val="18"/>
                <w:color w:val="auto"/>
              </w:rPr>
            </w:pPr>
          </w:p>
        </w:tc>
      </w:tr>
      <w:tr>
        <w:trPr>
          <w:trHeight w:val="182"/>
        </w:trPr>
        <w:tc>
          <w:tcPr>
            <w:tcW w:w="2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jc w:val="center"/>
              <w:ind w:right="399"/>
              <w:spacing w:after="0" w:line="182" w:lineRule="exact"/>
              <w:rPr>
                <w:sz w:val="20"/>
                <w:szCs w:val="20"/>
                <w:color w:val="auto"/>
              </w:rPr>
            </w:pPr>
            <w:r>
              <w:rPr>
                <w:rFonts w:ascii="Arial" w:cs="Arial" w:eastAsia="Arial" w:hAnsi="Arial"/>
                <w:sz w:val="16"/>
                <w:szCs w:val="16"/>
                <w:b w:val="1"/>
                <w:bCs w:val="1"/>
                <w:color w:val="auto"/>
              </w:rPr>
              <w:t>Variance from</w:t>
            </w:r>
          </w:p>
        </w:tc>
        <w:tc>
          <w:tcPr>
            <w:tcW w:w="200" w:type="dxa"/>
            <w:vAlign w:val="bottom"/>
          </w:tcPr>
          <w:p>
            <w:pPr>
              <w:spacing w:after="0"/>
              <w:rPr>
                <w:sz w:val="15"/>
                <w:szCs w:val="15"/>
                <w:color w:val="auto"/>
              </w:rPr>
            </w:pPr>
          </w:p>
        </w:tc>
        <w:tc>
          <w:tcPr>
            <w:tcW w:w="1580" w:type="dxa"/>
            <w:vAlign w:val="bottom"/>
            <w:gridSpan w:val="3"/>
          </w:tcPr>
          <w:p>
            <w:pPr>
              <w:jc w:val="right"/>
              <w:ind w:right="219"/>
              <w:spacing w:after="0" w:line="182" w:lineRule="exact"/>
              <w:rPr>
                <w:sz w:val="20"/>
                <w:szCs w:val="20"/>
                <w:color w:val="auto"/>
              </w:rPr>
            </w:pPr>
            <w:r>
              <w:rPr>
                <w:rFonts w:ascii="Arial" w:cs="Arial" w:eastAsia="Arial" w:hAnsi="Arial"/>
                <w:sz w:val="16"/>
                <w:szCs w:val="16"/>
                <w:b w:val="1"/>
                <w:bCs w:val="1"/>
                <w:color w:val="auto"/>
              </w:rPr>
              <w:t>Variance from</w:t>
            </w:r>
          </w:p>
        </w:tc>
        <w:tc>
          <w:tcPr>
            <w:tcW w:w="2080" w:type="dxa"/>
            <w:vAlign w:val="bottom"/>
            <w:gridSpan w:val="2"/>
          </w:tcPr>
          <w:p>
            <w:pPr>
              <w:jc w:val="right"/>
              <w:ind w:right="179"/>
              <w:spacing w:after="0" w:line="182" w:lineRule="exact"/>
              <w:rPr>
                <w:sz w:val="20"/>
                <w:szCs w:val="20"/>
                <w:color w:val="auto"/>
              </w:rPr>
            </w:pPr>
            <w:r>
              <w:rPr>
                <w:rFonts w:ascii="Arial" w:cs="Arial" w:eastAsia="Arial" w:hAnsi="Arial"/>
                <w:sz w:val="16"/>
                <w:szCs w:val="16"/>
                <w:b w:val="1"/>
                <w:bCs w:val="1"/>
                <w:color w:val="auto"/>
              </w:rPr>
              <w:t>Variance from</w:t>
            </w:r>
          </w:p>
        </w:tc>
        <w:tc>
          <w:tcPr>
            <w:tcW w:w="1960" w:type="dxa"/>
            <w:vAlign w:val="bottom"/>
            <w:gridSpan w:val="2"/>
          </w:tcPr>
          <w:p>
            <w:pPr>
              <w:jc w:val="right"/>
              <w:ind w:right="19"/>
              <w:spacing w:after="0" w:line="182" w:lineRule="exact"/>
              <w:rPr>
                <w:sz w:val="20"/>
                <w:szCs w:val="20"/>
                <w:color w:val="auto"/>
              </w:rPr>
            </w:pPr>
            <w:r>
              <w:rPr>
                <w:rFonts w:ascii="Arial" w:cs="Arial" w:eastAsia="Arial" w:hAnsi="Arial"/>
                <w:sz w:val="16"/>
                <w:szCs w:val="16"/>
                <w:b w:val="1"/>
                <w:bCs w:val="1"/>
                <w:color w:val="auto"/>
              </w:rPr>
              <w:t>Variance from</w:t>
            </w:r>
          </w:p>
        </w:tc>
      </w:tr>
      <w:tr>
        <w:trPr>
          <w:trHeight w:val="217"/>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Heating Degree Days</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Actual</w:t>
            </w:r>
          </w:p>
        </w:tc>
        <w:tc>
          <w:tcPr>
            <w:tcW w:w="110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b w:val="1"/>
                <w:bCs w:val="1"/>
                <w:color w:val="auto"/>
              </w:rPr>
              <w:t>Normal</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Actual</w:t>
            </w: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Normal</w:t>
            </w: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8"/>
              </w:rPr>
              <w:t>Actual</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7"/>
              </w:rPr>
              <w:t>Normal</w:t>
            </w: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Actual</w:t>
            </w: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Normal</w:t>
            </w:r>
          </w:p>
        </w:tc>
      </w:tr>
      <w:tr>
        <w:trPr>
          <w:trHeight w:val="210"/>
        </w:trPr>
        <w:tc>
          <w:tcPr>
            <w:tcW w:w="270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left="319"/>
              <w:spacing w:after="0"/>
              <w:rPr>
                <w:sz w:val="20"/>
                <w:szCs w:val="20"/>
                <w:color w:val="auto"/>
              </w:rPr>
            </w:pPr>
            <w:r>
              <w:rPr>
                <w:rFonts w:ascii="Arial" w:cs="Arial" w:eastAsia="Arial" w:hAnsi="Arial"/>
                <w:sz w:val="16"/>
                <w:szCs w:val="16"/>
                <w:color w:val="auto"/>
                <w:w w:val="98"/>
              </w:rPr>
              <w:t>(40)%</w:t>
            </w:r>
          </w:p>
        </w:tc>
        <w:tc>
          <w:tcPr>
            <w:tcW w:w="820" w:type="dxa"/>
            <w:vAlign w:val="bottom"/>
            <w:shd w:val="clear" w:color="auto" w:fill="CFF0FC"/>
          </w:tcPr>
          <w:p>
            <w:pPr>
              <w:jc w:val="center"/>
              <w:ind w:left="539"/>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02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1,925</w:t>
            </w:r>
          </w:p>
        </w:tc>
        <w:tc>
          <w:tcPr>
            <w:tcW w:w="1060" w:type="dxa"/>
            <w:vAlign w:val="bottom"/>
            <w:shd w:val="clear" w:color="auto" w:fill="CFF0FC"/>
          </w:tcPr>
          <w:p>
            <w:pPr>
              <w:jc w:val="center"/>
              <w:ind w:right="399"/>
              <w:spacing w:after="0"/>
              <w:rPr>
                <w:sz w:val="20"/>
                <w:szCs w:val="20"/>
                <w:color w:val="auto"/>
              </w:rPr>
            </w:pPr>
            <w:r>
              <w:rPr>
                <w:rFonts w:ascii="Arial" w:cs="Arial" w:eastAsia="Arial" w:hAnsi="Arial"/>
                <w:sz w:val="16"/>
                <w:szCs w:val="16"/>
                <w:color w:val="auto"/>
                <w:w w:val="98"/>
              </w:rPr>
              <w:t>(18)%</w:t>
            </w:r>
          </w:p>
        </w:tc>
        <w:tc>
          <w:tcPr>
            <w:tcW w:w="108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1,944</w:t>
            </w:r>
          </w:p>
        </w:tc>
        <w:tc>
          <w:tcPr>
            <w:tcW w:w="88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w w:val="98"/>
              </w:rPr>
              <w:t>(18)%</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680" w:type="dxa"/>
            <w:vAlign w:val="bottom"/>
          </w:tcPr>
          <w:p>
            <w:pPr>
              <w:jc w:val="center"/>
              <w:ind w:left="17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100" w:type="dxa"/>
            <w:vAlign w:val="bottom"/>
            <w:gridSpan w:val="2"/>
          </w:tcPr>
          <w:p>
            <w:pPr>
              <w:jc w:val="center"/>
              <w:ind w:left="319"/>
              <w:spacing w:after="0"/>
              <w:rPr>
                <w:sz w:val="20"/>
                <w:szCs w:val="20"/>
                <w:color w:val="auto"/>
              </w:rPr>
            </w:pPr>
            <w:r>
              <w:rPr>
                <w:rFonts w:ascii="Arial" w:cs="Arial" w:eastAsia="Arial" w:hAnsi="Arial"/>
                <w:sz w:val="16"/>
                <w:szCs w:val="16"/>
                <w:color w:val="auto"/>
                <w:w w:val="98"/>
              </w:rPr>
              <w:t>(29)%</w:t>
            </w:r>
          </w:p>
        </w:tc>
        <w:tc>
          <w:tcPr>
            <w:tcW w:w="820" w:type="dxa"/>
            <w:vAlign w:val="bottom"/>
          </w:tcPr>
          <w:p>
            <w:pPr>
              <w:jc w:val="center"/>
              <w:ind w:left="559"/>
              <w:spacing w:after="0"/>
              <w:rPr>
                <w:sz w:val="20"/>
                <w:szCs w:val="20"/>
                <w:color w:val="auto"/>
              </w:rPr>
            </w:pPr>
            <w:r>
              <w:rPr>
                <w:rFonts w:ascii="Arial" w:cs="Arial" w:eastAsia="Arial" w:hAnsi="Arial"/>
                <w:sz w:val="16"/>
                <w:szCs w:val="16"/>
                <w:color w:val="auto"/>
              </w:rPr>
              <w:t>91</w:t>
            </w:r>
          </w:p>
        </w:tc>
        <w:tc>
          <w:tcPr>
            <w:tcW w:w="20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color w:val="auto"/>
                <w:w w:val="98"/>
              </w:rPr>
              <w:t>(22)%</w:t>
            </w:r>
          </w:p>
        </w:tc>
        <w:tc>
          <w:tcPr>
            <w:tcW w:w="1020" w:type="dxa"/>
            <w:vAlign w:val="bottom"/>
          </w:tcPr>
          <w:p>
            <w:pPr>
              <w:jc w:val="right"/>
              <w:ind w:right="499"/>
              <w:spacing w:after="0"/>
              <w:rPr>
                <w:sz w:val="20"/>
                <w:szCs w:val="20"/>
                <w:color w:val="auto"/>
              </w:rPr>
            </w:pPr>
            <w:r>
              <w:rPr>
                <w:rFonts w:ascii="Arial" w:cs="Arial" w:eastAsia="Arial" w:hAnsi="Arial"/>
                <w:sz w:val="16"/>
                <w:szCs w:val="16"/>
                <w:color w:val="auto"/>
              </w:rPr>
              <w:t>3,613</w:t>
            </w:r>
          </w:p>
        </w:tc>
        <w:tc>
          <w:tcPr>
            <w:tcW w:w="1060" w:type="dxa"/>
            <w:vAlign w:val="bottom"/>
          </w:tcPr>
          <w:p>
            <w:pPr>
              <w:jc w:val="center"/>
              <w:ind w:right="399"/>
              <w:spacing w:after="0"/>
              <w:rPr>
                <w:sz w:val="20"/>
                <w:szCs w:val="20"/>
                <w:color w:val="auto"/>
              </w:rPr>
            </w:pPr>
            <w:r>
              <w:rPr>
                <w:rFonts w:ascii="Arial" w:cs="Arial" w:eastAsia="Arial" w:hAnsi="Arial"/>
                <w:sz w:val="16"/>
                <w:szCs w:val="16"/>
                <w:color w:val="auto"/>
              </w:rPr>
              <w:t>(5)%</w:t>
            </w:r>
          </w:p>
        </w:tc>
        <w:tc>
          <w:tcPr>
            <w:tcW w:w="1080" w:type="dxa"/>
            <w:vAlign w:val="bottom"/>
          </w:tcPr>
          <w:p>
            <w:pPr>
              <w:jc w:val="right"/>
              <w:ind w:right="519"/>
              <w:spacing w:after="0"/>
              <w:rPr>
                <w:sz w:val="20"/>
                <w:szCs w:val="20"/>
                <w:color w:val="auto"/>
              </w:rPr>
            </w:pPr>
            <w:r>
              <w:rPr>
                <w:rFonts w:ascii="Arial" w:cs="Arial" w:eastAsia="Arial" w:hAnsi="Arial"/>
                <w:sz w:val="16"/>
                <w:szCs w:val="16"/>
                <w:color w:val="auto"/>
              </w:rPr>
              <w:t>4,078</w:t>
            </w:r>
          </w:p>
        </w:tc>
        <w:tc>
          <w:tcPr>
            <w:tcW w:w="880" w:type="dxa"/>
            <w:vAlign w:val="bottom"/>
          </w:tcPr>
          <w:p>
            <w:pPr>
              <w:jc w:val="center"/>
              <w:ind w:right="259"/>
              <w:spacing w:after="0"/>
              <w:rPr>
                <w:sz w:val="20"/>
                <w:szCs w:val="20"/>
                <w:color w:val="auto"/>
              </w:rPr>
            </w:pPr>
            <w:r>
              <w:rPr>
                <w:rFonts w:ascii="Arial" w:cs="Arial" w:eastAsia="Arial" w:hAnsi="Arial"/>
                <w:sz w:val="16"/>
                <w:szCs w:val="16"/>
                <w:color w:val="auto"/>
                <w:w w:val="94"/>
              </w:rPr>
              <w:t>7%</w:t>
            </w:r>
          </w:p>
        </w:tc>
      </w:tr>
      <w:tr>
        <w:trPr>
          <w:trHeight w:val="217"/>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left="319"/>
              <w:spacing w:after="0"/>
              <w:rPr>
                <w:sz w:val="20"/>
                <w:szCs w:val="20"/>
                <w:color w:val="auto"/>
              </w:rPr>
            </w:pPr>
            <w:r>
              <w:rPr>
                <w:rFonts w:ascii="Arial" w:cs="Arial" w:eastAsia="Arial" w:hAnsi="Arial"/>
                <w:sz w:val="16"/>
                <w:szCs w:val="16"/>
                <w:color w:val="auto"/>
                <w:w w:val="98"/>
              </w:rPr>
              <w:t>(47)%</w:t>
            </w:r>
          </w:p>
        </w:tc>
        <w:tc>
          <w:tcPr>
            <w:tcW w:w="820" w:type="dxa"/>
            <w:vAlign w:val="bottom"/>
            <w:shd w:val="clear" w:color="auto" w:fill="CFF0FC"/>
          </w:tcPr>
          <w:p>
            <w:pPr>
              <w:jc w:val="center"/>
              <w:ind w:left="559"/>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center"/>
              <w:spacing w:after="0"/>
              <w:rPr>
                <w:sz w:val="20"/>
                <w:szCs w:val="20"/>
                <w:color w:val="auto"/>
              </w:rPr>
            </w:pPr>
            <w:r>
              <w:rPr>
                <w:rFonts w:ascii="Arial" w:cs="Arial" w:eastAsia="Arial" w:hAnsi="Arial"/>
                <w:sz w:val="16"/>
                <w:szCs w:val="16"/>
                <w:color w:val="auto"/>
                <w:w w:val="98"/>
              </w:rPr>
              <w:t>(59)%</w:t>
            </w:r>
          </w:p>
        </w:tc>
        <w:tc>
          <w:tcPr>
            <w:tcW w:w="102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3,450</w:t>
            </w:r>
          </w:p>
        </w:tc>
        <w:tc>
          <w:tcPr>
            <w:tcW w:w="1060" w:type="dxa"/>
            <w:vAlign w:val="bottom"/>
            <w:shd w:val="clear" w:color="auto" w:fill="CFF0FC"/>
          </w:tcPr>
          <w:p>
            <w:pPr>
              <w:jc w:val="center"/>
              <w:ind w:right="399"/>
              <w:spacing w:after="0"/>
              <w:rPr>
                <w:sz w:val="20"/>
                <w:szCs w:val="20"/>
                <w:color w:val="auto"/>
              </w:rPr>
            </w:pPr>
            <w:r>
              <w:rPr>
                <w:rFonts w:ascii="Arial" w:cs="Arial" w:eastAsia="Arial" w:hAnsi="Arial"/>
                <w:sz w:val="16"/>
                <w:szCs w:val="16"/>
                <w:color w:val="auto"/>
                <w:w w:val="98"/>
              </w:rPr>
              <w:t>(19)%</w:t>
            </w:r>
          </w:p>
        </w:tc>
        <w:tc>
          <w:tcPr>
            <w:tcW w:w="108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3,867</w:t>
            </w:r>
          </w:p>
        </w:tc>
        <w:tc>
          <w:tcPr>
            <w:tcW w:w="88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w w:val="98"/>
              </w:rPr>
              <w:t>(10)%</w:t>
            </w:r>
          </w:p>
        </w:tc>
      </w:tr>
      <w:tr>
        <w:trPr>
          <w:trHeight w:val="216"/>
        </w:trPr>
        <w:tc>
          <w:tcPr>
            <w:tcW w:w="27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680" w:type="dxa"/>
            <w:vAlign w:val="bottom"/>
          </w:tcPr>
          <w:p>
            <w:pPr>
              <w:jc w:val="center"/>
              <w:ind w:left="17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100" w:type="dxa"/>
            <w:vAlign w:val="bottom"/>
            <w:gridSpan w:val="2"/>
          </w:tcPr>
          <w:p>
            <w:pPr>
              <w:jc w:val="center"/>
              <w:ind w:left="319"/>
              <w:spacing w:after="0"/>
              <w:rPr>
                <w:sz w:val="20"/>
                <w:szCs w:val="20"/>
                <w:color w:val="auto"/>
              </w:rPr>
            </w:pPr>
            <w:r>
              <w:rPr>
                <w:rFonts w:ascii="Arial" w:cs="Arial" w:eastAsia="Arial" w:hAnsi="Arial"/>
                <w:sz w:val="16"/>
                <w:szCs w:val="16"/>
                <w:color w:val="auto"/>
                <w:w w:val="98"/>
              </w:rPr>
              <w:t>(26)%</w:t>
            </w:r>
          </w:p>
        </w:tc>
        <w:tc>
          <w:tcPr>
            <w:tcW w:w="820" w:type="dxa"/>
            <w:vAlign w:val="bottom"/>
          </w:tcPr>
          <w:p>
            <w:pPr>
              <w:jc w:val="center"/>
              <w:ind w:left="539"/>
              <w:spacing w:after="0"/>
              <w:rPr>
                <w:sz w:val="20"/>
                <w:szCs w:val="20"/>
                <w:color w:val="auto"/>
              </w:rPr>
            </w:pPr>
            <w:r>
              <w:rPr>
                <w:rFonts w:ascii="Arial" w:cs="Arial" w:eastAsia="Arial" w:hAnsi="Arial"/>
                <w:sz w:val="16"/>
                <w:szCs w:val="16"/>
                <w:color w:val="auto"/>
                <w:w w:val="89"/>
              </w:rPr>
              <w:t>6</w:t>
            </w:r>
          </w:p>
        </w:tc>
        <w:tc>
          <w:tcPr>
            <w:tcW w:w="20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color w:val="auto"/>
                <w:w w:val="98"/>
              </w:rPr>
              <w:t>(78)%</w:t>
            </w:r>
          </w:p>
        </w:tc>
        <w:tc>
          <w:tcPr>
            <w:tcW w:w="1020" w:type="dxa"/>
            <w:vAlign w:val="bottom"/>
          </w:tcPr>
          <w:p>
            <w:pPr>
              <w:jc w:val="right"/>
              <w:ind w:right="499"/>
              <w:spacing w:after="0"/>
              <w:rPr>
                <w:sz w:val="20"/>
                <w:szCs w:val="20"/>
                <w:color w:val="auto"/>
              </w:rPr>
            </w:pPr>
            <w:r>
              <w:rPr>
                <w:rFonts w:ascii="Arial" w:cs="Arial" w:eastAsia="Arial" w:hAnsi="Arial"/>
                <w:sz w:val="16"/>
                <w:szCs w:val="16"/>
                <w:color w:val="auto"/>
              </w:rPr>
              <w:t>2,576</w:t>
            </w:r>
          </w:p>
        </w:tc>
        <w:tc>
          <w:tcPr>
            <w:tcW w:w="1060" w:type="dxa"/>
            <w:vAlign w:val="bottom"/>
          </w:tcPr>
          <w:p>
            <w:pPr>
              <w:jc w:val="center"/>
              <w:ind w:right="399"/>
              <w:spacing w:after="0"/>
              <w:rPr>
                <w:sz w:val="20"/>
                <w:szCs w:val="20"/>
                <w:color w:val="auto"/>
              </w:rPr>
            </w:pPr>
            <w:r>
              <w:rPr>
                <w:rFonts w:ascii="Arial" w:cs="Arial" w:eastAsia="Arial" w:hAnsi="Arial"/>
                <w:sz w:val="16"/>
                <w:szCs w:val="16"/>
                <w:color w:val="auto"/>
                <w:w w:val="98"/>
              </w:rPr>
              <w:t>(11)%</w:t>
            </w:r>
          </w:p>
        </w:tc>
        <w:tc>
          <w:tcPr>
            <w:tcW w:w="1080" w:type="dxa"/>
            <w:vAlign w:val="bottom"/>
          </w:tcPr>
          <w:p>
            <w:pPr>
              <w:jc w:val="right"/>
              <w:ind w:right="519"/>
              <w:spacing w:after="0"/>
              <w:rPr>
                <w:sz w:val="20"/>
                <w:szCs w:val="20"/>
                <w:color w:val="auto"/>
              </w:rPr>
            </w:pPr>
            <w:r>
              <w:rPr>
                <w:rFonts w:ascii="Arial" w:cs="Arial" w:eastAsia="Arial" w:hAnsi="Arial"/>
                <w:sz w:val="16"/>
                <w:szCs w:val="16"/>
                <w:color w:val="auto"/>
              </w:rPr>
              <w:t>2,749</w:t>
            </w:r>
          </w:p>
        </w:tc>
        <w:tc>
          <w:tcPr>
            <w:tcW w:w="880" w:type="dxa"/>
            <w:vAlign w:val="bottom"/>
          </w:tcPr>
          <w:p>
            <w:pPr>
              <w:jc w:val="center"/>
              <w:ind w:right="259"/>
              <w:spacing w:after="0"/>
              <w:rPr>
                <w:sz w:val="20"/>
                <w:szCs w:val="20"/>
                <w:color w:val="auto"/>
              </w:rPr>
            </w:pPr>
            <w:r>
              <w:rPr>
                <w:rFonts w:ascii="Arial" w:cs="Arial" w:eastAsia="Arial" w:hAnsi="Arial"/>
                <w:sz w:val="16"/>
                <w:szCs w:val="16"/>
                <w:color w:val="auto"/>
                <w:w w:val="94"/>
              </w:rPr>
              <w:t>6%</w:t>
            </w:r>
          </w:p>
        </w:tc>
      </w:tr>
      <w:tr>
        <w:trPr>
          <w:trHeight w:val="216"/>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left="319"/>
              <w:spacing w:after="0"/>
              <w:rPr>
                <w:sz w:val="20"/>
                <w:szCs w:val="20"/>
                <w:color w:val="auto"/>
              </w:rPr>
            </w:pPr>
            <w:r>
              <w:rPr>
                <w:rFonts w:ascii="Arial" w:cs="Arial" w:eastAsia="Arial" w:hAnsi="Arial"/>
                <w:sz w:val="16"/>
                <w:szCs w:val="16"/>
                <w:color w:val="auto"/>
                <w:w w:val="98"/>
              </w:rPr>
              <w:t>(65)%</w:t>
            </w:r>
          </w:p>
        </w:tc>
        <w:tc>
          <w:tcPr>
            <w:tcW w:w="820" w:type="dxa"/>
            <w:vAlign w:val="bottom"/>
            <w:shd w:val="clear" w:color="auto" w:fill="CFF0FC"/>
          </w:tcPr>
          <w:p>
            <w:pPr>
              <w:jc w:val="center"/>
              <w:ind w:left="559"/>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center"/>
              <w:spacing w:after="0"/>
              <w:rPr>
                <w:sz w:val="20"/>
                <w:szCs w:val="20"/>
                <w:color w:val="auto"/>
              </w:rPr>
            </w:pPr>
            <w:r>
              <w:rPr>
                <w:rFonts w:ascii="Arial" w:cs="Arial" w:eastAsia="Arial" w:hAnsi="Arial"/>
                <w:sz w:val="16"/>
                <w:szCs w:val="16"/>
                <w:color w:val="auto"/>
                <w:w w:val="98"/>
              </w:rPr>
              <w:t>(67)%</w:t>
            </w:r>
          </w:p>
        </w:tc>
        <w:tc>
          <w:tcPr>
            <w:tcW w:w="102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3,281</w:t>
            </w:r>
          </w:p>
        </w:tc>
        <w:tc>
          <w:tcPr>
            <w:tcW w:w="1060" w:type="dxa"/>
            <w:vAlign w:val="bottom"/>
            <w:shd w:val="clear" w:color="auto" w:fill="CFF0FC"/>
          </w:tcPr>
          <w:p>
            <w:pPr>
              <w:jc w:val="center"/>
              <w:ind w:right="399"/>
              <w:spacing w:after="0"/>
              <w:rPr>
                <w:sz w:val="20"/>
                <w:szCs w:val="20"/>
                <w:color w:val="auto"/>
              </w:rPr>
            </w:pPr>
            <w:r>
              <w:rPr>
                <w:rFonts w:ascii="Arial" w:cs="Arial" w:eastAsia="Arial" w:hAnsi="Arial"/>
                <w:sz w:val="16"/>
                <w:szCs w:val="16"/>
                <w:color w:val="auto"/>
                <w:w w:val="98"/>
              </w:rPr>
              <w:t>(12)%</w:t>
            </w:r>
          </w:p>
        </w:tc>
        <w:tc>
          <w:tcPr>
            <w:tcW w:w="108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3,591</w:t>
            </w:r>
          </w:p>
        </w:tc>
        <w:tc>
          <w:tcPr>
            <w:tcW w:w="88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(5)%</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680" w:type="dxa"/>
            <w:vAlign w:val="bottom"/>
          </w:tcPr>
          <w:p>
            <w:pPr>
              <w:jc w:val="center"/>
              <w:ind w:left="179"/>
              <w:spacing w:after="0"/>
              <w:rPr>
                <w:sz w:val="20"/>
                <w:szCs w:val="20"/>
                <w:color w:val="auto"/>
              </w:rPr>
            </w:pPr>
            <w:r>
              <w:rPr>
                <w:rFonts w:ascii="Arial" w:cs="Arial" w:eastAsia="Arial" w:hAnsi="Arial"/>
                <w:sz w:val="16"/>
                <w:szCs w:val="16"/>
                <w:color w:val="auto"/>
                <w:w w:val="97"/>
              </w:rPr>
              <w:t>132</w:t>
            </w:r>
          </w:p>
        </w:tc>
        <w:tc>
          <w:tcPr>
            <w:tcW w:w="120" w:type="dxa"/>
            <w:vAlign w:val="bottom"/>
          </w:tcPr>
          <w:p>
            <w:pPr>
              <w:spacing w:after="0"/>
              <w:rPr>
                <w:sz w:val="18"/>
                <w:szCs w:val="18"/>
                <w:color w:val="auto"/>
              </w:rPr>
            </w:pPr>
          </w:p>
        </w:tc>
        <w:tc>
          <w:tcPr>
            <w:tcW w:w="1100" w:type="dxa"/>
            <w:vAlign w:val="bottom"/>
            <w:gridSpan w:val="2"/>
          </w:tcPr>
          <w:p>
            <w:pPr>
              <w:jc w:val="center"/>
              <w:ind w:left="319"/>
              <w:spacing w:after="0"/>
              <w:rPr>
                <w:sz w:val="20"/>
                <w:szCs w:val="20"/>
                <w:color w:val="auto"/>
              </w:rPr>
            </w:pPr>
            <w:r>
              <w:rPr>
                <w:rFonts w:ascii="Arial" w:cs="Arial" w:eastAsia="Arial" w:hAnsi="Arial"/>
                <w:sz w:val="16"/>
                <w:szCs w:val="16"/>
                <w:color w:val="auto"/>
                <w:w w:val="98"/>
              </w:rPr>
              <w:t>(37)%</w:t>
            </w:r>
          </w:p>
        </w:tc>
        <w:tc>
          <w:tcPr>
            <w:tcW w:w="1020" w:type="dxa"/>
            <w:vAlign w:val="bottom"/>
            <w:gridSpan w:val="2"/>
          </w:tcPr>
          <w:p>
            <w:pPr>
              <w:jc w:val="center"/>
              <w:ind w:left="339"/>
              <w:spacing w:after="0"/>
              <w:rPr>
                <w:sz w:val="20"/>
                <w:szCs w:val="20"/>
                <w:color w:val="auto"/>
              </w:rPr>
            </w:pPr>
            <w:r>
              <w:rPr>
                <w:rFonts w:ascii="Arial" w:cs="Arial" w:eastAsia="Arial" w:hAnsi="Arial"/>
                <w:sz w:val="16"/>
                <w:szCs w:val="16"/>
                <w:color w:val="auto"/>
              </w:rPr>
              <w:t>180</w:t>
            </w:r>
          </w:p>
        </w:tc>
        <w:tc>
          <w:tcPr>
            <w:tcW w:w="62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6"/>
                <w:szCs w:val="16"/>
                <w:color w:val="auto"/>
              </w:rPr>
              <w:t>5%</w:t>
            </w:r>
          </w:p>
        </w:tc>
        <w:tc>
          <w:tcPr>
            <w:tcW w:w="660" w:type="dxa"/>
            <w:vAlign w:val="bottom"/>
          </w:tcPr>
          <w:p>
            <w:pPr>
              <w:spacing w:after="0"/>
              <w:rPr>
                <w:sz w:val="18"/>
                <w:szCs w:val="18"/>
                <w:color w:val="auto"/>
              </w:rPr>
            </w:pPr>
          </w:p>
        </w:tc>
        <w:tc>
          <w:tcPr>
            <w:tcW w:w="1020" w:type="dxa"/>
            <w:vAlign w:val="bottom"/>
          </w:tcPr>
          <w:p>
            <w:pPr>
              <w:jc w:val="right"/>
              <w:ind w:right="499"/>
              <w:spacing w:after="0"/>
              <w:rPr>
                <w:sz w:val="20"/>
                <w:szCs w:val="20"/>
                <w:color w:val="auto"/>
              </w:rPr>
            </w:pPr>
            <w:r>
              <w:rPr>
                <w:rFonts w:ascii="Arial" w:cs="Arial" w:eastAsia="Arial" w:hAnsi="Arial"/>
                <w:sz w:val="16"/>
                <w:szCs w:val="16"/>
                <w:color w:val="auto"/>
              </w:rPr>
              <w:t>4,384</w:t>
            </w:r>
          </w:p>
        </w:tc>
        <w:tc>
          <w:tcPr>
            <w:tcW w:w="1060" w:type="dxa"/>
            <w:vAlign w:val="bottom"/>
          </w:tcPr>
          <w:p>
            <w:pPr>
              <w:jc w:val="center"/>
              <w:ind w:right="399"/>
              <w:spacing w:after="0"/>
              <w:rPr>
                <w:sz w:val="20"/>
                <w:szCs w:val="20"/>
                <w:color w:val="auto"/>
              </w:rPr>
            </w:pPr>
            <w:r>
              <w:rPr>
                <w:rFonts w:ascii="Arial" w:cs="Arial" w:eastAsia="Arial" w:hAnsi="Arial"/>
                <w:sz w:val="16"/>
                <w:szCs w:val="16"/>
                <w:color w:val="auto"/>
              </w:rPr>
              <w:t>(6)%</w:t>
            </w:r>
          </w:p>
        </w:tc>
        <w:tc>
          <w:tcPr>
            <w:tcW w:w="1080" w:type="dxa"/>
            <w:vAlign w:val="bottom"/>
          </w:tcPr>
          <w:p>
            <w:pPr>
              <w:jc w:val="right"/>
              <w:ind w:right="519"/>
              <w:spacing w:after="0"/>
              <w:rPr>
                <w:sz w:val="20"/>
                <w:szCs w:val="20"/>
                <w:color w:val="auto"/>
              </w:rPr>
            </w:pPr>
            <w:r>
              <w:rPr>
                <w:rFonts w:ascii="Arial" w:cs="Arial" w:eastAsia="Arial" w:hAnsi="Arial"/>
                <w:sz w:val="16"/>
                <w:szCs w:val="16"/>
                <w:color w:val="auto"/>
              </w:rPr>
              <w:t>4,953</w:t>
            </w:r>
          </w:p>
        </w:tc>
        <w:tc>
          <w:tcPr>
            <w:tcW w:w="880" w:type="dxa"/>
            <w:vAlign w:val="bottom"/>
          </w:tcPr>
          <w:p>
            <w:pPr>
              <w:jc w:val="center"/>
              <w:ind w:right="239"/>
              <w:spacing w:after="0"/>
              <w:rPr>
                <w:sz w:val="20"/>
                <w:szCs w:val="20"/>
                <w:color w:val="auto"/>
              </w:rPr>
            </w:pPr>
            <w:r>
              <w:rPr>
                <w:rFonts w:ascii="Arial" w:cs="Arial" w:eastAsia="Arial" w:hAnsi="Arial"/>
                <w:sz w:val="16"/>
                <w:szCs w:val="16"/>
                <w:color w:val="auto"/>
                <w:w w:val="99"/>
              </w:rPr>
              <w:t>14%</w:t>
            </w:r>
          </w:p>
        </w:tc>
      </w:tr>
      <w:tr>
        <w:trPr>
          <w:trHeight w:val="217"/>
        </w:trPr>
        <w:tc>
          <w:tcPr>
            <w:tcW w:w="2700" w:type="dxa"/>
            <w:vAlign w:val="bottom"/>
            <w:shd w:val="clear" w:color="auto" w:fill="CFF0FC"/>
          </w:tcPr>
          <w:p>
            <w:pPr>
              <w:ind w:left="12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left="319"/>
              <w:spacing w:after="0"/>
              <w:rPr>
                <w:sz w:val="20"/>
                <w:szCs w:val="20"/>
                <w:color w:val="auto"/>
              </w:rPr>
            </w:pPr>
            <w:r>
              <w:rPr>
                <w:rFonts w:ascii="Arial" w:cs="Arial" w:eastAsia="Arial" w:hAnsi="Arial"/>
                <w:sz w:val="16"/>
                <w:szCs w:val="16"/>
                <w:color w:val="auto"/>
                <w:w w:val="98"/>
              </w:rPr>
              <w:t>(43)%</w:t>
            </w:r>
          </w:p>
        </w:tc>
        <w:tc>
          <w:tcPr>
            <w:tcW w:w="820" w:type="dxa"/>
            <w:vAlign w:val="bottom"/>
            <w:shd w:val="clear" w:color="auto" w:fill="CFF0FC"/>
          </w:tcPr>
          <w:p>
            <w:pPr>
              <w:jc w:val="center"/>
              <w:ind w:left="559"/>
              <w:spacing w:after="0"/>
              <w:rPr>
                <w:sz w:val="20"/>
                <w:szCs w:val="20"/>
                <w:color w:val="auto"/>
              </w:rPr>
            </w:pPr>
            <w:r>
              <w:rPr>
                <w:rFonts w:ascii="Arial" w:cs="Arial" w:eastAsia="Arial" w:hAnsi="Arial"/>
                <w:sz w:val="16"/>
                <w:szCs w:val="16"/>
                <w:color w:val="auto"/>
              </w:rPr>
              <w:t>56</w:t>
            </w:r>
          </w:p>
        </w:tc>
        <w:tc>
          <w:tcPr>
            <w:tcW w:w="20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center"/>
              <w:spacing w:after="0"/>
              <w:rPr>
                <w:sz w:val="20"/>
                <w:szCs w:val="20"/>
                <w:color w:val="auto"/>
              </w:rPr>
            </w:pPr>
            <w:r>
              <w:rPr>
                <w:rFonts w:ascii="Arial" w:cs="Arial" w:eastAsia="Arial" w:hAnsi="Arial"/>
                <w:sz w:val="16"/>
                <w:szCs w:val="16"/>
                <w:color w:val="auto"/>
                <w:w w:val="98"/>
              </w:rPr>
              <w:t>(35)%</w:t>
            </w:r>
          </w:p>
        </w:tc>
        <w:tc>
          <w:tcPr>
            <w:tcW w:w="102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3,502</w:t>
            </w:r>
          </w:p>
        </w:tc>
        <w:tc>
          <w:tcPr>
            <w:tcW w:w="1060" w:type="dxa"/>
            <w:vAlign w:val="bottom"/>
            <w:shd w:val="clear" w:color="auto" w:fill="CFF0FC"/>
          </w:tcPr>
          <w:p>
            <w:pPr>
              <w:jc w:val="center"/>
              <w:ind w:right="399"/>
              <w:spacing w:after="0"/>
              <w:rPr>
                <w:sz w:val="20"/>
                <w:szCs w:val="20"/>
                <w:color w:val="auto"/>
              </w:rPr>
            </w:pPr>
            <w:r>
              <w:rPr>
                <w:rFonts w:ascii="Arial" w:cs="Arial" w:eastAsia="Arial" w:hAnsi="Arial"/>
                <w:sz w:val="16"/>
                <w:szCs w:val="16"/>
                <w:color w:val="auto"/>
                <w:w w:val="98"/>
              </w:rPr>
              <w:t>(11)%</w:t>
            </w:r>
          </w:p>
        </w:tc>
        <w:tc>
          <w:tcPr>
            <w:tcW w:w="108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3,926</w:t>
            </w:r>
          </w:p>
        </w:tc>
        <w:tc>
          <w:tcPr>
            <w:tcW w:w="88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w w:val="94"/>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5" w:lineRule="exact"/>
        <w:rPr>
          <w:rFonts w:ascii="Arial" w:cs="Arial" w:eastAsia="Arial" w:hAnsi="Arial"/>
          <w:sz w:val="14"/>
          <w:szCs w:val="14"/>
          <w:color w:val="auto"/>
        </w:rPr>
      </w:pPr>
    </w:p>
    <w:p>
      <w:pPr>
        <w:ind w:left="520" w:right="340" w:hanging="512"/>
        <w:spacing w:after="0" w:line="239"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35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972"/>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Corporate and Other</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0"/>
        </w:trPr>
        <w:tc>
          <w:tcPr>
            <w:tcW w:w="7440" w:type="dxa"/>
            <w:vAlign w:val="bottom"/>
            <w:gridSpan w:val="8"/>
          </w:tcPr>
          <w:p>
            <w:pPr>
              <w:spacing w:after="0"/>
              <w:rPr>
                <w:sz w:val="20"/>
                <w:szCs w:val="20"/>
                <w:color w:val="auto"/>
              </w:rPr>
            </w:pPr>
            <w:r>
              <w:rPr>
                <w:rFonts w:ascii="Arial" w:cs="Arial" w:eastAsia="Arial" w:hAnsi="Arial"/>
                <w:sz w:val="16"/>
                <w:szCs w:val="16"/>
                <w:color w:val="auto"/>
              </w:rPr>
              <w:t>Corporate and Other operating results, including inter-segment eliminations,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3"/>
        </w:trPr>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24"/>
                <w:szCs w:val="24"/>
                <w:color w:val="auto"/>
              </w:rPr>
            </w:pPr>
          </w:p>
        </w:tc>
        <w:tc>
          <w:tcPr>
            <w:tcW w:w="348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13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gridSpan w:val="3"/>
          </w:tcPr>
          <w:p>
            <w:pPr>
              <w:jc w:val="center"/>
              <w:ind w:left="879"/>
              <w:spacing w:after="0"/>
              <w:rPr>
                <w:sz w:val="20"/>
                <w:szCs w:val="20"/>
                <w:color w:val="auto"/>
              </w:rPr>
            </w:pPr>
            <w:r>
              <w:rPr>
                <w:rFonts w:ascii="Arial" w:cs="Arial" w:eastAsia="Arial" w:hAnsi="Arial"/>
                <w:sz w:val="16"/>
                <w:szCs w:val="16"/>
                <w:b w:val="1"/>
                <w:bCs w:val="1"/>
                <w:color w:val="auto"/>
              </w:rPr>
              <w:t>2024 vs 2023</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Variance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Variance</w:t>
            </w:r>
          </w:p>
        </w:tc>
      </w:tr>
      <w:tr>
        <w:trPr>
          <w:trHeight w:val="209"/>
        </w:trPr>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50"/>
        </w:trPr>
        <w:tc>
          <w:tcPr>
            <w:tcW w:w="35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(0.2 ) $</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(0.6 ) $</w:t>
            </w:r>
          </w:p>
        </w:tc>
        <w:tc>
          <w:tcPr>
            <w:tcW w:w="11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(0.8 ) $</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(2.2 ) $</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r>
      <w:tr>
        <w:trPr>
          <w:trHeight w:val="332"/>
        </w:trPr>
        <w:tc>
          <w:tcPr>
            <w:tcW w:w="744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rPr>
              <w:t>Three Months Ended September 30, 2024, Compared to the Three Months Ended September 30, 2023:</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6"/>
        </w:trPr>
        <w:tc>
          <w:tcPr>
            <w:tcW w:w="5080" w:type="dxa"/>
            <w:vAlign w:val="bottom"/>
            <w:gridSpan w:val="5"/>
          </w:tcPr>
          <w:p>
            <w:pPr>
              <w:spacing w:after="0"/>
              <w:rPr>
                <w:sz w:val="20"/>
                <w:szCs w:val="20"/>
                <w:color w:val="auto"/>
              </w:rPr>
            </w:pPr>
            <w:r>
              <w:rPr>
                <w:rFonts w:ascii="Arial" w:cs="Arial" w:eastAsia="Arial" w:hAnsi="Arial"/>
                <w:sz w:val="16"/>
                <w:szCs w:val="16"/>
                <w:color w:val="auto"/>
              </w:rPr>
              <w:t>Operating loss was comparable to the same period in the prior year.</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0"/>
        </w:trPr>
        <w:tc>
          <w:tcPr>
            <w:tcW w:w="7440" w:type="dxa"/>
            <w:vAlign w:val="bottom"/>
            <w:gridSpan w:val="8"/>
          </w:tcPr>
          <w:p>
            <w:pPr>
              <w:spacing w:after="0"/>
              <w:rPr>
                <w:sz w:val="20"/>
                <w:szCs w:val="20"/>
                <w:color w:val="auto"/>
              </w:rPr>
            </w:pPr>
            <w:r>
              <w:rPr>
                <w:rFonts w:ascii="Arial" w:cs="Arial" w:eastAsia="Arial" w:hAnsi="Arial"/>
                <w:sz w:val="16"/>
                <w:szCs w:val="16"/>
                <w:color w:val="auto"/>
              </w:rPr>
              <w:t>Nine Months Ended September 30, 2024, Compared to the Nine Months Ended September 30, 2023:</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6"/>
        </w:trPr>
        <w:tc>
          <w:tcPr>
            <w:tcW w:w="508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Operating loss was comparable to the same period in the prior year.</w:t>
            </w:r>
          </w:p>
        </w:tc>
        <w:tc>
          <w:tcPr>
            <w:tcW w:w="1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75"/>
        </w:trPr>
        <w:tc>
          <w:tcPr>
            <w:tcW w:w="6320" w:type="dxa"/>
            <w:vAlign w:val="bottom"/>
            <w:gridSpan w:val="6"/>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85"/>
        </w:trPr>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24"/>
                <w:szCs w:val="24"/>
                <w:color w:val="auto"/>
              </w:rPr>
            </w:pPr>
          </w:p>
        </w:tc>
        <w:tc>
          <w:tcPr>
            <w:tcW w:w="348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13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2024 vs 2023</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8"/>
              </w:rPr>
              <w:t>Variance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3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(45.2 ) $</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(41.0 ) $</w:t>
            </w:r>
          </w:p>
        </w:tc>
        <w:tc>
          <w:tcPr>
            <w:tcW w:w="144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(4.2 ) $</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(131.9 ) $</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(126.0 ) $</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(5.9 )</w:t>
            </w:r>
          </w:p>
        </w:tc>
      </w:tr>
      <w:tr>
        <w:trPr>
          <w:trHeight w:val="215"/>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(1.3 )</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(0.6 )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3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(1.7 )</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(1.5 )</w:t>
            </w:r>
          </w:p>
        </w:tc>
        <w:tc>
          <w:tcPr>
            <w:tcW w:w="128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7"/>
        </w:trPr>
        <w:tc>
          <w:tcPr>
            <w:tcW w:w="3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(2.9 )</w:t>
            </w:r>
          </w:p>
        </w:tc>
        <w:tc>
          <w:tcPr>
            <w:tcW w:w="12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(7.4 )</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(23.6 )</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(16.0 )</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2024, Compared to the Three Months Ended September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primarily due to higher interest rates partially offset by increased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decreased primarily due to lower pre-tax income. For the three months ended September 30, 2024, the effective tax rate was 10.0% compared to 13.1% for the same period in 2023. The lower effective tax rate was primarily driven by favorable return-to-accrual adjustments.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2024, Compared to the Nine Months Ended September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primarily due to higher interest rates partially offset by increased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increased primarily due to a higher effective tax rate. For the nine months ended September 30, 2024, the effective tax rate was 11.4% compared to 7.6% for the same period in 2023. The higher effective tax rate was primarily driven by a prior-year $8.2 million tax benefit from a Nebraska income tax rate decrease.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nine months ended September 30,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85"/>
        </w:trPr>
        <w:tc>
          <w:tcPr>
            <w:tcW w:w="6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5"/>
          </w:tcPr>
          <w:p>
            <w:pPr>
              <w:jc w:val="center"/>
              <w:ind w:right="103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6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6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6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0"/>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192.7</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(10.1 )</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Non-cash adjustments to Net income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44.3</w:t>
            </w:r>
          </w:p>
        </w:tc>
      </w:tr>
      <w:tr>
        <w:trPr>
          <w:trHeight w:val="209"/>
        </w:trPr>
        <w:tc>
          <w:tcPr>
            <w:tcW w:w="6340" w:type="dxa"/>
            <w:vAlign w:val="bottom"/>
            <w:tcBorders>
              <w:bottom w:val="single" w:sz="8" w:color="CCF0FC"/>
            </w:tcBorders>
            <w:shd w:val="clear" w:color="auto" w:fill="CCF0FC"/>
          </w:tcPr>
          <w:p>
            <w:pPr>
              <w:ind w:left="120"/>
              <w:spacing w:after="0"/>
              <w:rPr>
                <w:sz w:val="20"/>
                <w:szCs w:val="20"/>
                <w:color w:val="auto"/>
              </w:rPr>
            </w:pPr>
            <w:r>
              <w:rPr>
                <w:rFonts w:ascii="Arial" w:cs="Arial" w:eastAsia="Arial" w:hAnsi="Arial"/>
                <w:sz w:val="16"/>
                <w:szCs w:val="16"/>
                <w:color w:val="auto"/>
              </w:rPr>
              <w:t>Total earnings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447.5</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413.3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34.2</w:t>
            </w:r>
          </w:p>
        </w:tc>
      </w:tr>
      <w:tr>
        <w:trPr>
          <w:trHeight w:val="209"/>
        </w:trPr>
        <w:tc>
          <w:tcPr>
            <w:tcW w:w="6340" w:type="dxa"/>
            <w:vAlign w:val="bottom"/>
          </w:tcPr>
          <w:p>
            <w:pPr>
              <w:ind w:left="20"/>
              <w:spacing w:after="0"/>
              <w:rPr>
                <w:sz w:val="20"/>
                <w:szCs w:val="20"/>
                <w:color w:val="auto"/>
              </w:rPr>
            </w:pPr>
            <w:r>
              <w:rPr>
                <w:rFonts w:ascii="Arial" w:cs="Arial" w:eastAsia="Arial" w:hAnsi="Arial"/>
                <w:sz w:val="16"/>
                <w:szCs w:val="16"/>
                <w:color w:val="auto"/>
              </w:rPr>
              <w:t>Changes in certain operating assets and liabilities: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6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Materials, supplies and fuel, Accounts receivable and other current assets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134.8</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346.3</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(211.5 )</w:t>
            </w:r>
          </w:p>
        </w:tc>
      </w:tr>
      <w:tr>
        <w:trPr>
          <w:trHeight w:val="215"/>
        </w:trPr>
        <w:tc>
          <w:tcPr>
            <w:tcW w:w="6340" w:type="dxa"/>
            <w:vAlign w:val="bottom"/>
          </w:tcPr>
          <w:p>
            <w:pPr>
              <w:ind w:left="200"/>
              <w:spacing w:after="0"/>
              <w:rPr>
                <w:sz w:val="20"/>
                <w:szCs w:val="20"/>
                <w:color w:val="auto"/>
              </w:rPr>
            </w:pPr>
            <w:r>
              <w:rPr>
                <w:rFonts w:ascii="Arial" w:cs="Arial" w:eastAsia="Arial" w:hAnsi="Arial"/>
                <w:sz w:val="16"/>
                <w:szCs w:val="16"/>
                <w:color w:val="auto"/>
              </w:rPr>
              <w:t>Accounts payable and other current liabilities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(61.8 )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(186.5 )</w:t>
            </w:r>
          </w:p>
        </w:tc>
        <w:tc>
          <w:tcPr>
            <w:tcW w:w="20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124.7</w:t>
            </w:r>
          </w:p>
        </w:tc>
      </w:tr>
      <w:tr>
        <w:trPr>
          <w:trHeight w:val="217"/>
        </w:trPr>
        <w:tc>
          <w:tcPr>
            <w:tcW w:w="6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Regulatory assets</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61.6</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199.1</w:t>
            </w: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(137.5 )</w:t>
            </w:r>
          </w:p>
        </w:tc>
      </w:tr>
      <w:tr>
        <w:trPr>
          <w:trHeight w:val="209"/>
        </w:trPr>
        <w:tc>
          <w:tcPr>
            <w:tcW w:w="6340" w:type="dxa"/>
            <w:vAlign w:val="bottom"/>
          </w:tcPr>
          <w:p>
            <w:pPr>
              <w:ind w:left="120"/>
              <w:spacing w:after="0"/>
              <w:rPr>
                <w:sz w:val="20"/>
                <w:szCs w:val="20"/>
                <w:color w:val="auto"/>
              </w:rPr>
            </w:pPr>
            <w:r>
              <w:rPr>
                <w:rFonts w:ascii="Arial" w:cs="Arial" w:eastAsia="Arial" w:hAnsi="Arial"/>
                <w:sz w:val="16"/>
                <w:szCs w:val="16"/>
                <w:color w:val="auto"/>
              </w:rPr>
              <w:t>Net inflow from changes in certain operating assets and liabilities</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(224.3 )</w:t>
            </w:r>
          </w:p>
        </w:tc>
      </w:tr>
      <w:tr>
        <w:trPr>
          <w:trHeight w:val="209"/>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operating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(16.0 )</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(16.2 )</w:t>
            </w: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0.2</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566.1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(189.9 )</w:t>
            </w:r>
          </w:p>
        </w:tc>
      </w:tr>
      <w:tr>
        <w:trPr>
          <w:trHeight w:val="20"/>
        </w:trPr>
        <w:tc>
          <w:tcPr>
            <w:tcW w:w="6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2024, Compared to the Nine Months Ended September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$189.9 million lower than the same period in 2023. The variance to the prior year was primarily attributable to:</w:t>
      </w:r>
    </w:p>
    <w:p>
      <w:pPr>
        <w:spacing w:after="0" w:line="194" w:lineRule="exact"/>
        <w:rPr>
          <w:sz w:val="20"/>
          <w:szCs w:val="20"/>
          <w:color w:val="auto"/>
        </w:rPr>
      </w:pPr>
    </w:p>
    <w:p>
      <w:pPr>
        <w:jc w:val="both"/>
        <w:ind w:left="1020" w:right="20" w:hanging="503"/>
        <w:spacing w:after="0" w:line="285" w:lineRule="auto"/>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$34.2 million higher for the nine months ended September 30, 2024, compared to the same period in the prior year primarily due to increased Electric and Gas Utility margins driven by new rates and increased rider revenues.</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certain operating assets and liabilities were $224.3 million lower, primarily attributable to:</w:t>
      </w:r>
    </w:p>
    <w:p>
      <w:pPr>
        <w:spacing w:after="0" w:line="206" w:lineRule="exact"/>
        <w:rPr>
          <w:rFonts w:ascii="Times New Roman" w:cs="Times New Roman" w:eastAsia="Times New Roman" w:hAnsi="Times New Roman"/>
          <w:sz w:val="16"/>
          <w:szCs w:val="16"/>
          <w:color w:val="auto"/>
        </w:rPr>
      </w:pPr>
    </w:p>
    <w:p>
      <w:pPr>
        <w:ind w:left="1540" w:right="360" w:hanging="514"/>
        <w:spacing w:after="0" w:line="285" w:lineRule="auto"/>
        <w:tabs>
          <w:tab w:leader="none" w:pos="1540" w:val="left"/>
        </w:tabs>
        <w:numPr>
          <w:ilvl w:val="1"/>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$211.5 million as a result of changes in materials, supplies, fuel, accounts receivable, and other current assets primarily driven by fluctuations in commodity prices and weather conditions;</w:t>
      </w:r>
    </w:p>
    <w:p>
      <w:pPr>
        <w:spacing w:after="0" w:line="129" w:lineRule="exact"/>
        <w:rPr>
          <w:rFonts w:ascii="Times New Roman" w:cs="Times New Roman" w:eastAsia="Times New Roman" w:hAnsi="Times New Roman"/>
          <w:sz w:val="16"/>
          <w:szCs w:val="16"/>
          <w:color w:val="auto"/>
        </w:rPr>
      </w:pPr>
    </w:p>
    <w:p>
      <w:pPr>
        <w:ind w:left="1540" w:right="560" w:hanging="514"/>
        <w:spacing w:after="0" w:line="266" w:lineRule="auto"/>
        <w:tabs>
          <w:tab w:leader="none" w:pos="1540" w:val="left"/>
        </w:tabs>
        <w:numPr>
          <w:ilvl w:val="1"/>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by $124.7 million as a result of changes in accounts payable and accrued liabilities primarily driven by fluctuations in commodity prices, payment timing of natural gas and power purchases, and changes in other working capital requirements; and</w:t>
      </w:r>
    </w:p>
    <w:p>
      <w:pPr>
        <w:spacing w:after="0" w:line="143" w:lineRule="exact"/>
        <w:rPr>
          <w:rFonts w:ascii="Times New Roman" w:cs="Times New Roman" w:eastAsia="Times New Roman" w:hAnsi="Times New Roman"/>
          <w:sz w:val="16"/>
          <w:szCs w:val="16"/>
          <w:color w:val="auto"/>
        </w:rPr>
      </w:pPr>
    </w:p>
    <w:p>
      <w:pPr>
        <w:ind w:left="1540" w:right="20" w:hanging="514"/>
        <w:spacing w:after="0" w:line="266" w:lineRule="auto"/>
        <w:tabs>
          <w:tab w:leader="none" w:pos="1540" w:val="left"/>
        </w:tabs>
        <w:numPr>
          <w:ilvl w:val="1"/>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$137.5 million as a result of changes in our regulatory assets and liabilities primarily due to lower recoveries of deferred gas and fuel cost adjustments driven by fluctuations in commodity prices and lower recoveries of Winter Storm Uri costs from customers.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63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93"/>
        </w:trPr>
        <w:tc>
          <w:tcPr>
            <w:tcW w:w="6340" w:type="dxa"/>
            <w:vAlign w:val="bottom"/>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85"/>
        </w:trPr>
        <w:tc>
          <w:tcPr>
            <w:tcW w:w="13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3"/>
          </w:tcPr>
          <w:p>
            <w:pPr>
              <w:jc w:val="center"/>
              <w:ind w:right="103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13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138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13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color w:val="auto"/>
              </w:rPr>
              <w:t>(in millions)</w:t>
            </w:r>
          </w:p>
        </w:tc>
        <w:tc>
          <w:tcPr>
            <w:tcW w:w="1440" w:type="dxa"/>
            <w:vAlign w:val="bottom"/>
            <w:tcBorders>
              <w:bottom w:val="single" w:sz="8" w:color="auto"/>
            </w:tcBorders>
          </w:tcPr>
          <w:p>
            <w:pPr>
              <w:spacing w:after="0"/>
              <w:rPr>
                <w:sz w:val="18"/>
                <w:szCs w:val="18"/>
                <w:color w:val="auto"/>
              </w:rPr>
            </w:pPr>
          </w:p>
        </w:tc>
      </w:tr>
      <w:tr>
        <w:trPr>
          <w:trHeight w:val="210"/>
        </w:trPr>
        <w:tc>
          <w:tcPr>
            <w:tcW w:w="63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(530.5 ) $</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(421.8 ) $</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(108.7 )</w:t>
            </w:r>
          </w:p>
        </w:tc>
      </w:tr>
      <w:tr>
        <w:trPr>
          <w:trHeight w:val="215"/>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Other investing activities</w:t>
            </w: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(1.5 )</w:t>
            </w: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18.0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(19.5 )</w:t>
            </w:r>
          </w:p>
        </w:tc>
      </w:tr>
      <w:tr>
        <w:trPr>
          <w:trHeight w:val="250"/>
        </w:trPr>
        <w:tc>
          <w:tcPr>
            <w:tcW w:w="6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(532.0 ) $</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(403.8 ) $</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(128.2 )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2024, Compared to the Nine Months Ended September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$128.2 million higher than the same period in 2023. The variance to the prior year was primarily attributable to:</w:t>
      </w:r>
    </w:p>
    <w:p>
      <w:pPr>
        <w:spacing w:after="0" w:line="194" w:lineRule="exact"/>
        <w:rPr>
          <w:sz w:val="20"/>
          <w:szCs w:val="20"/>
          <w:color w:val="auto"/>
        </w:rPr>
      </w:pPr>
    </w:p>
    <w:p>
      <w:pPr>
        <w:ind w:left="1020" w:right="100" w:hanging="503"/>
        <w:spacing w:after="0" w:line="266" w:lineRule="auto"/>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$108.7 million as a result of higher capital expenditures which were primarily driven by Wyoming Electric's Ready Wyoming electric transmission expansion project and Black Hills Energy Renewable Resources' acquisition of a RNG production facility at a landfill in Dubuque, Iowa; and</w:t>
      </w:r>
    </w:p>
    <w:p>
      <w:pPr>
        <w:spacing w:after="0" w:line="143" w:lineRule="exact"/>
        <w:rPr>
          <w:rFonts w:ascii="Times New Roman" w:cs="Times New Roman" w:eastAsia="Times New Roman" w:hAnsi="Times New Roman"/>
          <w:sz w:val="16"/>
          <w:szCs w:val="16"/>
          <w:color w:val="auto"/>
        </w:rPr>
      </w:pPr>
    </w:p>
    <w:p>
      <w:pPr>
        <w:ind w:left="1020" w:right="460" w:hanging="503"/>
        <w:spacing w:after="0" w:line="285" w:lineRule="auto"/>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$19.5 million for other investing activities primarily due to prior year proceeds from the sale of Northern Iowa Windpower assets.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85"/>
        </w:trPr>
        <w:tc>
          <w:tcPr>
            <w:tcW w:w="6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4"/>
          </w:tcPr>
          <w:p>
            <w:pPr>
              <w:jc w:val="center"/>
              <w:ind w:right="103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6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6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6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0"/>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 on common stock</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(135.8 ) $</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(125.4 ) $</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(10.4 )</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Common stock issued</w:t>
            </w:r>
          </w:p>
        </w:tc>
        <w:tc>
          <w:tcPr>
            <w:tcW w:w="100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181.6</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107.4</w:t>
            </w:r>
          </w:p>
        </w:tc>
        <w:tc>
          <w:tcPr>
            <w:tcW w:w="20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74.2</w:t>
            </w:r>
          </w:p>
        </w:tc>
      </w:tr>
      <w:tr>
        <w:trPr>
          <w:trHeight w:val="217"/>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and long-term debt borrowings (repayments), net</w:t>
            </w: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(132.5 )</w:t>
            </w: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264.4</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(396.9 )</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100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(12.5 )</w:t>
            </w:r>
          </w:p>
        </w:tc>
        <w:tc>
          <w:tcPr>
            <w:tcW w:w="1380" w:type="dxa"/>
            <w:vAlign w:val="bottom"/>
          </w:tcPr>
          <w:p>
            <w:pPr>
              <w:jc w:val="right"/>
              <w:spacing w:after="0"/>
              <w:rPr>
                <w:sz w:val="20"/>
                <w:szCs w:val="20"/>
                <w:color w:val="auto"/>
              </w:rPr>
            </w:pPr>
            <w:r>
              <w:rPr>
                <w:rFonts w:ascii="Arial" w:cs="Arial" w:eastAsia="Arial" w:hAnsi="Arial"/>
                <w:sz w:val="16"/>
                <w:szCs w:val="16"/>
                <w:color w:val="auto"/>
              </w:rPr>
              <w:t>(12.9 )</w:t>
            </w:r>
          </w:p>
        </w:tc>
        <w:tc>
          <w:tcPr>
            <w:tcW w:w="20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21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financing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(8.3 )</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(12.2 )</w:t>
            </w: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(107.5 ) $</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(328.8 )</w:t>
            </w:r>
          </w:p>
        </w:tc>
      </w:tr>
      <w:tr>
        <w:trPr>
          <w:trHeight w:val="20"/>
        </w:trPr>
        <w:tc>
          <w:tcPr>
            <w:tcW w:w="6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2024, Compared to the Nine Months Ended September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$328.8 million higher than the same period in 2023. The variance to the prior year was primarily attributable to:</w:t>
      </w:r>
    </w:p>
    <w:p>
      <w:pPr>
        <w:spacing w:after="0" w:line="19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$10.4 million due to increased dividends paid on common stock;</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$74.2 million due to higher issuances of common stock;</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$396.9 million as a result of repayments of debt in excess of proceeds from debt offerings; and</w:t>
      </w:r>
    </w:p>
    <w:p>
      <w:pPr>
        <w:spacing w:after="0" w:line="206"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$3.9 million for other financing activities due to lower financing costs from the May 16, 2024, debt offering compared to the March 7, 2023 and September 15, 2023 debt offerings.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financing updates and financial covenants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the issuance of common stock under our ATM program or in an opportunistic block trade.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September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508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b w:val="1"/>
                <w:bCs w:val="1"/>
                <w:color w:val="auto"/>
              </w:rPr>
              <w:t>Senior Unsecured Rating</w:t>
            </w:r>
          </w:p>
        </w:tc>
        <w:tc>
          <w:tcPr>
            <w:tcW w:w="27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Outlook</w:t>
            </w:r>
          </w:p>
        </w:tc>
      </w:tr>
      <w:tr>
        <w:trPr>
          <w:trHeight w:val="209"/>
        </w:trPr>
        <w:tc>
          <w:tcPr>
            <w:tcW w:w="342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5080" w:type="dxa"/>
            <w:vAlign w:val="bottom"/>
            <w:shd w:val="clear" w:color="auto" w:fill="CFF0FC"/>
          </w:tcPr>
          <w:p>
            <w:pPr>
              <w:jc w:val="center"/>
              <w:ind w:left="1299"/>
              <w:spacing w:after="0"/>
              <w:rPr>
                <w:sz w:val="20"/>
                <w:szCs w:val="20"/>
                <w:color w:val="auto"/>
              </w:rPr>
            </w:pPr>
            <w:r>
              <w:rPr>
                <w:rFonts w:ascii="Arial" w:cs="Arial" w:eastAsia="Arial" w:hAnsi="Arial"/>
                <w:sz w:val="16"/>
                <w:szCs w:val="16"/>
                <w:color w:val="auto"/>
              </w:rPr>
              <w:t>BBB+</w:t>
            </w:r>
          </w:p>
        </w:tc>
        <w:tc>
          <w:tcPr>
            <w:tcW w:w="2740" w:type="dxa"/>
            <w:vAlign w:val="bottom"/>
            <w:shd w:val="clear" w:color="auto" w:fill="CFF0FC"/>
          </w:tcPr>
          <w:p>
            <w:pPr>
              <w:jc w:val="center"/>
              <w:ind w:right="239"/>
              <w:spacing w:after="0"/>
              <w:rPr>
                <w:sz w:val="20"/>
                <w:szCs w:val="20"/>
                <w:color w:val="auto"/>
              </w:rPr>
            </w:pPr>
            <w:r>
              <w:rPr>
                <w:rFonts w:ascii="Arial" w:cs="Arial" w:eastAsia="Arial" w:hAnsi="Arial"/>
                <w:sz w:val="16"/>
                <w:szCs w:val="16"/>
                <w:color w:val="auto"/>
              </w:rPr>
              <w:t>Stable</w:t>
            </w:r>
          </w:p>
        </w:tc>
      </w:tr>
      <w:tr>
        <w:trPr>
          <w:trHeight w:val="215"/>
        </w:trPr>
        <w:tc>
          <w:tcPr>
            <w:tcW w:w="3420" w:type="dxa"/>
            <w:vAlign w:val="bottom"/>
          </w:tcPr>
          <w:p>
            <w:pPr>
              <w:ind w:left="20"/>
              <w:spacing w:after="0"/>
              <w:rPr>
                <w:sz w:val="20"/>
                <w:szCs w:val="20"/>
                <w:color w:val="auto"/>
              </w:rPr>
            </w:pPr>
            <w:r>
              <w:rPr>
                <w:rFonts w:ascii="Arial" w:cs="Arial" w:eastAsia="Arial" w:hAnsi="Arial"/>
                <w:sz w:val="16"/>
                <w:szCs w:val="16"/>
                <w:color w:val="auto"/>
              </w:rPr>
              <w:t>Moody's</w:t>
            </w:r>
          </w:p>
        </w:tc>
        <w:tc>
          <w:tcPr>
            <w:tcW w:w="5080" w:type="dxa"/>
            <w:vAlign w:val="bottom"/>
          </w:tcPr>
          <w:p>
            <w:pPr>
              <w:jc w:val="center"/>
              <w:ind w:left="1299"/>
              <w:spacing w:after="0"/>
              <w:rPr>
                <w:sz w:val="20"/>
                <w:szCs w:val="20"/>
                <w:color w:val="auto"/>
              </w:rPr>
            </w:pPr>
            <w:r>
              <w:rPr>
                <w:rFonts w:ascii="Arial" w:cs="Arial" w:eastAsia="Arial" w:hAnsi="Arial"/>
                <w:sz w:val="16"/>
                <w:szCs w:val="16"/>
                <w:color w:val="auto"/>
              </w:rPr>
              <w:t>Baa2</w:t>
            </w:r>
          </w:p>
        </w:tc>
        <w:tc>
          <w:tcPr>
            <w:tcW w:w="2740" w:type="dxa"/>
            <w:vAlign w:val="bottom"/>
          </w:tcPr>
          <w:p>
            <w:pPr>
              <w:jc w:val="center"/>
              <w:ind w:right="239"/>
              <w:spacing w:after="0"/>
              <w:rPr>
                <w:sz w:val="20"/>
                <w:szCs w:val="20"/>
                <w:color w:val="auto"/>
              </w:rPr>
            </w:pPr>
            <w:r>
              <w:rPr>
                <w:rFonts w:ascii="Arial" w:cs="Arial" w:eastAsia="Arial" w:hAnsi="Arial"/>
                <w:sz w:val="16"/>
                <w:szCs w:val="16"/>
                <w:color w:val="auto"/>
              </w:rPr>
              <w:t>Stable</w:t>
            </w:r>
          </w:p>
        </w:tc>
      </w:tr>
      <w:tr>
        <w:trPr>
          <w:trHeight w:val="217"/>
        </w:trPr>
        <w:tc>
          <w:tcPr>
            <w:tcW w:w="342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5080" w:type="dxa"/>
            <w:vAlign w:val="bottom"/>
            <w:shd w:val="clear" w:color="auto" w:fill="CFF0FC"/>
          </w:tcPr>
          <w:p>
            <w:pPr>
              <w:jc w:val="center"/>
              <w:ind w:left="1299"/>
              <w:spacing w:after="0"/>
              <w:rPr>
                <w:sz w:val="20"/>
                <w:szCs w:val="20"/>
                <w:color w:val="auto"/>
              </w:rPr>
            </w:pPr>
            <w:r>
              <w:rPr>
                <w:rFonts w:ascii="Arial" w:cs="Arial" w:eastAsia="Arial" w:hAnsi="Arial"/>
                <w:sz w:val="16"/>
                <w:szCs w:val="16"/>
                <w:color w:val="auto"/>
              </w:rPr>
              <w:t>BBB+</w:t>
            </w:r>
          </w:p>
        </w:tc>
        <w:tc>
          <w:tcPr>
            <w:tcW w:w="274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Negative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May 9, 2024, S&amp;P reported BBB+ rating and maintained a Stable outlook.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January 26, 2024, Fitch reported BBB+ rating and revised to a Negative outlook.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of South Dakota Electric at September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6"/>
                <w:szCs w:val="16"/>
                <w:b w:val="1"/>
                <w:bCs w:val="1"/>
                <w:color w:val="auto"/>
              </w:rPr>
              <w:t>Senior Secured Rating</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w:t>
            </w:r>
          </w:p>
        </w:tc>
        <w:tc>
          <w:tcPr>
            <w:tcW w:w="2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A</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Fitch</w:t>
            </w: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12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2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Actual</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Forecasted</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 by Segment</w:t>
            </w:r>
          </w:p>
        </w:tc>
        <w:tc>
          <w:tcPr>
            <w:tcW w:w="240" w:type="dxa"/>
            <w:vAlign w:val="bottom"/>
          </w:tcPr>
          <w:p>
            <w:pPr>
              <w:spacing w:after="0"/>
              <w:rPr>
                <w:sz w:val="17"/>
                <w:szCs w:val="17"/>
                <w:color w:val="auto"/>
              </w:rPr>
            </w:pPr>
          </w:p>
        </w:tc>
        <w:tc>
          <w:tcPr>
            <w:tcW w:w="2040" w:type="dxa"/>
            <w:vAlign w:val="bottom"/>
          </w:tcPr>
          <w:p>
            <w:pPr>
              <w:jc w:val="center"/>
              <w:ind w:right="19"/>
              <w:spacing w:after="0"/>
              <w:rPr>
                <w:sz w:val="20"/>
                <w:szCs w:val="20"/>
                <w:color w:val="auto"/>
              </w:rPr>
            </w:pPr>
            <w:r>
              <w:rPr>
                <w:rFonts w:ascii="Arial" w:cs="Arial" w:eastAsia="Arial" w:hAnsi="Arial"/>
                <w:sz w:val="16"/>
                <w:szCs w:val="16"/>
                <w:b w:val="1"/>
                <w:bCs w:val="1"/>
                <w:color w:val="auto"/>
              </w:rPr>
              <w:t>Nine Months Ended</w:t>
            </w:r>
          </w:p>
        </w:tc>
        <w:tc>
          <w:tcPr>
            <w:tcW w:w="320" w:type="dxa"/>
            <w:vAlign w:val="bottom"/>
          </w:tcPr>
          <w:p>
            <w:pPr>
              <w:spacing w:after="0"/>
              <w:rPr>
                <w:sz w:val="17"/>
                <w:szCs w:val="17"/>
                <w:color w:val="auto"/>
              </w:rPr>
            </w:pPr>
          </w:p>
        </w:tc>
        <w:tc>
          <w:tcPr>
            <w:tcW w:w="7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3"/>
              </w:rPr>
              <w:t xml:space="preserve">2024 </w:t>
            </w:r>
            <w:r>
              <w:rPr>
                <w:rFonts w:ascii="Arial" w:cs="Arial" w:eastAsia="Arial" w:hAnsi="Arial"/>
                <w:sz w:val="21"/>
                <w:szCs w:val="21"/>
                <w:b w:val="1"/>
                <w:bCs w:val="1"/>
                <w:color w:val="auto"/>
                <w:w w:val="93"/>
                <w:vertAlign w:val="superscript"/>
              </w:rPr>
              <w:t>(b)</w:t>
            </w:r>
          </w:p>
        </w:tc>
        <w:tc>
          <w:tcPr>
            <w:tcW w:w="220" w:type="dxa"/>
            <w:vAlign w:val="bottom"/>
          </w:tcPr>
          <w:p>
            <w:pPr>
              <w:spacing w:after="0"/>
              <w:rPr>
                <w:sz w:val="17"/>
                <w:szCs w:val="17"/>
                <w:color w:val="auto"/>
              </w:rPr>
            </w:pPr>
          </w:p>
        </w:tc>
        <w:tc>
          <w:tcPr>
            <w:tcW w:w="6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7"/>
                <w:szCs w:val="17"/>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2027</w:t>
            </w:r>
          </w:p>
        </w:tc>
        <w:tc>
          <w:tcPr>
            <w:tcW w:w="220" w:type="dxa"/>
            <w:vAlign w:val="bottom"/>
          </w:tcPr>
          <w:p>
            <w:pPr>
              <w:spacing w:after="0"/>
              <w:rPr>
                <w:sz w:val="17"/>
                <w:szCs w:val="17"/>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2028</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4"/>
                <w:szCs w:val="14"/>
                <w:color w:val="auto"/>
              </w:rPr>
              <w:t>(minor differences may result due to rounding)</w:t>
            </w: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9"/>
              </w:rPr>
              <w:t xml:space="preserve">September 30, 2024 </w:t>
            </w:r>
            <w:r>
              <w:rPr>
                <w:rFonts w:ascii="Arial" w:cs="Arial" w:eastAsia="Arial" w:hAnsi="Arial"/>
                <w:sz w:val="21"/>
                <w:szCs w:val="21"/>
                <w:b w:val="1"/>
                <w:bCs w:val="1"/>
                <w:color w:val="auto"/>
                <w:w w:val="99"/>
                <w:vertAlign w:val="superscript"/>
              </w:rPr>
              <w:t>(a)</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left="59"/>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Electric Utilities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FF0FC"/>
          </w:tcPr>
          <w:p>
            <w:pPr>
              <w:jc w:val="center"/>
              <w:ind w:left="239"/>
              <w:spacing w:after="0"/>
              <w:rPr>
                <w:sz w:val="20"/>
                <w:szCs w:val="20"/>
                <w:color w:val="auto"/>
              </w:rPr>
            </w:pPr>
            <w:r>
              <w:rPr>
                <w:rFonts w:ascii="Arial" w:cs="Arial" w:eastAsia="Arial" w:hAnsi="Arial"/>
                <w:sz w:val="16"/>
                <w:szCs w:val="16"/>
                <w:color w:val="auto"/>
              </w:rPr>
              <w:t>247</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2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240" w:type="dxa"/>
            <w:vAlign w:val="bottom"/>
          </w:tcPr>
          <w:p>
            <w:pPr>
              <w:spacing w:after="0"/>
              <w:rPr>
                <w:sz w:val="18"/>
                <w:szCs w:val="18"/>
                <w:color w:val="auto"/>
              </w:rPr>
            </w:pPr>
          </w:p>
        </w:tc>
        <w:tc>
          <w:tcPr>
            <w:tcW w:w="2040" w:type="dxa"/>
            <w:vAlign w:val="bottom"/>
          </w:tcPr>
          <w:p>
            <w:pPr>
              <w:jc w:val="center"/>
              <w:ind w:left="239"/>
              <w:spacing w:after="0"/>
              <w:rPr>
                <w:sz w:val="20"/>
                <w:szCs w:val="20"/>
                <w:color w:val="auto"/>
              </w:rPr>
            </w:pPr>
            <w:r>
              <w:rPr>
                <w:rFonts w:ascii="Arial" w:cs="Arial" w:eastAsia="Arial" w:hAnsi="Arial"/>
                <w:sz w:val="16"/>
                <w:szCs w:val="16"/>
                <w:color w:val="auto"/>
              </w:rPr>
              <w:t>308</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372</w:t>
            </w:r>
          </w:p>
        </w:tc>
        <w:tc>
          <w:tcPr>
            <w:tcW w:w="2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7"/>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Corporate and Other</w:t>
            </w:r>
          </w:p>
        </w:tc>
        <w:tc>
          <w:tcPr>
            <w:tcW w:w="240" w:type="dxa"/>
            <w:vAlign w:val="bottom"/>
            <w:shd w:val="clear" w:color="auto" w:fill="CFF0FC"/>
          </w:tcPr>
          <w:p>
            <w:pPr>
              <w:spacing w:after="0"/>
              <w:rPr>
                <w:sz w:val="18"/>
                <w:szCs w:val="18"/>
                <w:color w:val="auto"/>
              </w:rPr>
            </w:pPr>
          </w:p>
        </w:tc>
        <w:tc>
          <w:tcPr>
            <w:tcW w:w="2040" w:type="dxa"/>
            <w:vAlign w:val="bottom"/>
            <w:shd w:val="clear" w:color="auto" w:fill="CFF0FC"/>
          </w:tcPr>
          <w:p>
            <w:pPr>
              <w:jc w:val="center"/>
              <w:ind w:left="239"/>
              <w:spacing w:after="0"/>
              <w:rPr>
                <w:sz w:val="20"/>
                <w:szCs w:val="20"/>
                <w:color w:val="auto"/>
              </w:rPr>
            </w:pPr>
            <w:r>
              <w:rPr>
                <w:rFonts w:ascii="Arial" w:cs="Arial" w:eastAsia="Arial" w:hAnsi="Arial"/>
                <w:sz w:val="16"/>
                <w:szCs w:val="16"/>
                <w:color w:val="auto"/>
                <w:w w:val="89"/>
              </w:rPr>
              <w:t>11</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FF0FC"/>
          </w:tcPr>
          <w:p>
            <w:pPr>
              <w:jc w:val="center"/>
              <w:ind w:left="239"/>
              <w:spacing w:after="0"/>
              <w:rPr>
                <w:sz w:val="20"/>
                <w:szCs w:val="20"/>
                <w:color w:val="auto"/>
              </w:rPr>
            </w:pPr>
            <w:r>
              <w:rPr>
                <w:rFonts w:ascii="Arial" w:cs="Arial" w:eastAsia="Arial" w:hAnsi="Arial"/>
                <w:sz w:val="16"/>
                <w:szCs w:val="16"/>
                <w:color w:val="auto"/>
              </w:rPr>
              <w:t>566</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3" w:lineRule="exact"/>
        <w:rPr>
          <w:sz w:val="20"/>
          <w:szCs w:val="20"/>
          <w:color w:val="auto"/>
        </w:rPr>
      </w:pPr>
    </w:p>
    <w:p>
      <w:pPr>
        <w:ind w:left="520" w:right="800" w:hanging="512"/>
        <w:spacing w:after="0" w:line="251"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actual capital expenditures for the nine months ended September 30, 2024.</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-318770</wp:posOffset>
            </wp:positionV>
            <wp:extent cx="16249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Repayments of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relating to recent repayments of our long-term debt,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-4445</wp:posOffset>
            </wp:positionV>
            <wp:extent cx="302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Dividends paid on our common stock totaled $135.8 million for the nine months ended September 30, 2024, or $0.65 per share. On October 28, 2024, our board of directors declared a quarterly dividend of $0.65 per share payable December 1, 2024, equivalent to an annual dividend of $2.60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summary of our critical accounting estimates is included in our 2023 Annual Report on Form 10-K. There were no material changes made as of September 30, 2024.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Other than the pronouncements reported in our 2023 Annual Report on Form 10-K and those discussed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there have been no new accounting pronouncements that are expected to have a material effect on our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-276225</wp:posOffset>
            </wp:positionV>
            <wp:extent cx="302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2023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September 30, 2024. Based on their evaluation, they have concluded that our disclosure controls and procedures were effective at September 30, 2024.</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During the quarter ended September 30, 2024, there have been no changes in our internal controls over financial reporting that have materially affected, or are reasonably likely, to materially affect our internal control over financial reporting.</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 xml:space="preserve">For information regarding legal proceedings,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and Note 3 in Item 8 of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-165735</wp:posOffset>
            </wp:positionV>
            <wp:extent cx="302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2023 Annual Report on Form 10-K.</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September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Maximum Number (or</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May Yet Be</w:t>
            </w:r>
          </w:p>
        </w:tc>
      </w:tr>
      <w:tr>
        <w:trPr>
          <w:trHeight w:val="163"/>
        </w:trPr>
        <w:tc>
          <w:tcPr>
            <w:tcW w:w="3820" w:type="dxa"/>
            <w:vAlign w:val="bottom"/>
          </w:tcPr>
          <w:p>
            <w:pPr>
              <w:spacing w:after="0"/>
              <w:rPr>
                <w:sz w:val="14"/>
                <w:szCs w:val="14"/>
                <w:color w:val="auto"/>
              </w:rPr>
            </w:pPr>
          </w:p>
        </w:tc>
        <w:tc>
          <w:tcPr>
            <w:tcW w:w="198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auto"/>
              </w:rPr>
              <w:t>Total Number of Shares</w:t>
            </w:r>
          </w:p>
        </w:tc>
        <w:tc>
          <w:tcPr>
            <w:tcW w:w="1420" w:type="dxa"/>
            <w:vAlign w:val="bottom"/>
            <w:gridSpan w:val="2"/>
          </w:tcPr>
          <w:p>
            <w:pPr>
              <w:jc w:val="right"/>
              <w:ind w:right="139"/>
              <w:spacing w:after="0" w:line="163" w:lineRule="exact"/>
              <w:rPr>
                <w:sz w:val="20"/>
                <w:szCs w:val="20"/>
                <w:color w:val="auto"/>
              </w:rPr>
            </w:pPr>
            <w:r>
              <w:rPr>
                <w:rFonts w:ascii="Arial" w:cs="Arial" w:eastAsia="Arial" w:hAnsi="Arial"/>
                <w:sz w:val="16"/>
                <w:szCs w:val="16"/>
                <w:b w:val="1"/>
                <w:bCs w:val="1"/>
                <w:color w:val="auto"/>
              </w:rPr>
              <w:t>Average Price</w:t>
            </w:r>
          </w:p>
        </w:tc>
        <w:tc>
          <w:tcPr>
            <w:tcW w:w="19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Publicly Announced</w:t>
            </w:r>
          </w:p>
        </w:tc>
        <w:tc>
          <w:tcPr>
            <w:tcW w:w="140" w:type="dxa"/>
            <w:vAlign w:val="bottom"/>
          </w:tcPr>
          <w:p>
            <w:pPr>
              <w:spacing w:after="0"/>
              <w:rPr>
                <w:sz w:val="14"/>
                <w:szCs w:val="14"/>
                <w:color w:val="auto"/>
              </w:rPr>
            </w:pPr>
          </w:p>
        </w:tc>
        <w:tc>
          <w:tcPr>
            <w:tcW w:w="192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Purchased Under the</w:t>
            </w:r>
          </w:p>
        </w:tc>
      </w:tr>
      <w:tr>
        <w:trPr>
          <w:trHeight w:val="243"/>
        </w:trPr>
        <w:tc>
          <w:tcPr>
            <w:tcW w:w="382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Period</w:t>
            </w:r>
          </w:p>
        </w:tc>
        <w:tc>
          <w:tcPr>
            <w:tcW w:w="1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9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Plans or Programs</w:t>
            </w: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r>
      <w:tr>
        <w:trPr>
          <w:trHeight w:val="20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1, 2024 - July 31, 2024</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54.16</w:t>
            </w: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August 1, 2024 - August 31, 2024</w:t>
            </w:r>
          </w:p>
        </w:tc>
        <w:tc>
          <w:tcPr>
            <w:tcW w:w="1980" w:type="dxa"/>
            <w:vAlign w:val="bottom"/>
          </w:tcPr>
          <w:p>
            <w:pPr>
              <w:jc w:val="right"/>
              <w:spacing w:after="0"/>
              <w:rPr>
                <w:sz w:val="20"/>
                <w:szCs w:val="20"/>
                <w:color w:val="auto"/>
              </w:rPr>
            </w:pPr>
            <w:r>
              <w:rPr>
                <w:rFonts w:ascii="Arial" w:cs="Arial" w:eastAsia="Arial" w:hAnsi="Arial"/>
                <w:sz w:val="16"/>
                <w:szCs w:val="16"/>
                <w:color w:val="auto"/>
              </w:rPr>
              <w:t>821</w:t>
            </w:r>
          </w:p>
        </w:tc>
        <w:tc>
          <w:tcPr>
            <w:tcW w:w="5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56.50</w:t>
            </w:r>
          </w:p>
        </w:tc>
        <w:tc>
          <w:tcPr>
            <w:tcW w:w="19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September 1, 2024 - September 30, 2024</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59.14</w:t>
            </w:r>
          </w:p>
        </w:tc>
        <w:tc>
          <w:tcPr>
            <w:tcW w:w="19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820" w:type="dxa"/>
            <w:vAlign w:val="bottom"/>
          </w:tcPr>
          <w:p>
            <w:pPr>
              <w:ind w:left="30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56.50</w:t>
            </w:r>
          </w:p>
        </w:tc>
        <w:tc>
          <w:tcPr>
            <w:tcW w:w="1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38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360" w:hanging="512"/>
        <w:spacing w:after="0" w:line="285"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September 30, 2024.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20" w:type="dxa"/>
            <w:vAlign w:val="bottom"/>
            <w:gridSpan w:val="5"/>
            <w:vMerge w:val="restart"/>
          </w:tcPr>
          <w:p>
            <w:pPr>
              <w:ind w:left="7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15"/>
        </w:trPr>
        <w:tc>
          <w:tcPr>
            <w:tcW w:w="14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1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120"/>
              <w:spacing w:after="0"/>
              <w:rPr>
                <w:sz w:val="20"/>
                <w:szCs w:val="20"/>
                <w:color w:val="auto"/>
              </w:rPr>
            </w:pPr>
            <w:r>
              <w:rPr>
                <w:rFonts w:ascii="Arial" w:cs="Arial" w:eastAsia="Arial" w:hAnsi="Arial"/>
                <w:sz w:val="16"/>
                <w:szCs w:val="16"/>
                <w:color w:val="auto"/>
              </w:rPr>
              <w:t>31.1*</w:t>
            </w:r>
          </w:p>
        </w:tc>
        <w:tc>
          <w:tcPr>
            <w:tcW w:w="9800" w:type="dxa"/>
            <w:vAlign w:val="bottom"/>
            <w:gridSpan w:val="9"/>
          </w:tcPr>
          <w:p>
            <w:pPr>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4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31.2*</w:t>
            </w:r>
          </w:p>
        </w:tc>
        <w:tc>
          <w:tcPr>
            <w:tcW w:w="980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3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32.1*</w:t>
            </w:r>
          </w:p>
        </w:tc>
        <w:tc>
          <w:tcPr>
            <w:tcW w:w="9800" w:type="dxa"/>
            <w:vAlign w:val="bottom"/>
            <w:gridSpan w:val="9"/>
          </w:tcPr>
          <w:p>
            <w:pPr>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Oxley Act of 2002.</w:t>
            </w:r>
          </w:p>
        </w:tc>
        <w:tc>
          <w:tcPr>
            <w:tcW w:w="7980" w:type="dxa"/>
            <w:vAlign w:val="bottom"/>
            <w:tcBorders>
              <w:top w:val="single" w:sz="8" w:color="0000FF"/>
            </w:tcBorders>
            <w:gridSpan w:val="3"/>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32.2*</w:t>
            </w:r>
          </w:p>
        </w:tc>
        <w:tc>
          <w:tcPr>
            <w:tcW w:w="980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Act of 2002.</w:t>
            </w:r>
          </w:p>
        </w:tc>
        <w:tc>
          <w:tcPr>
            <w:tcW w:w="8840" w:type="dxa"/>
            <w:vAlign w:val="bottom"/>
            <w:tcBorders>
              <w:top w:val="single" w:sz="8" w:color="0000FF"/>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95*</w:t>
            </w:r>
          </w:p>
        </w:tc>
        <w:tc>
          <w:tcPr>
            <w:tcW w:w="9800" w:type="dxa"/>
            <w:vAlign w:val="bottom"/>
            <w:gridSpan w:val="9"/>
          </w:tcPr>
          <w:p>
            <w:pPr>
              <w:spacing w:after="0"/>
              <w:rPr>
                <w:sz w:val="20"/>
                <w:szCs w:val="20"/>
                <w:color w:val="auto"/>
              </w:rPr>
            </w:pPr>
            <w:r>
              <w:rPr>
                <w:rFonts w:ascii="Arial" w:cs="Arial" w:eastAsia="Arial" w:hAnsi="Arial"/>
                <w:sz w:val="16"/>
                <w:szCs w:val="16"/>
                <w:color w:val="0000FF"/>
              </w:rPr>
              <w:t>Mine Safety and Health Administration Safety Data.</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40" w:type="dxa"/>
            <w:vAlign w:val="bottom"/>
          </w:tcPr>
          <w:p>
            <w:pPr>
              <w:ind w:left="120"/>
              <w:spacing w:after="0"/>
              <w:rPr>
                <w:sz w:val="20"/>
                <w:szCs w:val="20"/>
                <w:color w:val="auto"/>
              </w:rPr>
            </w:pPr>
            <w:r>
              <w:rPr>
                <w:rFonts w:ascii="Arial" w:cs="Arial" w:eastAsia="Arial" w:hAnsi="Arial"/>
                <w:sz w:val="16"/>
                <w:szCs w:val="16"/>
                <w:color w:val="auto"/>
              </w:rPr>
              <w:t>101.INS*</w:t>
            </w:r>
          </w:p>
        </w:tc>
        <w:tc>
          <w:tcPr>
            <w:tcW w:w="980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9800" w:type="dxa"/>
            <w:vAlign w:val="bottom"/>
            <w:gridSpan w:val="9"/>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45"/>
        </w:trPr>
        <w:tc>
          <w:tcPr>
            <w:tcW w:w="1440" w:type="dxa"/>
            <w:vAlign w:val="bottom"/>
          </w:tcPr>
          <w:p>
            <w:pPr>
              <w:spacing w:after="0"/>
              <w:rPr>
                <w:sz w:val="24"/>
                <w:szCs w:val="24"/>
                <w:color w:val="auto"/>
              </w:rPr>
            </w:pPr>
          </w:p>
        </w:tc>
        <w:tc>
          <w:tcPr>
            <w:tcW w:w="9300" w:type="dxa"/>
            <w:vAlign w:val="bottom"/>
            <w:gridSpan w:val="5"/>
          </w:tcPr>
          <w:p>
            <w:pPr>
              <w:ind w:left="4100"/>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6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38100</wp:posOffset>
            </wp:positionV>
            <wp:extent cx="3703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Executive Officer</w:t>
      </w:r>
    </w:p>
    <w:p>
      <w:pPr>
        <w:spacing w:after="0" w:line="38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38100</wp:posOffset>
            </wp:positionV>
            <wp:extent cx="3703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Kimberly F. Nooney, Senior Vice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Financial Officer</w:t>
      </w:r>
    </w:p>
    <w:p>
      <w:pPr>
        <w:spacing w:after="0" w:line="383"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November 7, 2024</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773" w:right="1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40" w:hanging="752"/>
        <w:spacing w:after="0" w:line="26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November 7, 2024</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20955</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40" w:hanging="752"/>
        <w:spacing w:after="0" w:line="26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November 7, 2024</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20955</wp:posOffset>
            </wp:positionV>
            <wp:extent cx="3488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2024,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40" w:hanging="743"/>
        <w:spacing w:after="0" w:line="286" w:lineRule="auto"/>
        <w:tabs>
          <w:tab w:leader="none" w:pos="1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November 7, 2024</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2024,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40" w:hanging="743"/>
        <w:spacing w:after="0" w:line="286" w:lineRule="auto"/>
        <w:tabs>
          <w:tab w:leader="none" w:pos="1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November 7, 2024</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2024.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900" w:right="160" w:hanging="518"/>
        <w:spacing w:after="0" w:line="256"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900" w:right="120" w:hanging="518"/>
        <w:spacing w:after="0" w:line="256"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BHE – Wyodak Mine under the indicated provisions of the Mine Act, together with the total dollar value of proposed MSHA assessments received during the three months ended September 30, 2024, and legal actions pending before the Federal Mine Safety and Health Review Commission, together with the Administrative Law Judges thereof, for BHE – Wyodak Mine, our only mining complex. All citations were abated within 24 hours of issue.</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 Section</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 S&amp;S</w:t>
            </w:r>
          </w:p>
        </w:tc>
        <w:tc>
          <w:tcPr>
            <w:tcW w:w="66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Received Notice</w:t>
            </w:r>
          </w:p>
        </w:tc>
        <w:tc>
          <w:tcPr>
            <w:tcW w:w="800" w:type="dxa"/>
            <w:vAlign w:val="bottom"/>
            <w:vMerge w:val="continue"/>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0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Citations issued</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Total Number</w:t>
            </w:r>
          </w:p>
        </w:tc>
        <w:tc>
          <w:tcPr>
            <w:tcW w:w="1100" w:type="dxa"/>
            <w:vAlign w:val="bottom"/>
            <w:vMerge w:val="continue"/>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Mine/ MSHA</w:t>
            </w: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during three</w:t>
            </w:r>
          </w:p>
        </w:tc>
        <w:tc>
          <w:tcPr>
            <w:tcW w:w="660" w:type="dxa"/>
            <w:vAlign w:val="bottom"/>
            <w:vMerge w:val="continue"/>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Section</w:t>
            </w:r>
          </w:p>
        </w:tc>
        <w:tc>
          <w:tcPr>
            <w:tcW w:w="920" w:type="dxa"/>
            <w:vAlign w:val="bottom"/>
            <w:vMerge w:val="continue"/>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Section 107(a)</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Dollar Value</w:t>
            </w:r>
          </w:p>
        </w:tc>
        <w:tc>
          <w:tcPr>
            <w:tcW w:w="880" w:type="dxa"/>
            <w:vAlign w:val="bottom"/>
            <w:vMerge w:val="continue"/>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Potential to</w:t>
            </w: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Pending as</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Actions</w:t>
            </w:r>
          </w:p>
        </w:tc>
        <w:tc>
          <w:tcPr>
            <w:tcW w:w="70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months ended</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Section 110(b)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200" w:type="dxa"/>
            <w:vAlign w:val="bottom"/>
            <w:gridSpan w:val="2"/>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Have Pattern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6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96"/>
              </w:rPr>
              <w:t>Initiated</w:t>
            </w:r>
          </w:p>
        </w:tc>
        <w:tc>
          <w:tcPr>
            <w:tcW w:w="70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September 30,</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(2) Violations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Danger</w:t>
            </w:r>
          </w:p>
        </w:tc>
        <w:tc>
          <w:tcPr>
            <w:tcW w:w="12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of Proposed MSHA</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Section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of Period</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During</w:t>
            </w:r>
          </w:p>
        </w:tc>
        <w:tc>
          <w:tcPr>
            <w:tcW w:w="7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80"/>
        </w:trPr>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Orders (#)</w:t>
            </w:r>
          </w:p>
        </w:tc>
        <w:tc>
          <w:tcPr>
            <w:tcW w:w="92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00" w:type="dxa"/>
            <w:vAlign w:val="bottom"/>
          </w:tcPr>
          <w:p>
            <w:pPr>
              <w:spacing w:after="0"/>
              <w:rPr>
                <w:sz w:val="15"/>
                <w:szCs w:val="15"/>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Assessments (a)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104(e) (yes/no)</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 (b)</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0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rPr>
                <w:sz w:val="20"/>
                <w:szCs w:val="20"/>
                <w:color w:val="auto"/>
              </w:rPr>
            </w:pPr>
            <w:r>
              <w:rPr>
                <w:rFonts w:ascii="Arial" w:cs="Arial" w:eastAsia="Arial" w:hAnsi="Arial"/>
                <w:sz w:val="14"/>
                <w:szCs w:val="14"/>
                <w:color w:val="auto"/>
              </w:rPr>
              <w:t>Wyodak Coal Mine</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right"/>
              <w:ind w:right="513"/>
              <w:spacing w:after="0"/>
              <w:rPr>
                <w:sz w:val="20"/>
                <w:szCs w:val="20"/>
                <w:color w:val="auto"/>
              </w:rPr>
            </w:pPr>
            <w:r>
              <w:rPr>
                <w:rFonts w:ascii="Arial" w:cs="Arial" w:eastAsia="Arial" w:hAnsi="Arial"/>
                <w:sz w:val="14"/>
                <w:szCs w:val="14"/>
                <w:color w:val="auto"/>
                <w:w w:val="98"/>
              </w:rPr>
              <w:t>- 4800083</w:t>
            </w:r>
          </w:p>
        </w:tc>
        <w:tc>
          <w:tcPr>
            <w:tcW w:w="1100" w:type="dxa"/>
            <w:vAlign w:val="bottom"/>
          </w:tcPr>
          <w:p>
            <w:pPr>
              <w:jc w:val="right"/>
              <w:ind w:right="496"/>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860" w:type="dxa"/>
            <w:vAlign w:val="bottom"/>
          </w:tcPr>
          <w:p>
            <w:pPr>
              <w:jc w:val="center"/>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right="33"/>
              <w:spacing w:after="0"/>
              <w:rPr>
                <w:sz w:val="20"/>
                <w:szCs w:val="20"/>
                <w:color w:val="auto"/>
              </w:rPr>
            </w:pPr>
            <w:r>
              <w:rPr>
                <w:rFonts w:ascii="Arial" w:cs="Arial" w:eastAsia="Arial" w:hAnsi="Arial"/>
                <w:sz w:val="14"/>
                <w:szCs w:val="14"/>
                <w:color w:val="auto"/>
              </w:rPr>
              <w:t>348</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1100" w:type="dxa"/>
            <w:vAlign w:val="bottom"/>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56"/>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903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5" w:lineRule="exact"/>
        <w:rPr>
          <w:sz w:val="20"/>
          <w:szCs w:val="20"/>
          <w:color w:val="auto"/>
        </w:rPr>
      </w:pPr>
    </w:p>
    <w:p>
      <w:pPr>
        <w:ind w:left="520" w:right="80" w:hanging="512"/>
        <w:spacing w:after="0" w:line="262" w:lineRule="auto"/>
        <w:tabs>
          <w:tab w:leader="none" w:pos="52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1)"/>
      <w:numFmt w:val="decimal"/>
      <w:start w:val="8"/>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decimal"/>
      <w:start w:val="9"/>
    </w:lvl>
  </w:abstractNum>
  <w:abstractNum w:abstractNumId="18">
    <w:nsid w:val="3006C83E"/>
    <w:multiLevelType w:val="hybridMultilevel"/>
    <w:lvl w:ilvl="0">
      <w:lvlJc w:val="left"/>
      <w:lvlText w:val="(%1)"/>
      <w:numFmt w:val="decimal"/>
      <w:start w:val="10"/>
    </w:lvl>
  </w:abstractNum>
  <w:abstractNum w:abstractNumId="19">
    <w:nsid w:val="614FD4A1"/>
    <w:multiLevelType w:val="hybridMultilevel"/>
    <w:lvl w:ilvl="0">
      <w:lvlJc w:val="left"/>
      <w:lvlText w:val="(%1)"/>
      <w:numFmt w:val="decimal"/>
      <w:start w:val="12"/>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decimal"/>
      <w:start w:val="13"/>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
      <w:numFmt w:val="bullet"/>
      <w:start w:val="1"/>
    </w:lvl>
    <w:lvl w:ilvl="1">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2024-11-07T10:44:36Z</dcterms:created>
  <dcterms:modified xsi:type="dcterms:W3CDTF">2024-11-07T10:44:36Z</dcterms:modified>
</cp:coreProperties>
</file>